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720" w:right="-720" w:firstLine="0"/>
        <w:jc w:val="center"/>
        <w:rPr>
          <w:b w:val="1"/>
          <w:sz w:val="30"/>
          <w:szCs w:val="30"/>
        </w:rPr>
      </w:pPr>
      <w:bookmarkStart w:colFirst="0" w:colLast="0" w:name="_heading=h.gjdgxs" w:id="0"/>
      <w:bookmarkEnd w:id="0"/>
      <w:r w:rsidDel="00000000" w:rsidR="00000000" w:rsidRPr="00000000">
        <w:rPr>
          <w:b w:val="1"/>
          <w:sz w:val="30"/>
          <w:szCs w:val="30"/>
          <w:rtl w:val="0"/>
        </w:rPr>
        <w:t xml:space="preserve">Electric Vehicle Adoption and Insights</w:t>
      </w:r>
    </w:p>
    <w:p w:rsidR="00000000" w:rsidDel="00000000" w:rsidP="00000000" w:rsidRDefault="00000000" w:rsidRPr="00000000" w14:paraId="00000002">
      <w:pPr>
        <w:pStyle w:val="Heading2"/>
        <w:keepNext w:val="0"/>
        <w:keepLines w:val="0"/>
        <w:spacing w:after="80" w:lineRule="auto"/>
        <w:ind w:left="-720" w:right="-720" w:firstLine="0"/>
        <w:rPr>
          <w:b w:val="1"/>
          <w:sz w:val="26"/>
          <w:szCs w:val="26"/>
        </w:rPr>
      </w:pPr>
      <w:bookmarkStart w:colFirst="0" w:colLast="0" w:name="_heading=h.30j0zll" w:id="1"/>
      <w:bookmarkEnd w:id="1"/>
      <w:r w:rsidDel="00000000" w:rsidR="00000000" w:rsidRPr="00000000">
        <w:rPr>
          <w:b w:val="1"/>
          <w:sz w:val="26"/>
          <w:szCs w:val="26"/>
          <w:rtl w:val="0"/>
        </w:rPr>
        <w:t xml:space="preserve">Introduction</w:t>
      </w:r>
    </w:p>
    <w:p w:rsidR="00000000" w:rsidDel="00000000" w:rsidP="00000000" w:rsidRDefault="00000000" w:rsidRPr="00000000" w14:paraId="00000003">
      <w:pPr>
        <w:spacing w:after="240" w:before="240" w:lineRule="auto"/>
        <w:ind w:left="-720" w:right="-720" w:firstLine="0"/>
        <w:rPr/>
      </w:pPr>
      <w:r w:rsidDel="00000000" w:rsidR="00000000" w:rsidRPr="00000000">
        <w:rPr>
          <w:rtl w:val="0"/>
        </w:rPr>
        <w:t xml:space="preserve">With the rise of sustainable energy solutions, electric vehicles (EVs) are gaining traction across various regions. Understanding the distribution, adoption trends, and eligibility for clean energy programs is crucial for policymakers, utility providers, and automotive industries. This project aims to provide a comprehensive analysis of electric vehicle adoption using key metrics such as vehicle make, model, electric range, geographic distribution, and eligibility for clean alternative fuel programs. By leveraging BI Tools’ interactive dashboards, this project will help stakeholders gain insights into EV adoption patterns and infrastructure requirements.</w:t>
      </w:r>
    </w:p>
    <w:p w:rsidR="00000000" w:rsidDel="00000000" w:rsidP="00000000" w:rsidRDefault="00000000" w:rsidRPr="00000000" w14:paraId="00000004">
      <w:pPr>
        <w:pStyle w:val="Heading2"/>
        <w:keepNext w:val="0"/>
        <w:keepLines w:val="0"/>
        <w:spacing w:after="80" w:lineRule="auto"/>
        <w:ind w:left="-720" w:right="-720" w:firstLine="0"/>
        <w:rPr>
          <w:b w:val="1"/>
          <w:sz w:val="34"/>
          <w:szCs w:val="34"/>
        </w:rPr>
      </w:pPr>
      <w:bookmarkStart w:colFirst="0" w:colLast="0" w:name="_heading=h.1fob9te" w:id="2"/>
      <w:bookmarkEnd w:id="2"/>
      <w:r w:rsidDel="00000000" w:rsidR="00000000" w:rsidRPr="00000000">
        <w:rPr>
          <w:b w:val="1"/>
          <w:sz w:val="26"/>
          <w:szCs w:val="26"/>
          <w:rtl w:val="0"/>
        </w:rPr>
        <w:t xml:space="preserve">Project Overview</w:t>
      </w:r>
      <w:r w:rsidDel="00000000" w:rsidR="00000000" w:rsidRPr="00000000">
        <w:rPr>
          <w:rtl w:val="0"/>
        </w:rPr>
      </w:r>
    </w:p>
    <w:p w:rsidR="00000000" w:rsidDel="00000000" w:rsidP="00000000" w:rsidRDefault="00000000" w:rsidRPr="00000000" w14:paraId="00000005">
      <w:pPr>
        <w:spacing w:after="240" w:before="240" w:lineRule="auto"/>
        <w:ind w:left="-720" w:right="-720" w:firstLine="0"/>
        <w:rPr/>
      </w:pPr>
      <w:r w:rsidDel="00000000" w:rsidR="00000000" w:rsidRPr="00000000">
        <w:rPr>
          <w:rtl w:val="0"/>
        </w:rPr>
        <w:t xml:space="preserve">This project will analyze a dataset containing information on electric vehicles registered across different counties and cities. The dataset includes details such as the </w:t>
      </w:r>
      <w:r w:rsidDel="00000000" w:rsidR="00000000" w:rsidRPr="00000000">
        <w:rPr>
          <w:b w:val="1"/>
          <w:rtl w:val="0"/>
        </w:rPr>
        <w:t xml:space="preserve">vehicle make, model, model year, electric vehicle type, range, fuel eligibility, geographic location, and utility providers</w:t>
      </w:r>
      <w:r w:rsidDel="00000000" w:rsidR="00000000" w:rsidRPr="00000000">
        <w:rPr>
          <w:rtl w:val="0"/>
        </w:rPr>
        <w:t xml:space="preserve">. The goal is to create an interactive</w:t>
      </w:r>
      <w:r w:rsidDel="00000000" w:rsidR="00000000" w:rsidRPr="00000000">
        <w:rPr>
          <w:b w:val="1"/>
          <w:rtl w:val="0"/>
        </w:rPr>
        <w:t xml:space="preserve"> dashboard</w:t>
      </w:r>
      <w:r w:rsidDel="00000000" w:rsidR="00000000" w:rsidRPr="00000000">
        <w:rPr>
          <w:rtl w:val="0"/>
        </w:rPr>
        <w:t xml:space="preserve"> that visualizes electric vehicle adoption patterns and helps in decision-making for future EV infrastructure planning and policy-making.</w:t>
      </w:r>
    </w:p>
    <w:p w:rsidR="00000000" w:rsidDel="00000000" w:rsidP="00000000" w:rsidRDefault="00000000" w:rsidRPr="00000000" w14:paraId="00000006">
      <w:pPr>
        <w:pStyle w:val="Heading2"/>
        <w:keepNext w:val="0"/>
        <w:keepLines w:val="0"/>
        <w:spacing w:after="80" w:lineRule="auto"/>
        <w:ind w:left="-720" w:right="-720" w:firstLine="0"/>
        <w:rPr>
          <w:b w:val="1"/>
          <w:sz w:val="34"/>
          <w:szCs w:val="34"/>
        </w:rPr>
      </w:pPr>
      <w:bookmarkStart w:colFirst="0" w:colLast="0" w:name="_heading=h.3znysh7" w:id="3"/>
      <w:bookmarkEnd w:id="3"/>
      <w:r w:rsidDel="00000000" w:rsidR="00000000" w:rsidRPr="00000000">
        <w:rPr>
          <w:b w:val="1"/>
          <w:sz w:val="26"/>
          <w:szCs w:val="26"/>
          <w:rtl w:val="0"/>
        </w:rPr>
        <w:t xml:space="preserve">Key Objectives</w:t>
      </w:r>
      <w:r w:rsidDel="00000000" w:rsidR="00000000" w:rsidRPr="00000000">
        <w:rPr>
          <w:rtl w:val="0"/>
        </w:rPr>
      </w:r>
    </w:p>
    <w:p w:rsidR="00000000" w:rsidDel="00000000" w:rsidP="00000000" w:rsidRDefault="00000000" w:rsidRPr="00000000" w14:paraId="00000007">
      <w:pPr>
        <w:pStyle w:val="Heading2"/>
        <w:keepNext w:val="0"/>
        <w:keepLines w:val="0"/>
        <w:numPr>
          <w:ilvl w:val="0"/>
          <w:numId w:val="1"/>
        </w:numPr>
        <w:spacing w:after="0" w:lineRule="auto"/>
        <w:ind w:left="-360" w:right="-720" w:hanging="360"/>
        <w:rPr>
          <w:u w:val="none"/>
        </w:rPr>
      </w:pPr>
      <w:bookmarkStart w:colFirst="0" w:colLast="0" w:name="_heading=h.2et92p0" w:id="4"/>
      <w:bookmarkEnd w:id="4"/>
      <w:r w:rsidDel="00000000" w:rsidR="00000000" w:rsidRPr="00000000">
        <w:rPr>
          <w:b w:val="1"/>
          <w:sz w:val="22"/>
          <w:szCs w:val="22"/>
          <w:rtl w:val="0"/>
        </w:rPr>
        <w:t xml:space="preserve">EV Distribution Analysis:</w:t>
      </w:r>
      <w:r w:rsidDel="00000000" w:rsidR="00000000" w:rsidRPr="00000000">
        <w:rPr>
          <w:sz w:val="22"/>
          <w:szCs w:val="22"/>
          <w:rtl w:val="0"/>
        </w:rPr>
        <w:t xml:space="preserve"> Identify trends in electric vehicle adoption based on </w:t>
      </w:r>
      <w:r w:rsidDel="00000000" w:rsidR="00000000" w:rsidRPr="00000000">
        <w:rPr>
          <w:b w:val="1"/>
          <w:sz w:val="22"/>
          <w:szCs w:val="22"/>
          <w:rtl w:val="0"/>
        </w:rPr>
        <w:t xml:space="preserve">model year, vehicle make, and electric range. </w:t>
      </w:r>
      <w:r w:rsidDel="00000000" w:rsidR="00000000" w:rsidRPr="00000000">
        <w:rPr>
          <w:rtl w:val="0"/>
        </w:rPr>
      </w:r>
    </w:p>
    <w:p w:rsidR="00000000" w:rsidDel="00000000" w:rsidP="00000000" w:rsidRDefault="00000000" w:rsidRPr="00000000" w14:paraId="00000008">
      <w:pPr>
        <w:pStyle w:val="Heading2"/>
        <w:keepNext w:val="0"/>
        <w:keepLines w:val="0"/>
        <w:numPr>
          <w:ilvl w:val="0"/>
          <w:numId w:val="1"/>
        </w:numPr>
        <w:spacing w:after="0" w:before="0" w:lineRule="auto"/>
        <w:ind w:left="-360" w:right="-720" w:hanging="360"/>
        <w:rPr>
          <w:u w:val="none"/>
        </w:rPr>
      </w:pPr>
      <w:bookmarkStart w:colFirst="0" w:colLast="0" w:name="_heading=h.tyjcwt" w:id="5"/>
      <w:bookmarkEnd w:id="5"/>
      <w:r w:rsidDel="00000000" w:rsidR="00000000" w:rsidRPr="00000000">
        <w:rPr>
          <w:b w:val="1"/>
          <w:sz w:val="22"/>
          <w:szCs w:val="22"/>
          <w:rtl w:val="0"/>
        </w:rPr>
        <w:t xml:space="preserve">Geographic Insights:</w:t>
      </w:r>
      <w:r w:rsidDel="00000000" w:rsidR="00000000" w:rsidRPr="00000000">
        <w:rPr>
          <w:sz w:val="22"/>
          <w:szCs w:val="22"/>
          <w:rtl w:val="0"/>
        </w:rPr>
        <w:t xml:space="preserve"> Analyze the distribution of EVs across </w:t>
      </w:r>
      <w:r w:rsidDel="00000000" w:rsidR="00000000" w:rsidRPr="00000000">
        <w:rPr>
          <w:b w:val="1"/>
          <w:sz w:val="22"/>
          <w:szCs w:val="22"/>
          <w:rtl w:val="0"/>
        </w:rPr>
        <w:t xml:space="preserve">different counties, cities, and postal codes.</w:t>
      </w:r>
      <w:r w:rsidDel="00000000" w:rsidR="00000000" w:rsidRPr="00000000">
        <w:rPr>
          <w:rtl w:val="0"/>
        </w:rPr>
      </w:r>
    </w:p>
    <w:p w:rsidR="00000000" w:rsidDel="00000000" w:rsidP="00000000" w:rsidRDefault="00000000" w:rsidRPr="00000000" w14:paraId="00000009">
      <w:pPr>
        <w:pStyle w:val="Heading2"/>
        <w:keepNext w:val="0"/>
        <w:keepLines w:val="0"/>
        <w:numPr>
          <w:ilvl w:val="0"/>
          <w:numId w:val="1"/>
        </w:numPr>
        <w:spacing w:after="0" w:before="0" w:lineRule="auto"/>
        <w:ind w:left="-360" w:right="-720" w:hanging="360"/>
        <w:rPr>
          <w:u w:val="none"/>
        </w:rPr>
      </w:pPr>
      <w:bookmarkStart w:colFirst="0" w:colLast="0" w:name="_heading=h.3dy6vkm" w:id="6"/>
      <w:bookmarkEnd w:id="6"/>
      <w:r w:rsidDel="00000000" w:rsidR="00000000" w:rsidRPr="00000000">
        <w:rPr>
          <w:b w:val="1"/>
          <w:sz w:val="22"/>
          <w:szCs w:val="22"/>
          <w:rtl w:val="0"/>
        </w:rPr>
        <w:t xml:space="preserve">CAFV Eligibility:</w:t>
      </w:r>
      <w:r w:rsidDel="00000000" w:rsidR="00000000" w:rsidRPr="00000000">
        <w:rPr>
          <w:rtl w:val="0"/>
        </w:rPr>
        <w:t xml:space="preserve"> </w:t>
      </w:r>
      <w:r w:rsidDel="00000000" w:rsidR="00000000" w:rsidRPr="00000000">
        <w:rPr>
          <w:sz w:val="22"/>
          <w:szCs w:val="22"/>
          <w:rtl w:val="0"/>
        </w:rPr>
        <w:t xml:space="preserve">Evaluate which EVs qualify as </w:t>
      </w:r>
      <w:r w:rsidDel="00000000" w:rsidR="00000000" w:rsidRPr="00000000">
        <w:rPr>
          <w:b w:val="1"/>
          <w:sz w:val="22"/>
          <w:szCs w:val="22"/>
          <w:rtl w:val="0"/>
        </w:rPr>
        <w:t xml:space="preserve">Clean Alternative Fuel Vehicles (CAFV)</w:t>
      </w:r>
      <w:r w:rsidDel="00000000" w:rsidR="00000000" w:rsidRPr="00000000">
        <w:rPr>
          <w:sz w:val="22"/>
          <w:szCs w:val="22"/>
          <w:rtl w:val="0"/>
        </w:rPr>
        <w:t xml:space="preserve"> and identify patterns in eligibility.</w:t>
      </w:r>
      <w:r w:rsidDel="00000000" w:rsidR="00000000" w:rsidRPr="00000000">
        <w:rPr>
          <w:rtl w:val="0"/>
        </w:rPr>
      </w:r>
    </w:p>
    <w:p w:rsidR="00000000" w:rsidDel="00000000" w:rsidP="00000000" w:rsidRDefault="00000000" w:rsidRPr="00000000" w14:paraId="0000000A">
      <w:pPr>
        <w:pStyle w:val="Heading2"/>
        <w:keepNext w:val="0"/>
        <w:keepLines w:val="0"/>
        <w:numPr>
          <w:ilvl w:val="0"/>
          <w:numId w:val="1"/>
        </w:numPr>
        <w:spacing w:after="0" w:before="0" w:lineRule="auto"/>
        <w:ind w:left="-360" w:right="-720" w:hanging="360"/>
        <w:rPr>
          <w:u w:val="none"/>
        </w:rPr>
      </w:pPr>
      <w:bookmarkStart w:colFirst="0" w:colLast="0" w:name="_heading=h.1t3h5sf" w:id="7"/>
      <w:bookmarkEnd w:id="7"/>
      <w:r w:rsidDel="00000000" w:rsidR="00000000" w:rsidRPr="00000000">
        <w:rPr>
          <w:b w:val="1"/>
          <w:sz w:val="22"/>
          <w:szCs w:val="22"/>
          <w:rtl w:val="0"/>
        </w:rPr>
        <w:t xml:space="preserve">Electric Range Analysis:</w:t>
      </w:r>
      <w:r w:rsidDel="00000000" w:rsidR="00000000" w:rsidRPr="00000000">
        <w:rPr>
          <w:sz w:val="22"/>
          <w:szCs w:val="22"/>
          <w:rtl w:val="0"/>
        </w:rPr>
        <w:t xml:space="preserve"> Examine the </w:t>
      </w:r>
      <w:r w:rsidDel="00000000" w:rsidR="00000000" w:rsidRPr="00000000">
        <w:rPr>
          <w:b w:val="1"/>
          <w:sz w:val="22"/>
          <w:szCs w:val="22"/>
          <w:rtl w:val="0"/>
        </w:rPr>
        <w:t xml:space="preserve">battery range</w:t>
      </w:r>
      <w:r w:rsidDel="00000000" w:rsidR="00000000" w:rsidRPr="00000000">
        <w:rPr>
          <w:sz w:val="22"/>
          <w:szCs w:val="22"/>
          <w:rtl w:val="0"/>
        </w:rPr>
        <w:t xml:space="preserve"> of different EV models and their impact on CAFV eligibility.</w:t>
      </w:r>
      <w:r w:rsidDel="00000000" w:rsidR="00000000" w:rsidRPr="00000000">
        <w:rPr>
          <w:rtl w:val="0"/>
        </w:rPr>
      </w:r>
    </w:p>
    <w:p w:rsidR="00000000" w:rsidDel="00000000" w:rsidP="00000000" w:rsidRDefault="00000000" w:rsidRPr="00000000" w14:paraId="0000000B">
      <w:pPr>
        <w:pStyle w:val="Heading2"/>
        <w:keepNext w:val="0"/>
        <w:keepLines w:val="0"/>
        <w:numPr>
          <w:ilvl w:val="0"/>
          <w:numId w:val="1"/>
        </w:numPr>
        <w:spacing w:after="0" w:before="0" w:lineRule="auto"/>
        <w:ind w:left="-360" w:right="-720" w:hanging="360"/>
        <w:rPr>
          <w:u w:val="none"/>
        </w:rPr>
      </w:pPr>
      <w:bookmarkStart w:colFirst="0" w:colLast="0" w:name="_heading=h.4d34og8" w:id="8"/>
      <w:bookmarkEnd w:id="8"/>
      <w:r w:rsidDel="00000000" w:rsidR="00000000" w:rsidRPr="00000000">
        <w:rPr>
          <w:b w:val="1"/>
          <w:sz w:val="22"/>
          <w:szCs w:val="22"/>
          <w:rtl w:val="0"/>
        </w:rPr>
        <w:t xml:space="preserve">Utility Providers &amp; Infrastructure:</w:t>
      </w:r>
      <w:r w:rsidDel="00000000" w:rsidR="00000000" w:rsidRPr="00000000">
        <w:rPr>
          <w:sz w:val="22"/>
          <w:szCs w:val="22"/>
          <w:rtl w:val="0"/>
        </w:rPr>
        <w:t xml:space="preserve"> Identify </w:t>
      </w:r>
      <w:r w:rsidDel="00000000" w:rsidR="00000000" w:rsidRPr="00000000">
        <w:rPr>
          <w:b w:val="1"/>
          <w:sz w:val="22"/>
          <w:szCs w:val="22"/>
          <w:rtl w:val="0"/>
        </w:rPr>
        <w:t xml:space="preserve">electric utility providers</w:t>
      </w:r>
      <w:r w:rsidDel="00000000" w:rsidR="00000000" w:rsidRPr="00000000">
        <w:rPr>
          <w:sz w:val="22"/>
          <w:szCs w:val="22"/>
          <w:rtl w:val="0"/>
        </w:rPr>
        <w:t xml:space="preserve"> serving EV users and assess the potential demand for charging infrastructure.</w:t>
      </w:r>
      <w:r w:rsidDel="00000000" w:rsidR="00000000" w:rsidRPr="00000000">
        <w:rPr>
          <w:rtl w:val="0"/>
        </w:rPr>
      </w:r>
    </w:p>
    <w:p w:rsidR="00000000" w:rsidDel="00000000" w:rsidP="00000000" w:rsidRDefault="00000000" w:rsidRPr="00000000" w14:paraId="0000000C">
      <w:pPr>
        <w:pStyle w:val="Heading2"/>
        <w:keepNext w:val="0"/>
        <w:keepLines w:val="0"/>
        <w:numPr>
          <w:ilvl w:val="0"/>
          <w:numId w:val="1"/>
        </w:numPr>
        <w:spacing w:after="80" w:before="0" w:lineRule="auto"/>
        <w:ind w:left="-360" w:right="-720" w:hanging="360"/>
        <w:rPr>
          <w:u w:val="none"/>
        </w:rPr>
      </w:pPr>
      <w:bookmarkStart w:colFirst="0" w:colLast="0" w:name="_heading=h.2s8eyo1" w:id="9"/>
      <w:bookmarkEnd w:id="9"/>
      <w:r w:rsidDel="00000000" w:rsidR="00000000" w:rsidRPr="00000000">
        <w:rPr>
          <w:b w:val="1"/>
          <w:sz w:val="22"/>
          <w:szCs w:val="22"/>
          <w:rtl w:val="0"/>
        </w:rPr>
        <w:t xml:space="preserve">Legislative &amp; Policy Impact:</w:t>
      </w:r>
      <w:r w:rsidDel="00000000" w:rsidR="00000000" w:rsidRPr="00000000">
        <w:rPr>
          <w:sz w:val="22"/>
          <w:szCs w:val="22"/>
          <w:rtl w:val="0"/>
        </w:rPr>
        <w:t xml:space="preserve"> Understand the influence of </w:t>
      </w:r>
      <w:r w:rsidDel="00000000" w:rsidR="00000000" w:rsidRPr="00000000">
        <w:rPr>
          <w:b w:val="1"/>
          <w:sz w:val="22"/>
          <w:szCs w:val="22"/>
          <w:rtl w:val="0"/>
        </w:rPr>
        <w:t xml:space="preserve">legislative districts</w:t>
      </w:r>
      <w:r w:rsidDel="00000000" w:rsidR="00000000" w:rsidRPr="00000000">
        <w:rPr>
          <w:sz w:val="22"/>
          <w:szCs w:val="22"/>
          <w:rtl w:val="0"/>
        </w:rPr>
        <w:t xml:space="preserve"> on EV adoption and fuel eligibility.</w: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ind w:left="-720" w:right="-720" w:firstLine="0"/>
        <w:rPr>
          <w:b w:val="1"/>
          <w:sz w:val="34"/>
          <w:szCs w:val="34"/>
        </w:rPr>
      </w:pPr>
      <w:bookmarkStart w:colFirst="0" w:colLast="0" w:name="_heading=h.17dp8vu" w:id="10"/>
      <w:bookmarkEnd w:id="10"/>
      <w:r w:rsidDel="00000000" w:rsidR="00000000" w:rsidRPr="00000000">
        <w:rPr>
          <w:b w:val="1"/>
          <w:sz w:val="26"/>
          <w:szCs w:val="26"/>
          <w:rtl w:val="0"/>
        </w:rPr>
        <w:t xml:space="preserve">Data Visualization Features </w:t>
      </w:r>
      <w:r w:rsidDel="00000000" w:rsidR="00000000" w:rsidRPr="00000000">
        <w:rPr>
          <w:rtl w:val="0"/>
        </w:rPr>
      </w:r>
    </w:p>
    <w:p w:rsidR="00000000" w:rsidDel="00000000" w:rsidP="00000000" w:rsidRDefault="00000000" w:rsidRPr="00000000" w14:paraId="0000000E">
      <w:pPr>
        <w:pStyle w:val="Heading2"/>
        <w:keepNext w:val="0"/>
        <w:keepLines w:val="0"/>
        <w:numPr>
          <w:ilvl w:val="0"/>
          <w:numId w:val="2"/>
        </w:numPr>
        <w:spacing w:after="0" w:lineRule="auto"/>
        <w:ind w:left="-360" w:right="-720" w:hanging="360"/>
        <w:rPr>
          <w:sz w:val="20"/>
          <w:szCs w:val="20"/>
        </w:rPr>
      </w:pPr>
      <w:bookmarkStart w:colFirst="0" w:colLast="0" w:name="_heading=h.3rdcrjn" w:id="11"/>
      <w:bookmarkEnd w:id="11"/>
      <w:r w:rsidDel="00000000" w:rsidR="00000000" w:rsidRPr="00000000">
        <w:rPr>
          <w:b w:val="1"/>
          <w:sz w:val="22"/>
          <w:szCs w:val="22"/>
          <w:rtl w:val="0"/>
        </w:rPr>
        <w:t xml:space="preserve">Interactive Maps &amp; Geospatial Analysis</w:t>
      </w:r>
      <w:r w:rsidDel="00000000" w:rsidR="00000000" w:rsidRPr="00000000">
        <w:rPr>
          <w:sz w:val="22"/>
          <w:szCs w:val="22"/>
          <w:rtl w:val="0"/>
        </w:rPr>
        <w:t xml:space="preserve"> to visualize EV distribution across counties and cities.</w:t>
      </w:r>
      <w:r w:rsidDel="00000000" w:rsidR="00000000" w:rsidRPr="00000000">
        <w:rPr>
          <w:rtl w:val="0"/>
        </w:rPr>
      </w:r>
    </w:p>
    <w:p w:rsidR="00000000" w:rsidDel="00000000" w:rsidP="00000000" w:rsidRDefault="00000000" w:rsidRPr="00000000" w14:paraId="0000000F">
      <w:pPr>
        <w:pStyle w:val="Heading2"/>
        <w:keepNext w:val="0"/>
        <w:keepLines w:val="0"/>
        <w:numPr>
          <w:ilvl w:val="0"/>
          <w:numId w:val="2"/>
        </w:numPr>
        <w:spacing w:after="0" w:before="0" w:lineRule="auto"/>
        <w:ind w:left="-360" w:right="-720" w:hanging="360"/>
        <w:rPr>
          <w:sz w:val="20"/>
          <w:szCs w:val="20"/>
        </w:rPr>
      </w:pPr>
      <w:bookmarkStart w:colFirst="0" w:colLast="0" w:name="_heading=h.26in1rg" w:id="12"/>
      <w:bookmarkEnd w:id="12"/>
      <w:r w:rsidDel="00000000" w:rsidR="00000000" w:rsidRPr="00000000">
        <w:rPr>
          <w:b w:val="1"/>
          <w:sz w:val="22"/>
          <w:szCs w:val="22"/>
          <w:rtl w:val="0"/>
        </w:rPr>
        <w:t xml:space="preserve">Dynamic Filters &amp; Slicers</w:t>
      </w:r>
      <w:r w:rsidDel="00000000" w:rsidR="00000000" w:rsidRPr="00000000">
        <w:rPr>
          <w:sz w:val="22"/>
          <w:szCs w:val="22"/>
          <w:rtl w:val="0"/>
        </w:rPr>
        <w:t xml:space="preserve"> for analyzing EV adoption based on model year, make, and fuel eligibility.</w:t>
      </w:r>
      <w:r w:rsidDel="00000000" w:rsidR="00000000" w:rsidRPr="00000000">
        <w:rPr>
          <w:rtl w:val="0"/>
        </w:rPr>
      </w:r>
    </w:p>
    <w:p w:rsidR="00000000" w:rsidDel="00000000" w:rsidP="00000000" w:rsidRDefault="00000000" w:rsidRPr="00000000" w14:paraId="00000010">
      <w:pPr>
        <w:pStyle w:val="Heading2"/>
        <w:keepNext w:val="0"/>
        <w:keepLines w:val="0"/>
        <w:numPr>
          <w:ilvl w:val="0"/>
          <w:numId w:val="2"/>
        </w:numPr>
        <w:spacing w:after="0" w:before="0" w:lineRule="auto"/>
        <w:ind w:left="-360" w:right="-720" w:hanging="360"/>
        <w:rPr>
          <w:sz w:val="20"/>
          <w:szCs w:val="20"/>
        </w:rPr>
      </w:pPr>
      <w:bookmarkStart w:colFirst="0" w:colLast="0" w:name="_heading=h.lnxbz9" w:id="13"/>
      <w:bookmarkEnd w:id="13"/>
      <w:r w:rsidDel="00000000" w:rsidR="00000000" w:rsidRPr="00000000">
        <w:rPr>
          <w:b w:val="1"/>
          <w:sz w:val="22"/>
          <w:szCs w:val="22"/>
          <w:rtl w:val="0"/>
        </w:rPr>
        <w:t xml:space="preserve">Time-Series Analysis</w:t>
      </w:r>
      <w:r w:rsidDel="00000000" w:rsidR="00000000" w:rsidRPr="00000000">
        <w:rPr>
          <w:sz w:val="22"/>
          <w:szCs w:val="22"/>
          <w:rtl w:val="0"/>
        </w:rPr>
        <w:t xml:space="preserve"> to track adoption trends over different years.</w:t>
      </w:r>
      <w:r w:rsidDel="00000000" w:rsidR="00000000" w:rsidRPr="00000000">
        <w:rPr>
          <w:rtl w:val="0"/>
        </w:rPr>
      </w:r>
    </w:p>
    <w:p w:rsidR="00000000" w:rsidDel="00000000" w:rsidP="00000000" w:rsidRDefault="00000000" w:rsidRPr="00000000" w14:paraId="00000011">
      <w:pPr>
        <w:pStyle w:val="Heading2"/>
        <w:keepNext w:val="0"/>
        <w:keepLines w:val="0"/>
        <w:numPr>
          <w:ilvl w:val="0"/>
          <w:numId w:val="2"/>
        </w:numPr>
        <w:spacing w:after="0" w:before="0" w:lineRule="auto"/>
        <w:ind w:left="-360" w:right="-720" w:hanging="360"/>
        <w:rPr>
          <w:sz w:val="20"/>
          <w:szCs w:val="20"/>
        </w:rPr>
      </w:pPr>
      <w:bookmarkStart w:colFirst="0" w:colLast="0" w:name="_heading=h.35nkun2" w:id="14"/>
      <w:bookmarkEnd w:id="14"/>
      <w:r w:rsidDel="00000000" w:rsidR="00000000" w:rsidRPr="00000000">
        <w:rPr>
          <w:b w:val="1"/>
          <w:sz w:val="22"/>
          <w:szCs w:val="22"/>
          <w:rtl w:val="0"/>
        </w:rPr>
        <w:t xml:space="preserve">Bar &amp; Pie Charts</w:t>
      </w:r>
      <w:r w:rsidDel="00000000" w:rsidR="00000000" w:rsidRPr="00000000">
        <w:rPr>
          <w:sz w:val="22"/>
          <w:szCs w:val="22"/>
          <w:rtl w:val="0"/>
        </w:rPr>
        <w:t xml:space="preserve"> to compare different </w:t>
      </w:r>
      <w:r w:rsidDel="00000000" w:rsidR="00000000" w:rsidRPr="00000000">
        <w:rPr>
          <w:b w:val="1"/>
          <w:sz w:val="22"/>
          <w:szCs w:val="22"/>
          <w:rtl w:val="0"/>
        </w:rPr>
        <w:t xml:space="preserve">vehicle makes, models, and electric ranges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12">
      <w:pPr>
        <w:pStyle w:val="Heading2"/>
        <w:keepNext w:val="0"/>
        <w:keepLines w:val="0"/>
        <w:numPr>
          <w:ilvl w:val="0"/>
          <w:numId w:val="2"/>
        </w:numPr>
        <w:spacing w:after="0" w:before="0" w:lineRule="auto"/>
        <w:ind w:left="-360" w:right="-720" w:hanging="360"/>
        <w:rPr>
          <w:sz w:val="20"/>
          <w:szCs w:val="20"/>
        </w:rPr>
      </w:pPr>
      <w:bookmarkStart w:colFirst="0" w:colLast="0" w:name="_heading=h.1ksv4uv" w:id="15"/>
      <w:bookmarkEnd w:id="15"/>
      <w:r w:rsidDel="00000000" w:rsidR="00000000" w:rsidRPr="00000000">
        <w:rPr>
          <w:b w:val="1"/>
          <w:sz w:val="22"/>
          <w:szCs w:val="22"/>
          <w:rtl w:val="0"/>
        </w:rPr>
        <w:t xml:space="preserve">Key Metrics Cards &amp; KPIs</w:t>
      </w:r>
      <w:r w:rsidDel="00000000" w:rsidR="00000000" w:rsidRPr="00000000">
        <w:rPr>
          <w:sz w:val="22"/>
          <w:szCs w:val="22"/>
          <w:rtl w:val="0"/>
        </w:rPr>
        <w:t xml:space="preserve"> to highlight the percentage of CAFV-eligible vehicles and the overall electric range distribution.</w:t>
      </w:r>
      <w:r w:rsidDel="00000000" w:rsidR="00000000" w:rsidRPr="00000000">
        <w:rPr>
          <w:rtl w:val="0"/>
        </w:rPr>
      </w:r>
    </w:p>
    <w:p w:rsidR="00000000" w:rsidDel="00000000" w:rsidP="00000000" w:rsidRDefault="00000000" w:rsidRPr="00000000" w14:paraId="00000013">
      <w:pPr>
        <w:pStyle w:val="Heading2"/>
        <w:keepNext w:val="0"/>
        <w:keepLines w:val="0"/>
        <w:numPr>
          <w:ilvl w:val="0"/>
          <w:numId w:val="2"/>
        </w:numPr>
        <w:spacing w:after="80" w:before="0" w:lineRule="auto"/>
        <w:ind w:left="-360" w:right="-720" w:hanging="360"/>
        <w:rPr>
          <w:sz w:val="20"/>
          <w:szCs w:val="20"/>
        </w:rPr>
      </w:pPr>
      <w:bookmarkStart w:colFirst="0" w:colLast="0" w:name="_heading=h.44sinio" w:id="16"/>
      <w:bookmarkEnd w:id="16"/>
      <w:r w:rsidDel="00000000" w:rsidR="00000000" w:rsidRPr="00000000">
        <w:rPr>
          <w:b w:val="1"/>
          <w:sz w:val="22"/>
          <w:szCs w:val="22"/>
          <w:rtl w:val="0"/>
        </w:rPr>
        <w:t xml:space="preserve">Heatmaps &amp; Cluster Analysis</w:t>
      </w:r>
      <w:r w:rsidDel="00000000" w:rsidR="00000000" w:rsidRPr="00000000">
        <w:rPr>
          <w:sz w:val="22"/>
          <w:szCs w:val="22"/>
          <w:rtl w:val="0"/>
        </w:rPr>
        <w:t xml:space="preserve"> to determine regions with high EV concentration.</w: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ind w:left="-720" w:right="-720" w:firstLine="0"/>
        <w:rPr>
          <w:b w:val="1"/>
          <w:sz w:val="34"/>
          <w:szCs w:val="34"/>
        </w:rPr>
      </w:pPr>
      <w:bookmarkStart w:colFirst="0" w:colLast="0" w:name="_heading=h.2jxsxqh" w:id="17"/>
      <w:bookmarkEnd w:id="17"/>
      <w:r w:rsidDel="00000000" w:rsidR="00000000" w:rsidRPr="00000000">
        <w:rPr>
          <w:b w:val="1"/>
          <w:sz w:val="26"/>
          <w:szCs w:val="26"/>
          <w:rtl w:val="0"/>
        </w:rPr>
        <w:t xml:space="preserve">Submission Requirements</w:t>
      </w:r>
      <w:r w:rsidDel="00000000" w:rsidR="00000000" w:rsidRPr="00000000">
        <w:rPr>
          <w:rtl w:val="0"/>
        </w:rPr>
      </w:r>
    </w:p>
    <w:p w:rsidR="00000000" w:rsidDel="00000000" w:rsidP="00000000" w:rsidRDefault="00000000" w:rsidRPr="00000000" w14:paraId="00000015">
      <w:pPr>
        <w:pStyle w:val="Heading2"/>
        <w:keepNext w:val="0"/>
        <w:keepLines w:val="0"/>
        <w:numPr>
          <w:ilvl w:val="0"/>
          <w:numId w:val="3"/>
        </w:numPr>
        <w:spacing w:after="0" w:lineRule="auto"/>
        <w:ind w:left="-360" w:right="-720" w:hanging="360"/>
        <w:rPr>
          <w:sz w:val="22"/>
          <w:szCs w:val="22"/>
        </w:rPr>
      </w:pPr>
      <w:bookmarkStart w:colFirst="0" w:colLast="0" w:name="_heading=h.z337ya" w:id="18"/>
      <w:bookmarkEnd w:id="18"/>
      <w:r w:rsidDel="00000000" w:rsidR="00000000" w:rsidRPr="00000000">
        <w:rPr>
          <w:sz w:val="22"/>
          <w:szCs w:val="22"/>
          <w:rtl w:val="0"/>
        </w:rPr>
        <w:t xml:space="preserve">A </w:t>
      </w:r>
      <w:r w:rsidDel="00000000" w:rsidR="00000000" w:rsidRPr="00000000">
        <w:rPr>
          <w:b w:val="1"/>
          <w:sz w:val="22"/>
          <w:szCs w:val="22"/>
          <w:rtl w:val="0"/>
        </w:rPr>
        <w:t xml:space="preserve">Dashboard</w:t>
      </w:r>
      <w:r w:rsidDel="00000000" w:rsidR="00000000" w:rsidRPr="00000000">
        <w:rPr>
          <w:sz w:val="22"/>
          <w:szCs w:val="22"/>
          <w:rtl w:val="0"/>
        </w:rPr>
        <w:t xml:space="preserve"> with clear, interactive visuals that provide meaningful insights into electric vehicle adoption.</w:t>
      </w:r>
    </w:p>
    <w:p w:rsidR="00000000" w:rsidDel="00000000" w:rsidP="00000000" w:rsidRDefault="00000000" w:rsidRPr="00000000" w14:paraId="00000016">
      <w:pPr>
        <w:pStyle w:val="Heading2"/>
        <w:keepNext w:val="0"/>
        <w:keepLines w:val="0"/>
        <w:numPr>
          <w:ilvl w:val="0"/>
          <w:numId w:val="3"/>
        </w:numPr>
        <w:spacing w:after="0" w:before="0" w:lineRule="auto"/>
        <w:ind w:left="-360" w:right="-720" w:hanging="360"/>
        <w:rPr>
          <w:sz w:val="22"/>
          <w:szCs w:val="22"/>
        </w:rPr>
      </w:pPr>
      <w:bookmarkStart w:colFirst="0" w:colLast="0" w:name="_heading=h.3j2qqm3" w:id="19"/>
      <w:bookmarkEnd w:id="19"/>
      <w:r w:rsidDel="00000000" w:rsidR="00000000" w:rsidRPr="00000000">
        <w:rPr>
          <w:sz w:val="22"/>
          <w:szCs w:val="22"/>
          <w:rtl w:val="0"/>
        </w:rPr>
        <w:t xml:space="preserve">A </w:t>
      </w:r>
      <w:r w:rsidDel="00000000" w:rsidR="00000000" w:rsidRPr="00000000">
        <w:rPr>
          <w:b w:val="1"/>
          <w:sz w:val="22"/>
          <w:szCs w:val="22"/>
          <w:rtl w:val="0"/>
        </w:rPr>
        <w:t xml:space="preserve">report summarizing findings</w:t>
      </w:r>
      <w:r w:rsidDel="00000000" w:rsidR="00000000" w:rsidRPr="00000000">
        <w:rPr>
          <w:sz w:val="22"/>
          <w:szCs w:val="22"/>
          <w:rtl w:val="0"/>
        </w:rPr>
        <w:t xml:space="preserve">, key takeaways, and actionable recommendations.</w:t>
      </w:r>
    </w:p>
    <w:p w:rsidR="00000000" w:rsidDel="00000000" w:rsidP="00000000" w:rsidRDefault="00000000" w:rsidRPr="00000000" w14:paraId="00000017">
      <w:pPr>
        <w:pStyle w:val="Heading2"/>
        <w:keepNext w:val="0"/>
        <w:keepLines w:val="0"/>
        <w:numPr>
          <w:ilvl w:val="0"/>
          <w:numId w:val="3"/>
        </w:numPr>
        <w:spacing w:after="80" w:before="0" w:lineRule="auto"/>
        <w:ind w:left="-360" w:right="-720" w:hanging="360"/>
        <w:rPr>
          <w:sz w:val="22"/>
          <w:szCs w:val="22"/>
        </w:rPr>
      </w:pPr>
      <w:bookmarkStart w:colFirst="0" w:colLast="0" w:name="_heading=h.1y810tw" w:id="20"/>
      <w:bookmarkEnd w:id="20"/>
      <w:r w:rsidDel="00000000" w:rsidR="00000000" w:rsidRPr="00000000">
        <w:rPr>
          <w:sz w:val="22"/>
          <w:szCs w:val="22"/>
          <w:rtl w:val="0"/>
        </w:rPr>
        <w:t xml:space="preserve">Well-structured and labeled visuals for easy interpretation.</w:t>
      </w:r>
    </w:p>
    <w:p w:rsidR="00000000" w:rsidDel="00000000" w:rsidP="00000000" w:rsidRDefault="00000000" w:rsidRPr="00000000" w14:paraId="00000018">
      <w:pPr>
        <w:ind w:left="-720" w:right="-720" w:firstLine="0"/>
        <w:rPr>
          <w:sz w:val="20"/>
          <w:szCs w:val="20"/>
        </w:rPr>
      </w:pPr>
      <w:r w:rsidDel="00000000" w:rsidR="00000000" w:rsidRPr="00000000">
        <w:rPr>
          <w:rtl w:val="0"/>
        </w:rPr>
      </w:r>
    </w:p>
    <w:sectPr>
      <w:pgSz w:h="15840" w:w="12240" w:orient="portrait"/>
      <w:pgMar w:bottom="1620" w:top="1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UthG2aalmhofIRcl58kHVreyA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gAciExWWFMY3pNMFMzenZaRGFkVWN0ck5kVEVpckRTREZCS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