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SaaS Platforms, Cloud Infrastructure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systems, support processes, SLAs, and reliability practices.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Hiring • Manager Development • Delivery Ownership • Technical Strategy</w:t>
      </w:r>
      <w:r w:rsidRPr="00403AB1">
        <w:rPr>
          <w:sz w:val="21"/>
          <w:szCs w:val="21"/>
        </w:rPr>
        <w:br/>
        <w:t>Security: Identity / Access Controls • OIDC / SSO / JWT • RBAC • Secrets Management • Credential Controls • Auditability</w:t>
      </w:r>
      <w:r w:rsidRPr="00403AB1">
        <w:rPr>
          <w:sz w:val="21"/>
          <w:szCs w:val="21"/>
        </w:rPr>
        <w:br/>
        <w:t>Platform: API-First Services • Secure APIs • Cloud Governance • Reliability • Observability • Developer Tooling</w:t>
      </w:r>
      <w:r w:rsidRPr="00403AB1">
        <w:rPr>
          <w:sz w:val="21"/>
          <w:szCs w:val="21"/>
        </w:rPr>
        <w:br/>
        <w:t>Technical: AWS (IAM Identity Center, Secrets Manager, ECS, Lambda, RDS/Aurora, Security Hub) • Java / Spring • Python • TypeScript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identity and authorization controls across TBuilder and Pitchstone Platform, including JWT-based authentication, Azure Entra SSO, Keycloak OIDC, RBAC/permission models, IAM Identity Center permission sets, and environment access boundaries.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platform foundations for secure APIs, access controls, CI/CD, observability, developer environments, and release operations, improving reliability while reducing non-production cloud spend by 35-40%.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credential and execution controls using AWS Secrets Manager runtime injection, 1Password for non-application secrets, and Bitbucket build-artifact signing with production Docker image verification.</w:t>
      </w:r>
    </w:p>
    <w:p w14:paraId="2B4D82CD" w14:textId="3ECAE716" w:rsidR="00865EFC" w:rsidRPr="00944C60" w:rsidRDefault="001213AA" w:rsidP="00047ADB">
      <w:pPr>
        <w:spacing w:after="40"/>
        <w:rPr>
          <w:b/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Zitadel OIDC auth,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47ADB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44C60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810</Words>
  <Characters>5703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24</cp:revision>
  <cp:lastPrinted>2025-11-03T20:26:00Z</cp:lastPrinted>
  <dcterms:created xsi:type="dcterms:W3CDTF">2025-11-03T20:26:00Z</dcterms:created>
  <dcterms:modified xsi:type="dcterms:W3CDTF">2026-05-05T18:04:00Z</dcterms:modified>
  <cp:category/>
</cp:coreProperties>
</file>