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7A6F7" w14:textId="77777777" w:rsidR="00AE1AC7" w:rsidRPr="00AE1AC7" w:rsidRDefault="00AE1AC7" w:rsidP="00AE1AC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E1AC7">
        <w:rPr>
          <w:b/>
          <w:bCs/>
          <w:sz w:val="36"/>
          <w:szCs w:val="36"/>
        </w:rPr>
        <w:t>UAE Investment Overview</w:t>
      </w:r>
    </w:p>
    <w:p w14:paraId="2615177A" w14:textId="77777777" w:rsidR="0035391D" w:rsidRDefault="0035391D" w:rsidP="0035391D">
      <w:pPr>
        <w:pStyle w:val="NormalWeb"/>
        <w:spacing w:before="0" w:beforeAutospacing="0" w:after="0" w:afterAutospacing="0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>The UAE is a </w:t>
      </w:r>
      <w:hyperlink r:id="rId5" w:history="1">
        <w:r w:rsidRPr="00DB02D9">
          <w:rPr>
            <w:rStyle w:val="Hyperlink"/>
            <w:rFonts w:ascii="Roboto" w:eastAsiaTheme="majorEastAsia" w:hAnsi="Roboto"/>
            <w:color w:val="000000" w:themeColor="text1"/>
            <w:sz w:val="22"/>
            <w:szCs w:val="22"/>
            <w:u w:val="none"/>
            <w:bdr w:val="none" w:sz="0" w:space="0" w:color="auto" w:frame="1"/>
          </w:rPr>
          <w:t>constitutional federation</w:t>
        </w:r>
      </w:hyperlink>
      <w:r w:rsidRPr="00DB02D9">
        <w:rPr>
          <w:rFonts w:ascii="Roboto" w:hAnsi="Roboto"/>
          <w:color w:val="000000" w:themeColor="text1"/>
          <w:sz w:val="22"/>
          <w:szCs w:val="22"/>
        </w:rPr>
        <w:t> </w:t>
      </w:r>
      <w:r>
        <w:rPr>
          <w:rFonts w:ascii="Roboto" w:hAnsi="Roboto"/>
          <w:sz w:val="22"/>
          <w:szCs w:val="22"/>
        </w:rPr>
        <w:t>of seven emirates. The Constitution of the UAE provides for five federal authorities. They are:</w:t>
      </w:r>
    </w:p>
    <w:p w14:paraId="12326CAE" w14:textId="77777777" w:rsidR="0035391D" w:rsidRDefault="0035391D" w:rsidP="0035391D">
      <w:pPr>
        <w:numPr>
          <w:ilvl w:val="0"/>
          <w:numId w:val="21"/>
        </w:numPr>
        <w:spacing w:after="100" w:afterAutospacing="1"/>
        <w:rPr>
          <w:rFonts w:ascii="Roboto" w:hAnsi="Roboto"/>
          <w:color w:val="212529"/>
          <w:sz w:val="22"/>
          <w:szCs w:val="22"/>
        </w:rPr>
      </w:pPr>
      <w:r>
        <w:rPr>
          <w:rFonts w:ascii="Roboto" w:hAnsi="Roboto"/>
          <w:color w:val="212529"/>
          <w:sz w:val="22"/>
          <w:szCs w:val="22"/>
        </w:rPr>
        <w:t>The Supreme Council</w:t>
      </w:r>
    </w:p>
    <w:p w14:paraId="337FFC05" w14:textId="77777777" w:rsidR="0035391D" w:rsidRDefault="0035391D" w:rsidP="0035391D">
      <w:pPr>
        <w:numPr>
          <w:ilvl w:val="0"/>
          <w:numId w:val="21"/>
        </w:numPr>
        <w:spacing w:after="100" w:afterAutospacing="1"/>
        <w:rPr>
          <w:rFonts w:ascii="Roboto" w:hAnsi="Roboto"/>
          <w:color w:val="212529"/>
          <w:sz w:val="22"/>
          <w:szCs w:val="22"/>
        </w:rPr>
      </w:pPr>
      <w:r>
        <w:rPr>
          <w:rFonts w:ascii="Roboto" w:hAnsi="Roboto"/>
          <w:color w:val="212529"/>
          <w:sz w:val="22"/>
          <w:szCs w:val="22"/>
        </w:rPr>
        <w:t>The President and the Vice-President</w:t>
      </w:r>
    </w:p>
    <w:p w14:paraId="4FF4171E" w14:textId="77777777" w:rsidR="0035391D" w:rsidRDefault="0035391D" w:rsidP="0035391D">
      <w:pPr>
        <w:numPr>
          <w:ilvl w:val="0"/>
          <w:numId w:val="21"/>
        </w:numPr>
        <w:spacing w:after="100" w:afterAutospacing="1"/>
        <w:rPr>
          <w:rFonts w:ascii="Roboto" w:hAnsi="Roboto"/>
          <w:color w:val="212529"/>
          <w:sz w:val="22"/>
          <w:szCs w:val="22"/>
        </w:rPr>
      </w:pPr>
      <w:r>
        <w:rPr>
          <w:rFonts w:ascii="Roboto" w:hAnsi="Roboto"/>
          <w:color w:val="212529"/>
          <w:sz w:val="22"/>
          <w:szCs w:val="22"/>
        </w:rPr>
        <w:t>The Cabinet</w:t>
      </w:r>
    </w:p>
    <w:p w14:paraId="6227C8CA" w14:textId="77777777" w:rsidR="0035391D" w:rsidRDefault="0035391D" w:rsidP="0035391D">
      <w:pPr>
        <w:numPr>
          <w:ilvl w:val="0"/>
          <w:numId w:val="21"/>
        </w:numPr>
        <w:spacing w:after="100" w:afterAutospacing="1"/>
        <w:rPr>
          <w:rFonts w:ascii="Roboto" w:hAnsi="Roboto"/>
          <w:color w:val="212529"/>
          <w:sz w:val="22"/>
          <w:szCs w:val="22"/>
        </w:rPr>
      </w:pPr>
      <w:r>
        <w:rPr>
          <w:rFonts w:ascii="Roboto" w:hAnsi="Roboto"/>
          <w:color w:val="212529"/>
          <w:sz w:val="22"/>
          <w:szCs w:val="22"/>
        </w:rPr>
        <w:t>The Federal National Council</w:t>
      </w:r>
    </w:p>
    <w:p w14:paraId="2B4EE6FE" w14:textId="77777777" w:rsidR="0035391D" w:rsidRDefault="0035391D" w:rsidP="0035391D">
      <w:pPr>
        <w:numPr>
          <w:ilvl w:val="0"/>
          <w:numId w:val="21"/>
        </w:numPr>
        <w:spacing w:after="100" w:afterAutospacing="1"/>
        <w:rPr>
          <w:rFonts w:ascii="Roboto" w:hAnsi="Roboto"/>
          <w:color w:val="212529"/>
          <w:sz w:val="22"/>
          <w:szCs w:val="22"/>
        </w:rPr>
      </w:pPr>
      <w:r>
        <w:rPr>
          <w:rFonts w:ascii="Roboto" w:hAnsi="Roboto"/>
          <w:color w:val="212529"/>
          <w:sz w:val="22"/>
          <w:szCs w:val="22"/>
        </w:rPr>
        <w:t>The Federal Judiciary.</w:t>
      </w:r>
    </w:p>
    <w:p w14:paraId="42A61648" w14:textId="77777777" w:rsidR="0035391D" w:rsidRDefault="0035391D" w:rsidP="003B1046">
      <w:pPr>
        <w:pStyle w:val="NormalWeb"/>
        <w:shd w:val="clear" w:color="auto" w:fill="F5F5F5"/>
        <w:spacing w:before="0" w:beforeAutospacing="0" w:after="0" w:afterAutospacing="0"/>
        <w:jc w:val="both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>Since February 2002, the Arab Emirati Dirham (AED) is pegged to the US dollar (USD). </w:t>
      </w:r>
    </w:p>
    <w:p w14:paraId="58E48301" w14:textId="687AC823" w:rsidR="004077F0" w:rsidRPr="003B1046" w:rsidRDefault="00DB02D9" w:rsidP="003B1046">
      <w:pPr>
        <w:spacing w:before="100" w:beforeAutospacing="1" w:after="100" w:afterAutospacing="1"/>
        <w:jc w:val="both"/>
        <w:outlineLvl w:val="2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  <w:lang w:val="en-US"/>
        </w:rPr>
        <w:t xml:space="preserve">Linked to the website: </w:t>
      </w:r>
      <w:hyperlink r:id="rId6" w:tgtFrame="_blank" w:history="1">
        <w:r w:rsidR="0035391D" w:rsidRPr="003B1046">
          <w:rPr>
            <w:sz w:val="22"/>
            <w:szCs w:val="22"/>
          </w:rPr>
          <w:t>1 U</w:t>
        </w:r>
        <w:r w:rsidR="0035391D" w:rsidRPr="003B1046">
          <w:rPr>
            <w:sz w:val="22"/>
            <w:szCs w:val="22"/>
          </w:rPr>
          <w:t>S</w:t>
        </w:r>
        <w:r w:rsidR="0035391D" w:rsidRPr="003B1046">
          <w:rPr>
            <w:sz w:val="22"/>
            <w:szCs w:val="22"/>
          </w:rPr>
          <w:t>D = AED 3.6725.</w:t>
        </w:r>
      </w:hyperlink>
    </w:p>
    <w:p w14:paraId="4BA5FAC4" w14:textId="27AE2579" w:rsidR="00184EDC" w:rsidRDefault="00184EDC" w:rsidP="00184EDC">
      <w:pPr>
        <w:pStyle w:val="NormalWeb"/>
      </w:pPr>
      <w:r>
        <w:rPr>
          <w:rFonts w:hAnsi="Symbol"/>
        </w:rPr>
        <w:t></w:t>
      </w:r>
      <w:r>
        <w:t xml:space="preserve">  The UAE showed </w:t>
      </w:r>
      <w:r>
        <w:rPr>
          <w:rStyle w:val="Strong"/>
          <w:rFonts w:eastAsiaTheme="majorEastAsia"/>
        </w:rPr>
        <w:t>robust growth in 2025</w:t>
      </w:r>
      <w:r>
        <w:t xml:space="preserve">, driven by strong non-oil activity (tourism, real estate, logistics, services) and continued energy sector investment. The IMF and World Bank both project growth around </w:t>
      </w:r>
      <w:r>
        <w:rPr>
          <w:rStyle w:val="Strong"/>
          <w:rFonts w:eastAsiaTheme="majorEastAsia"/>
        </w:rPr>
        <w:t>~4.8% in 2025</w:t>
      </w:r>
      <w:r>
        <w:t xml:space="preserve">, with the IMF raising its forecast to </w:t>
      </w:r>
      <w:r>
        <w:rPr>
          <w:rStyle w:val="Strong"/>
          <w:rFonts w:eastAsiaTheme="majorEastAsia"/>
        </w:rPr>
        <w:t>5.0% for 2026</w:t>
      </w:r>
      <w:r>
        <w:t xml:space="preserve">. </w:t>
      </w:r>
    </w:p>
    <w:p w14:paraId="3991FF81" w14:textId="5EE053D8" w:rsidR="00184EDC" w:rsidRDefault="00184EDC" w:rsidP="00184EDC">
      <w:pPr>
        <w:pStyle w:val="NormalWeb"/>
      </w:pPr>
      <w:r>
        <w:rPr>
          <w:rFonts w:hAnsi="Symbol"/>
        </w:rPr>
        <w:t></w:t>
      </w:r>
      <w:r>
        <w:t xml:space="preserve">  Inflation in 2025 remained low/moderate (around </w:t>
      </w:r>
      <w:r>
        <w:rPr>
          <w:rStyle w:val="Strong"/>
          <w:rFonts w:eastAsiaTheme="majorEastAsia"/>
        </w:rPr>
        <w:t>~1–2%</w:t>
      </w:r>
      <w:r>
        <w:t xml:space="preserve">), easing pressure on domestic prices. </w:t>
      </w:r>
    </w:p>
    <w:p w14:paraId="3103CA96" w14:textId="5EFD6AD8" w:rsidR="00184EDC" w:rsidRDefault="00184EDC" w:rsidP="00184EDC">
      <w:pPr>
        <w:pStyle w:val="NormalWeb"/>
      </w:pPr>
      <w:r>
        <w:rPr>
          <w:rFonts w:hAnsi="Symbol"/>
        </w:rPr>
        <w:t></w:t>
      </w:r>
      <w:r>
        <w:t xml:space="preserve">  Monetary policy has been aligned with US Fed moves to preserve the AED-USD peg; the Central Bank of the UAE (CBUAE) cut its base rate in 2025 following US easing. </w:t>
      </w:r>
    </w:p>
    <w:p w14:paraId="797FA458" w14:textId="3AF8D775" w:rsidR="00184EDC" w:rsidRDefault="00184EDC" w:rsidP="00184EDC">
      <w:pPr>
        <w:pStyle w:val="NormalWeb"/>
      </w:pPr>
      <w:r>
        <w:rPr>
          <w:rFonts w:hAnsi="Symbol"/>
        </w:rPr>
        <w:t></w:t>
      </w:r>
      <w:r>
        <w:t xml:space="preserve">  Sovereign creditworthiness stays high (ratings affirmed in 2025 by top agencies — S&amp;P, Moody’s, Fitch). Public debt remains moderate by international standards. </w:t>
      </w:r>
    </w:p>
    <w:p w14:paraId="30D0CB97" w14:textId="77777777" w:rsidR="00184EDC" w:rsidRDefault="00184EDC" w:rsidP="00184EDC">
      <w:pPr>
        <w:pStyle w:val="NormalWeb"/>
      </w:pPr>
      <w:r>
        <w:rPr>
          <w:rFonts w:hAnsi="Symbol"/>
        </w:rPr>
        <w:t></w:t>
      </w:r>
      <w:r>
        <w:t xml:space="preserve">  Key near-term upside: continued tourism demand and ADNOC capacity expansions. Key downside: oil price shocks, regional geopolitical risks, and a global slowdown. </w:t>
      </w:r>
    </w:p>
    <w:p w14:paraId="5A65E232" w14:textId="1DD70DCF" w:rsidR="00184EDC" w:rsidRDefault="00184EDC" w:rsidP="000C4711">
      <w:pPr>
        <w:pStyle w:val="NormalWeb"/>
      </w:pPr>
      <w:r>
        <w:rPr>
          <w:rStyle w:val="Strong"/>
          <w:rFonts w:eastAsiaTheme="majorEastAsia"/>
        </w:rPr>
        <w:t>Drivers:</w:t>
      </w:r>
      <w:r>
        <w:t xml:space="preserve"> Non-oil sectors (tourism, real estate, logistics, financial services, construction) and public/private investment in energy and infrastructure. The push to expand oil &amp; gas capacity also supports growth via investment and jobs. </w:t>
      </w:r>
    </w:p>
    <w:p w14:paraId="5E517DA0" w14:textId="3D8970EC" w:rsidR="007937AF" w:rsidRDefault="00DB02D9" w:rsidP="007937AF">
      <w:pPr>
        <w:pStyle w:val="Heading1"/>
      </w:pPr>
      <w:r>
        <w:rPr>
          <w:lang w:val="en-US"/>
        </w:rPr>
        <w:t>Summary</w:t>
      </w:r>
      <w:r w:rsidR="007937AF">
        <w:t xml:space="preserve"> </w:t>
      </w:r>
    </w:p>
    <w:p w14:paraId="774D5CBB" w14:textId="77E16BD4" w:rsidR="007937AF" w:rsidRDefault="007937AF" w:rsidP="007937AF">
      <w:pPr>
        <w:pStyle w:val="NormalWeb"/>
        <w:numPr>
          <w:ilvl w:val="0"/>
          <w:numId w:val="25"/>
        </w:numPr>
      </w:pPr>
      <w:r>
        <w:rPr>
          <w:rStyle w:val="Strong"/>
          <w:rFonts w:eastAsiaTheme="majorEastAsia"/>
        </w:rPr>
        <w:t>Real GDP growth (2025):</w:t>
      </w:r>
      <w:r>
        <w:t xml:space="preserve"> </w:t>
      </w:r>
      <w:r>
        <w:rPr>
          <w:rStyle w:val="Strong"/>
          <w:rFonts w:eastAsiaTheme="majorEastAsia"/>
        </w:rPr>
        <w:t>4.8%</w:t>
      </w:r>
      <w:r>
        <w:t xml:space="preserve"> (IMF WEO / World Bank). </w:t>
      </w:r>
    </w:p>
    <w:p w14:paraId="6DEB6A91" w14:textId="1DF2A69E" w:rsidR="007937AF" w:rsidRDefault="007937AF" w:rsidP="007937AF">
      <w:pPr>
        <w:pStyle w:val="NormalWeb"/>
        <w:numPr>
          <w:ilvl w:val="0"/>
          <w:numId w:val="25"/>
        </w:numPr>
      </w:pPr>
      <w:r>
        <w:rPr>
          <w:rStyle w:val="Strong"/>
          <w:rFonts w:eastAsiaTheme="majorEastAsia"/>
        </w:rPr>
        <w:t>IMF 2026 growth forecast:</w:t>
      </w:r>
      <w:r>
        <w:t xml:space="preserve"> </w:t>
      </w:r>
      <w:r>
        <w:rPr>
          <w:rStyle w:val="Strong"/>
          <w:rFonts w:eastAsiaTheme="majorEastAsia"/>
        </w:rPr>
        <w:t>5.0% (2026)</w:t>
      </w:r>
      <w:r>
        <w:t xml:space="preserve">. </w:t>
      </w:r>
    </w:p>
    <w:p w14:paraId="7B642772" w14:textId="00EEC5F5" w:rsidR="007937AF" w:rsidRDefault="007937AF" w:rsidP="007937AF">
      <w:pPr>
        <w:pStyle w:val="NormalWeb"/>
        <w:numPr>
          <w:ilvl w:val="0"/>
          <w:numId w:val="25"/>
        </w:numPr>
      </w:pPr>
      <w:r>
        <w:rPr>
          <w:rStyle w:val="Strong"/>
          <w:rFonts w:eastAsiaTheme="majorEastAsia"/>
        </w:rPr>
        <w:t>CPI inflation (2025):</w:t>
      </w:r>
      <w:r>
        <w:t xml:space="preserve"> </w:t>
      </w:r>
      <w:r>
        <w:rPr>
          <w:rStyle w:val="Strong"/>
          <w:rFonts w:eastAsiaTheme="majorEastAsia"/>
        </w:rPr>
        <w:t>~1.6% (IMF WEO average)</w:t>
      </w:r>
      <w:r>
        <w:t xml:space="preserve">. </w:t>
      </w:r>
    </w:p>
    <w:p w14:paraId="4C4A3A79" w14:textId="632CF136" w:rsidR="007937AF" w:rsidRDefault="007937AF" w:rsidP="007937AF">
      <w:pPr>
        <w:pStyle w:val="NormalWeb"/>
        <w:numPr>
          <w:ilvl w:val="0"/>
          <w:numId w:val="25"/>
        </w:numPr>
      </w:pPr>
      <w:r>
        <w:rPr>
          <w:rStyle w:val="Strong"/>
          <w:rFonts w:eastAsiaTheme="majorEastAsia"/>
        </w:rPr>
        <w:t>CBUAE policy action (Oct 29, 2025):</w:t>
      </w:r>
      <w:r>
        <w:t xml:space="preserve"> base rate </w:t>
      </w:r>
      <w:r>
        <w:rPr>
          <w:rStyle w:val="Strong"/>
          <w:rFonts w:eastAsiaTheme="majorEastAsia"/>
        </w:rPr>
        <w:t>cut 25 bps</w:t>
      </w:r>
      <w:r>
        <w:t xml:space="preserve"> (4.15% → 3.90%). </w:t>
      </w:r>
    </w:p>
    <w:p w14:paraId="56B209C0" w14:textId="4E2EA113" w:rsidR="007937AF" w:rsidRDefault="007937AF" w:rsidP="007937AF">
      <w:pPr>
        <w:pStyle w:val="NormalWeb"/>
        <w:numPr>
          <w:ilvl w:val="0"/>
          <w:numId w:val="25"/>
        </w:numPr>
      </w:pPr>
      <w:r>
        <w:rPr>
          <w:rStyle w:val="Strong"/>
          <w:rFonts w:eastAsiaTheme="majorEastAsia"/>
        </w:rPr>
        <w:t>ADNOC capacity target:</w:t>
      </w:r>
      <w:r>
        <w:t xml:space="preserve"> </w:t>
      </w:r>
      <w:r>
        <w:rPr>
          <w:rStyle w:val="Strong"/>
          <w:rFonts w:eastAsiaTheme="majorEastAsia"/>
        </w:rPr>
        <w:t>~5.0 million b/d capacity by 2027</w:t>
      </w:r>
      <w:r>
        <w:t xml:space="preserve"> (with reporting that 2025–2026 could see earlier increases). </w:t>
      </w:r>
    </w:p>
    <w:p w14:paraId="072CE3C5" w14:textId="6DE62FE4" w:rsidR="007937AF" w:rsidRDefault="007937AF" w:rsidP="007937AF">
      <w:pPr>
        <w:pStyle w:val="NormalWeb"/>
        <w:numPr>
          <w:ilvl w:val="0"/>
          <w:numId w:val="25"/>
        </w:numPr>
      </w:pPr>
      <w:r>
        <w:rPr>
          <w:rStyle w:val="Strong"/>
          <w:rFonts w:eastAsiaTheme="majorEastAsia"/>
        </w:rPr>
        <w:t>Dubai tourism:</w:t>
      </w:r>
      <w:r>
        <w:t xml:space="preserve"> </w:t>
      </w:r>
      <w:r>
        <w:rPr>
          <w:rStyle w:val="Strong"/>
          <w:rFonts w:eastAsiaTheme="majorEastAsia"/>
        </w:rPr>
        <w:t>9.88m visitors H1 2025</w:t>
      </w:r>
      <w:r>
        <w:t xml:space="preserve">; 15.7m in 10 months (multiple DET reports / media). </w:t>
      </w:r>
    </w:p>
    <w:p w14:paraId="602AA7F3" w14:textId="421E22D6" w:rsidR="007937AF" w:rsidRPr="007937AF" w:rsidRDefault="007937AF" w:rsidP="007937AF">
      <w:pPr>
        <w:pStyle w:val="NormalWeb"/>
        <w:numPr>
          <w:ilvl w:val="0"/>
          <w:numId w:val="25"/>
        </w:numPr>
        <w:pBdr>
          <w:bottom w:val="single" w:sz="6" w:space="1" w:color="auto"/>
        </w:pBdr>
        <w:rPr>
          <w:rStyle w:val="ms-1"/>
        </w:rPr>
      </w:pPr>
      <w:r>
        <w:rPr>
          <w:rStyle w:val="Strong"/>
          <w:rFonts w:eastAsiaTheme="majorEastAsia"/>
        </w:rPr>
        <w:t>Sovereign ratings (2025):</w:t>
      </w:r>
      <w:r>
        <w:t xml:space="preserve"> S&amp;P/Fitch/Moody’s affirmed high ratings (AA- / Aa2 / etc.).</w:t>
      </w:r>
    </w:p>
    <w:p w14:paraId="76B7F4EF" w14:textId="77777777" w:rsidR="007937AF" w:rsidRDefault="007937AF" w:rsidP="007937AF">
      <w:pPr>
        <w:pStyle w:val="NormalWeb"/>
        <w:pBdr>
          <w:bottom w:val="single" w:sz="6" w:space="1" w:color="auto"/>
        </w:pBdr>
        <w:ind w:left="360"/>
        <w:rPr>
          <w:rStyle w:val="Strong"/>
          <w:rFonts w:eastAsiaTheme="majorEastAsia"/>
        </w:rPr>
      </w:pPr>
    </w:p>
    <w:p w14:paraId="75DEE1E6" w14:textId="77777777" w:rsidR="007937AF" w:rsidRDefault="007937AF" w:rsidP="007937AF">
      <w:pPr>
        <w:pStyle w:val="Heading2"/>
      </w:pPr>
      <w:r w:rsidRPr="003A174A">
        <w:rPr>
          <w:highlight w:val="yellow"/>
        </w:rPr>
        <w:t xml:space="preserve">1) </w:t>
      </w:r>
      <w:r w:rsidRPr="003A174A">
        <w:rPr>
          <w:rStyle w:val="Strong"/>
          <w:b w:val="0"/>
          <w:bCs w:val="0"/>
          <w:highlight w:val="yellow"/>
        </w:rPr>
        <w:t>International Holding Company (IHC)</w:t>
      </w:r>
    </w:p>
    <w:p w14:paraId="031798F2" w14:textId="66582A35" w:rsidR="00452A12" w:rsidRDefault="007937AF" w:rsidP="003A174A">
      <w:pPr>
        <w:pStyle w:val="NormalWeb"/>
      </w:pPr>
      <w:r>
        <w:rPr>
          <w:rStyle w:val="Strong"/>
          <w:rFonts w:eastAsiaTheme="majorEastAsia"/>
        </w:rPr>
        <w:t>Ticker:</w:t>
      </w:r>
      <w:r>
        <w:t xml:space="preserve"> ADX-IHC</w:t>
      </w:r>
      <w:r>
        <w:br/>
      </w:r>
      <w:r>
        <w:rPr>
          <w:rStyle w:val="Strong"/>
          <w:rFonts w:eastAsiaTheme="majorEastAsia"/>
        </w:rPr>
        <w:t>Market cap:</w:t>
      </w:r>
      <w:r>
        <w:t xml:space="preserve"> ~</w:t>
      </w:r>
      <w:r>
        <w:rPr>
          <w:rStyle w:val="Strong"/>
          <w:rFonts w:eastAsiaTheme="majorEastAsia"/>
        </w:rPr>
        <w:t>AED 238 billion</w:t>
      </w:r>
      <w:r>
        <w:t xml:space="preserve"> (~$65 bn) </w:t>
      </w:r>
      <w:r w:rsidR="00000000">
        <w:fldChar w:fldCharType="begin"/>
      </w:r>
      <w:r w:rsidR="00000000">
        <w:instrText>HYPERLINK "https://www.marketcapwatch.com/united-arab-emirates/largest-companies-in-united-arab-emirates?utm_source=chatgpt.com" \t "_blank"</w:instrText>
      </w:r>
      <w:r w:rsidR="00000000">
        <w:fldChar w:fldCharType="separate"/>
      </w:r>
      <w:r>
        <w:rPr>
          <w:rStyle w:val="max-w-15ch"/>
          <w:color w:val="0000FF"/>
          <w:u w:val="single"/>
        </w:rPr>
        <w:t>Market Ca</w:t>
      </w:r>
      <w:r>
        <w:rPr>
          <w:rStyle w:val="max-w-15ch"/>
          <w:color w:val="0000FF"/>
          <w:u w:val="single"/>
        </w:rPr>
        <w:t>p</w:t>
      </w:r>
      <w:r>
        <w:rPr>
          <w:rStyle w:val="max-w-15ch"/>
          <w:color w:val="0000FF"/>
          <w:u w:val="single"/>
        </w:rPr>
        <w:t xml:space="preserve"> Watch</w:t>
      </w:r>
      <w:r w:rsidR="00000000">
        <w:rPr>
          <w:rStyle w:val="max-w-15ch"/>
          <w:color w:val="0000FF"/>
          <w:u w:val="single"/>
        </w:rPr>
        <w:fldChar w:fldCharType="end"/>
      </w:r>
      <w:r>
        <w:br/>
      </w:r>
      <w:r>
        <w:rPr>
          <w:rStyle w:val="Strong"/>
          <w:rFonts w:eastAsiaTheme="majorEastAsia"/>
        </w:rPr>
        <w:t>Share price:</w:t>
      </w:r>
      <w:r>
        <w:t xml:space="preserve"> ~</w:t>
      </w:r>
      <w:r>
        <w:rPr>
          <w:rStyle w:val="Strong"/>
          <w:rFonts w:eastAsiaTheme="majorEastAsia"/>
        </w:rPr>
        <w:t>AED 108.9</w:t>
      </w:r>
      <w:r>
        <w:t xml:space="preserve"> </w:t>
      </w:r>
      <w:hyperlink r:id="rId7" w:tgtFrame="_blank" w:history="1">
        <w:r>
          <w:rPr>
            <w:rStyle w:val="max-w-15ch"/>
            <w:color w:val="0000FF"/>
            <w:u w:val="single"/>
          </w:rPr>
          <w:t>Market Cap Watch</w:t>
        </w:r>
      </w:hyperlink>
      <w:r>
        <w:br/>
      </w:r>
      <w:r>
        <w:rPr>
          <w:rStyle w:val="Strong"/>
          <w:rFonts w:eastAsiaTheme="majorEastAsia"/>
        </w:rPr>
        <w:t>Summary</w:t>
      </w:r>
      <w:r w:rsidR="00DB02D9">
        <w:rPr>
          <w:rStyle w:val="Strong"/>
          <w:rFonts w:eastAsiaTheme="majorEastAsia"/>
          <w:lang w:val="en-US"/>
        </w:rPr>
        <w:t xml:space="preserve"> (</w:t>
      </w:r>
      <w:proofErr w:type="spellStart"/>
      <w:r w:rsidR="00DB02D9">
        <w:rPr>
          <w:rStyle w:val="Strong"/>
          <w:rFonts w:eastAsiaTheme="majorEastAsia"/>
          <w:lang w:val="en-US"/>
        </w:rPr>
        <w:t>gpt</w:t>
      </w:r>
      <w:proofErr w:type="spellEnd"/>
      <w:r w:rsidR="00DB02D9">
        <w:rPr>
          <w:rStyle w:val="Strong"/>
          <w:rFonts w:eastAsiaTheme="majorEastAsia"/>
          <w:lang w:val="en-US"/>
        </w:rPr>
        <w:t>)</w:t>
      </w:r>
      <w:r>
        <w:rPr>
          <w:rStyle w:val="Strong"/>
          <w:rFonts w:eastAsiaTheme="majorEastAsia"/>
        </w:rPr>
        <w:t>:</w:t>
      </w:r>
      <w:r>
        <w:br/>
        <w:t>IHC is the largest publicly traded conglomerate in the UAE by market value. It holds diversified businesses across sectors — healthcare, food &amp; beverage, energy, financial services, and real estate. The company has been on an aggressive expansion path, with a major capex and acquisition plan (e.g., plans to invest ~$36 bn every ~18 months). Its growth comes from both acquisition and internal scaling, but financials can be complex because of scale and diversification</w:t>
      </w:r>
    </w:p>
    <w:p w14:paraId="17E073B9" w14:textId="0EA5A0D4" w:rsidR="007937AF" w:rsidRPr="007937AF" w:rsidRDefault="00452A12" w:rsidP="003A174A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1C2216B3" wp14:editId="6038AFC9">
            <wp:extent cx="5731510" cy="2423795"/>
            <wp:effectExtent l="0" t="0" r="0" b="1905"/>
            <wp:docPr id="574324596" name="Picture 2" descr="A graph showing the growth of a stock mark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24596" name="Picture 2" descr="A graph showing the growth of a stock marke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1F22D" w14:textId="1BD895D2" w:rsidR="007937AF" w:rsidRDefault="003A174A" w:rsidP="007937AF">
      <w:pPr>
        <w:pStyle w:val="Heading2"/>
        <w:rPr>
          <w:rStyle w:val="Strong"/>
          <w:b w:val="0"/>
          <w:bCs w:val="0"/>
        </w:rPr>
      </w:pPr>
      <w:r>
        <w:rPr>
          <w:highlight w:val="yellow"/>
          <w:lang w:val="en-US"/>
        </w:rPr>
        <w:t>2</w:t>
      </w:r>
      <w:r w:rsidR="007937AF" w:rsidRPr="003A174A">
        <w:rPr>
          <w:highlight w:val="yellow"/>
        </w:rPr>
        <w:t xml:space="preserve">) </w:t>
      </w:r>
      <w:r w:rsidR="007937AF" w:rsidRPr="003A174A">
        <w:rPr>
          <w:rStyle w:val="Strong"/>
          <w:b w:val="0"/>
          <w:bCs w:val="0"/>
          <w:highlight w:val="yellow"/>
        </w:rPr>
        <w:t>First Abu Dhabi Bank (FAB)</w:t>
      </w:r>
    </w:p>
    <w:p w14:paraId="609A8D8E" w14:textId="27DCB7C1" w:rsidR="00452A12" w:rsidRPr="00452A12" w:rsidRDefault="00452A12" w:rsidP="00452A12">
      <w:pPr>
        <w:rPr>
          <w:lang w:val="uk-UA"/>
        </w:rPr>
      </w:pPr>
      <w:hyperlink r:id="rId9" w:history="1">
        <w:r w:rsidRPr="004577B7">
          <w:rPr>
            <w:rStyle w:val="Hyperlink"/>
          </w:rPr>
          <w:t>https://www.tradingview.com/symbols/ADX-FAB/?timeframe=60M</w:t>
        </w:r>
      </w:hyperlink>
      <w:r>
        <w:rPr>
          <w:lang w:val="uk-UA"/>
        </w:rPr>
        <w:t xml:space="preserve"> </w:t>
      </w:r>
    </w:p>
    <w:p w14:paraId="23C29BEC" w14:textId="51F16A38" w:rsidR="00452A12" w:rsidRDefault="007937AF" w:rsidP="003A174A">
      <w:pPr>
        <w:pStyle w:val="NormalWeb"/>
      </w:pPr>
      <w:r>
        <w:rPr>
          <w:rStyle w:val="Strong"/>
          <w:rFonts w:eastAsiaTheme="majorEastAsia"/>
        </w:rPr>
        <w:t>Ticker:</w:t>
      </w:r>
      <w:r>
        <w:t xml:space="preserve"> ADX-FAB</w:t>
      </w:r>
      <w:r>
        <w:br/>
      </w:r>
      <w:r>
        <w:rPr>
          <w:rStyle w:val="Strong"/>
          <w:rFonts w:eastAsiaTheme="majorEastAsia"/>
        </w:rPr>
        <w:t>Market cap:</w:t>
      </w:r>
      <w:r>
        <w:t xml:space="preserve"> ~</w:t>
      </w:r>
      <w:r>
        <w:rPr>
          <w:rStyle w:val="Strong"/>
          <w:rFonts w:eastAsiaTheme="majorEastAsia"/>
        </w:rPr>
        <w:t>AED 47.6 billion</w:t>
      </w:r>
      <w:r>
        <w:t xml:space="preserve"> (~$13 bn) </w:t>
      </w:r>
      <w:r w:rsidR="00000000">
        <w:fldChar w:fldCharType="begin"/>
      </w:r>
      <w:r w:rsidR="00000000">
        <w:instrText>HYPERLINK "https://www.marketcapwatch.com/united-arab-emirates/largest-companies-in-united-arab-emirates?utm_source=chatgpt.com" \t "_blank"</w:instrText>
      </w:r>
      <w:r w:rsidR="00000000">
        <w:fldChar w:fldCharType="separate"/>
      </w:r>
      <w:r>
        <w:rPr>
          <w:rStyle w:val="max-w-15ch"/>
          <w:color w:val="0000FF"/>
          <w:u w:val="single"/>
        </w:rPr>
        <w:t>Market Cap Watch</w:t>
      </w:r>
      <w:r w:rsidR="00000000">
        <w:rPr>
          <w:rStyle w:val="max-w-15ch"/>
          <w:color w:val="0000FF"/>
          <w:u w:val="single"/>
        </w:rPr>
        <w:fldChar w:fldCharType="end"/>
      </w:r>
      <w:r>
        <w:br/>
      </w:r>
      <w:r>
        <w:rPr>
          <w:rStyle w:val="Strong"/>
          <w:rFonts w:eastAsiaTheme="majorEastAsia"/>
        </w:rPr>
        <w:t>Share price:</w:t>
      </w:r>
      <w:r>
        <w:t xml:space="preserve"> ~</w:t>
      </w:r>
      <w:r>
        <w:rPr>
          <w:rStyle w:val="Strong"/>
          <w:rFonts w:eastAsiaTheme="majorEastAsia"/>
        </w:rPr>
        <w:t>AED 4.31</w:t>
      </w:r>
      <w:r>
        <w:t xml:space="preserve"> </w:t>
      </w:r>
      <w:hyperlink r:id="rId10" w:tgtFrame="_blank" w:history="1">
        <w:r>
          <w:rPr>
            <w:rStyle w:val="max-w-15ch"/>
            <w:color w:val="0000FF"/>
            <w:u w:val="single"/>
          </w:rPr>
          <w:t>Market Cap Watch</w:t>
        </w:r>
      </w:hyperlink>
      <w:r>
        <w:br/>
      </w:r>
      <w:r>
        <w:rPr>
          <w:rStyle w:val="Strong"/>
          <w:rFonts w:eastAsiaTheme="majorEastAsia"/>
        </w:rPr>
        <w:t>Summary</w:t>
      </w:r>
      <w:r w:rsidR="00DB02D9">
        <w:rPr>
          <w:rStyle w:val="Strong"/>
          <w:rFonts w:eastAsiaTheme="majorEastAsia"/>
          <w:lang w:val="en-US"/>
        </w:rPr>
        <w:t xml:space="preserve"> (</w:t>
      </w:r>
      <w:proofErr w:type="spellStart"/>
      <w:r w:rsidR="00DB02D9">
        <w:rPr>
          <w:rStyle w:val="Strong"/>
          <w:rFonts w:eastAsiaTheme="majorEastAsia"/>
          <w:lang w:val="en-US"/>
        </w:rPr>
        <w:t>gpt</w:t>
      </w:r>
      <w:proofErr w:type="spellEnd"/>
      <w:r w:rsidR="00DB02D9">
        <w:rPr>
          <w:rStyle w:val="Strong"/>
          <w:rFonts w:eastAsiaTheme="majorEastAsia"/>
          <w:lang w:val="en-US"/>
        </w:rPr>
        <w:t>)</w:t>
      </w:r>
      <w:r>
        <w:rPr>
          <w:rStyle w:val="Strong"/>
          <w:rFonts w:eastAsiaTheme="majorEastAsia"/>
        </w:rPr>
        <w:t>:</w:t>
      </w:r>
      <w:r>
        <w:br/>
        <w:t>FAB is the UAE’s largest bank by assets, with a broad institutional and retail footprint across the UAE, Middle East, and international markets. Strong capital ratios and diversified revenue make it a core financial play. Earnings typically trend with loan growth and interest margins.</w:t>
      </w:r>
    </w:p>
    <w:p w14:paraId="5F8434A9" w14:textId="127EC119" w:rsidR="007937AF" w:rsidRPr="003A174A" w:rsidRDefault="00452A12" w:rsidP="003A174A">
      <w:pPr>
        <w:pStyle w:val="NormalWeb"/>
      </w:pPr>
      <w:r>
        <w:rPr>
          <w:noProof/>
          <w14:ligatures w14:val="standardContextual"/>
        </w:rPr>
        <w:lastRenderedPageBreak/>
        <w:drawing>
          <wp:inline distT="0" distB="0" distL="0" distR="0" wp14:anchorId="324720EE" wp14:editId="738F6C3F">
            <wp:extent cx="5731510" cy="2423160"/>
            <wp:effectExtent l="0" t="0" r="0" b="2540"/>
            <wp:docPr id="1859348445" name="Picture 1" descr="A graph of growth and growt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48445" name="Picture 1" descr="A graph of growth and growth&#10;&#10;Description automatically generated with medium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642C2" w14:textId="76B70C19" w:rsidR="003A174A" w:rsidRPr="00DB02D9" w:rsidRDefault="003A174A" w:rsidP="003A174A">
      <w:pPr>
        <w:pStyle w:val="Heading2"/>
        <w:rPr>
          <w:rStyle w:val="Strong"/>
          <w:rFonts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highlight w:val="yellow"/>
          <w:lang w:val="en-US"/>
        </w:rPr>
        <w:t>3</w:t>
      </w:r>
      <w:r w:rsidRPr="003A174A">
        <w:rPr>
          <w:highlight w:val="yellow"/>
        </w:rPr>
        <w:t>) Emaar Properties P.J.S.C.</w:t>
      </w:r>
      <w:r>
        <w:br/>
      </w:r>
      <w:r w:rsidRPr="003A174A">
        <w:rPr>
          <w:sz w:val="20"/>
          <w:szCs w:val="20"/>
        </w:rPr>
        <w:br/>
      </w:r>
      <w:r w:rsidRPr="00DB02D9">
        <w:rPr>
          <w:rStyle w:val="Strong"/>
          <w:rFonts w:ascii="Times New Roman" w:hAnsi="Times New Roman" w:cs="Times New Roman"/>
          <w:color w:val="auto"/>
          <w:sz w:val="24"/>
          <w:szCs w:val="24"/>
        </w:rPr>
        <w:t>Ticker:</w:t>
      </w:r>
      <w:r w:rsidRPr="00DB02D9">
        <w:rPr>
          <w:rStyle w:val="Strong"/>
          <w:rFonts w:ascii="Times New Roman" w:hAnsi="Times New Roman" w:cs="Times New Roman"/>
          <w:color w:val="auto"/>
        </w:rPr>
        <w:t xml:space="preserve"> </w:t>
      </w:r>
      <w:r w:rsidRPr="00DB02D9">
        <w:rPr>
          <w:rStyle w:val="Strong"/>
          <w:rFonts w:ascii="Times New Roman" w:hAnsi="Times New Roman" w:cs="Times New Roman"/>
          <w:b w:val="0"/>
          <w:bCs w:val="0"/>
          <w:color w:val="auto"/>
          <w:sz w:val="21"/>
          <w:szCs w:val="21"/>
        </w:rPr>
        <w:t>EMAAR (Dubai Financial Market)</w:t>
      </w:r>
      <w:r w:rsidRPr="00DB02D9">
        <w:rPr>
          <w:rStyle w:val="Strong"/>
          <w:rFonts w:ascii="Times New Roman" w:hAnsi="Times New Roman" w:cs="Times New Roman"/>
          <w:b w:val="0"/>
          <w:bCs w:val="0"/>
          <w:color w:val="auto"/>
          <w:sz w:val="21"/>
          <w:szCs w:val="21"/>
        </w:rPr>
        <w:br/>
      </w:r>
      <w:r w:rsidRPr="00DB02D9">
        <w:rPr>
          <w:rStyle w:val="Strong"/>
          <w:rFonts w:ascii="Times New Roman" w:hAnsi="Times New Roman" w:cs="Times New Roman"/>
          <w:color w:val="auto"/>
          <w:sz w:val="24"/>
          <w:szCs w:val="24"/>
        </w:rPr>
        <w:t>Sector</w:t>
      </w:r>
      <w:r w:rsidRPr="00DB02D9">
        <w:rPr>
          <w:rStyle w:val="Strong"/>
          <w:rFonts w:ascii="Times New Roman" w:hAnsi="Times New Roman" w:cs="Times New Roman"/>
          <w:b w:val="0"/>
          <w:bCs w:val="0"/>
          <w:color w:val="auto"/>
          <w:sz w:val="18"/>
          <w:szCs w:val="18"/>
        </w:rPr>
        <w:t>:</w:t>
      </w:r>
      <w:r w:rsidRPr="00DB02D9">
        <w:rPr>
          <w:rStyle w:val="Strong"/>
          <w:rFonts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Real estate development, commercial leasing, retail, hospitality &amp; entertainment</w:t>
      </w:r>
      <w:r w:rsidRPr="00DB02D9">
        <w:rPr>
          <w:rStyle w:val="Strong"/>
          <w:rFonts w:ascii="Times New Roman" w:hAnsi="Times New Roman" w:cs="Times New Roman"/>
          <w:b w:val="0"/>
          <w:bCs w:val="0"/>
          <w:color w:val="auto"/>
          <w:sz w:val="21"/>
          <w:szCs w:val="21"/>
        </w:rPr>
        <w:br/>
      </w:r>
      <w:r w:rsidRPr="00DB02D9">
        <w:rPr>
          <w:rStyle w:val="Strong"/>
          <w:rFonts w:ascii="Times New Roman" w:hAnsi="Times New Roman" w:cs="Times New Roman"/>
          <w:color w:val="auto"/>
          <w:sz w:val="24"/>
          <w:szCs w:val="24"/>
        </w:rPr>
        <w:t>Headquarters</w:t>
      </w:r>
      <w:r w:rsidRPr="00DB02D9">
        <w:rPr>
          <w:rStyle w:val="Strong"/>
          <w:rFonts w:ascii="Times New Roman" w:hAnsi="Times New Roman" w:cs="Times New Roman"/>
          <w:b w:val="0"/>
          <w:bCs w:val="0"/>
          <w:color w:val="auto"/>
          <w:sz w:val="18"/>
          <w:szCs w:val="18"/>
        </w:rPr>
        <w:t>:</w:t>
      </w:r>
      <w:r w:rsidRPr="00DB02D9">
        <w:rPr>
          <w:rStyle w:val="Strong"/>
          <w:rFonts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Dubai, UAE</w:t>
      </w:r>
      <w:r w:rsidRPr="00DB02D9">
        <w:rPr>
          <w:rStyle w:val="Strong"/>
          <w:rFonts w:ascii="Times New Roman" w:hAnsi="Times New Roman" w:cs="Times New Roman"/>
          <w:b w:val="0"/>
          <w:bCs w:val="0"/>
          <w:color w:val="auto"/>
          <w:sz w:val="21"/>
          <w:szCs w:val="21"/>
        </w:rPr>
        <w:br/>
      </w:r>
      <w:r w:rsidRPr="00DB02D9">
        <w:rPr>
          <w:rStyle w:val="Strong"/>
          <w:rFonts w:ascii="Times New Roman" w:hAnsi="Times New Roman" w:cs="Times New Roman"/>
          <w:color w:val="auto"/>
          <w:sz w:val="24"/>
          <w:szCs w:val="24"/>
        </w:rPr>
        <w:t>Business</w:t>
      </w:r>
      <w:r w:rsidRPr="00DB02D9">
        <w:rPr>
          <w:rStyle w:val="Strong"/>
          <w:rFonts w:ascii="Times New Roman" w:hAnsi="Times New Roman" w:cs="Times New Roman"/>
          <w:b w:val="0"/>
          <w:bCs w:val="0"/>
          <w:color w:val="auto"/>
          <w:sz w:val="18"/>
          <w:szCs w:val="18"/>
        </w:rPr>
        <w:t xml:space="preserve"> </w:t>
      </w:r>
      <w:r w:rsidRPr="00DB02D9">
        <w:rPr>
          <w:rStyle w:val="Strong"/>
          <w:rFonts w:ascii="Times New Roman" w:hAnsi="Times New Roman" w:cs="Times New Roman"/>
          <w:color w:val="auto"/>
          <w:sz w:val="24"/>
          <w:szCs w:val="24"/>
        </w:rPr>
        <w:t>model</w:t>
      </w:r>
      <w:r w:rsidRPr="00DB02D9">
        <w:rPr>
          <w:rStyle w:val="Strong"/>
          <w:rFonts w:ascii="Times New Roman" w:hAnsi="Times New Roman" w:cs="Times New Roman"/>
          <w:b w:val="0"/>
          <w:bCs w:val="0"/>
          <w:color w:val="auto"/>
          <w:sz w:val="18"/>
          <w:szCs w:val="18"/>
        </w:rPr>
        <w:t>:</w:t>
      </w:r>
      <w:r w:rsidRPr="00DB02D9">
        <w:rPr>
          <w:rStyle w:val="Strong"/>
          <w:rFonts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Property developer + asset operator (malls, hotels, entertainment) </w:t>
      </w:r>
      <w:hyperlink r:id="rId12" w:tgtFrame="_blank" w:history="1">
        <w:r w:rsidRPr="00DB02D9">
          <w:rPr>
            <w:rStyle w:val="Strong"/>
            <w:rFonts w:ascii="Times New Roman" w:hAnsi="Times New Roman" w:cs="Times New Roman"/>
            <w:b w:val="0"/>
            <w:bCs w:val="0"/>
            <w:color w:val="auto"/>
            <w:sz w:val="21"/>
            <w:szCs w:val="21"/>
          </w:rPr>
          <w:t>Emaar Properties</w:t>
        </w:r>
      </w:hyperlink>
    </w:p>
    <w:p w14:paraId="36925EBB" w14:textId="77777777" w:rsidR="00452A12" w:rsidRDefault="003A174A" w:rsidP="003A174A">
      <w:pPr>
        <w:pStyle w:val="NormalWeb"/>
        <w:rPr>
          <w:rStyle w:val="max-w-15ch"/>
          <w:rFonts w:eastAsiaTheme="majorEastAsia"/>
          <w:color w:val="0000FF"/>
          <w:u w:val="single"/>
        </w:rPr>
      </w:pPr>
      <w:r>
        <w:t xml:space="preserve">Emaar is the developer behind </w:t>
      </w:r>
      <w:r>
        <w:rPr>
          <w:rStyle w:val="Emphasis"/>
        </w:rPr>
        <w:t>Burj Khalifa</w:t>
      </w:r>
      <w:r>
        <w:t xml:space="preserve">, </w:t>
      </w:r>
      <w:r>
        <w:rPr>
          <w:rStyle w:val="Emphasis"/>
        </w:rPr>
        <w:t>Dubai Mall</w:t>
      </w:r>
      <w:r>
        <w:t xml:space="preserve">, and other landmark projects. It operates across property development, recurring revenue assets (malls, hotels), and international projects. </w:t>
      </w:r>
      <w:hyperlink r:id="rId13" w:tgtFrame="_blank" w:history="1">
        <w:r>
          <w:rPr>
            <w:rStyle w:val="max-w-15ch"/>
            <w:rFonts w:eastAsiaTheme="majorEastAsia"/>
            <w:color w:val="0000FF"/>
            <w:u w:val="single"/>
          </w:rPr>
          <w:t>Emaar Properties</w:t>
        </w:r>
      </w:hyperlink>
    </w:p>
    <w:p w14:paraId="3CE31221" w14:textId="77777777" w:rsidR="00452A12" w:rsidRPr="00452A12" w:rsidRDefault="00452A12" w:rsidP="003A174A">
      <w:pPr>
        <w:pStyle w:val="NormalWeb"/>
        <w:rPr>
          <w:rStyle w:val="max-w-15ch"/>
          <w:rFonts w:eastAsiaTheme="majorEastAsia"/>
          <w:color w:val="0000FF"/>
          <w:u w:val="single"/>
          <w:lang w:val="en-US"/>
        </w:rPr>
      </w:pPr>
    </w:p>
    <w:p w14:paraId="722BEA36" w14:textId="08802183" w:rsidR="003A174A" w:rsidRDefault="00452A12" w:rsidP="003A174A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1F3723C2" wp14:editId="6E3B49E9">
            <wp:extent cx="5731510" cy="2379980"/>
            <wp:effectExtent l="0" t="0" r="0" b="0"/>
            <wp:docPr id="467623238" name="Picture 3" descr="A graph showing the growth of the stock mark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23238" name="Picture 3" descr="A graph showing the growth of the stock market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B1C9" w14:textId="77777777" w:rsidR="003A174A" w:rsidRPr="003A174A" w:rsidRDefault="003A174A" w:rsidP="003A174A">
      <w:pPr>
        <w:pStyle w:val="Heading3"/>
        <w:rPr>
          <w:sz w:val="22"/>
          <w:szCs w:val="22"/>
        </w:rPr>
      </w:pPr>
      <w:r w:rsidRPr="003A174A">
        <w:rPr>
          <w:rStyle w:val="Strong"/>
          <w:b w:val="0"/>
          <w:bCs w:val="0"/>
          <w:sz w:val="22"/>
          <w:szCs w:val="22"/>
        </w:rPr>
        <w:t>2024 – Record Year</w:t>
      </w:r>
    </w:p>
    <w:p w14:paraId="293B4DBA" w14:textId="77777777" w:rsidR="003A174A" w:rsidRDefault="003A174A" w:rsidP="003A174A">
      <w:pPr>
        <w:pStyle w:val="NormalWeb"/>
        <w:numPr>
          <w:ilvl w:val="0"/>
          <w:numId w:val="30"/>
        </w:numPr>
      </w:pPr>
      <w:r>
        <w:rPr>
          <w:rStyle w:val="Strong"/>
          <w:rFonts w:eastAsiaTheme="majorEastAsia"/>
        </w:rPr>
        <w:t>Property sales:</w:t>
      </w:r>
      <w:r>
        <w:t xml:space="preserve"> ~AED </w:t>
      </w:r>
      <w:r>
        <w:rPr>
          <w:rStyle w:val="Strong"/>
          <w:rFonts w:eastAsiaTheme="majorEastAsia"/>
        </w:rPr>
        <w:t>70 billion</w:t>
      </w:r>
      <w:r>
        <w:t xml:space="preserve"> (~US$19 billion), up 72% vs 2023.</w:t>
      </w:r>
    </w:p>
    <w:p w14:paraId="6321AD03" w14:textId="77777777" w:rsidR="003A174A" w:rsidRDefault="003A174A" w:rsidP="003A174A">
      <w:pPr>
        <w:pStyle w:val="NormalWeb"/>
        <w:numPr>
          <w:ilvl w:val="0"/>
          <w:numId w:val="30"/>
        </w:numPr>
      </w:pPr>
      <w:r>
        <w:rPr>
          <w:rStyle w:val="Strong"/>
          <w:rFonts w:eastAsiaTheme="majorEastAsia"/>
        </w:rPr>
        <w:t>Revenue:</w:t>
      </w:r>
      <w:r>
        <w:t xml:space="preserve"> AED </w:t>
      </w:r>
      <w:r>
        <w:rPr>
          <w:rStyle w:val="Strong"/>
          <w:rFonts w:eastAsiaTheme="majorEastAsia"/>
        </w:rPr>
        <w:t>35.5 billion</w:t>
      </w:r>
      <w:r>
        <w:t xml:space="preserve"> (~US$9.6 bn), up 33%.</w:t>
      </w:r>
    </w:p>
    <w:p w14:paraId="1DF74121" w14:textId="77777777" w:rsidR="003A174A" w:rsidRDefault="003A174A" w:rsidP="003A174A">
      <w:pPr>
        <w:pStyle w:val="NormalWeb"/>
        <w:numPr>
          <w:ilvl w:val="0"/>
          <w:numId w:val="30"/>
        </w:numPr>
      </w:pPr>
      <w:r>
        <w:rPr>
          <w:rStyle w:val="Strong"/>
          <w:rFonts w:eastAsiaTheme="majorEastAsia"/>
        </w:rPr>
        <w:t>Net profit before tax:</w:t>
      </w:r>
      <w:r>
        <w:t xml:space="preserve"> ~AED </w:t>
      </w:r>
      <w:r>
        <w:rPr>
          <w:rStyle w:val="Strong"/>
          <w:rFonts w:eastAsiaTheme="majorEastAsia"/>
        </w:rPr>
        <w:t>18.9 billion</w:t>
      </w:r>
      <w:r>
        <w:t xml:space="preserve"> (~US$5.1 bn), up 25%.</w:t>
      </w:r>
    </w:p>
    <w:p w14:paraId="318A5E30" w14:textId="77777777" w:rsidR="003A174A" w:rsidRDefault="003A174A" w:rsidP="003A174A">
      <w:pPr>
        <w:pStyle w:val="NormalWeb"/>
        <w:numPr>
          <w:ilvl w:val="0"/>
          <w:numId w:val="30"/>
        </w:numPr>
      </w:pPr>
      <w:r>
        <w:rPr>
          <w:rStyle w:val="Strong"/>
          <w:rFonts w:eastAsiaTheme="majorEastAsia"/>
        </w:rPr>
        <w:t>Backlog:</w:t>
      </w:r>
      <w:r>
        <w:t xml:space="preserve"> &gt;AED </w:t>
      </w:r>
      <w:r>
        <w:rPr>
          <w:rStyle w:val="Strong"/>
          <w:rFonts w:eastAsiaTheme="majorEastAsia"/>
        </w:rPr>
        <w:t>110 billion</w:t>
      </w:r>
      <w:r>
        <w:t xml:space="preserve"> (~US$30 bn) of future revenue already sold.</w:t>
      </w:r>
    </w:p>
    <w:p w14:paraId="244C310E" w14:textId="1D334FEE" w:rsidR="003A174A" w:rsidRDefault="003A174A" w:rsidP="003A174A">
      <w:pPr>
        <w:pStyle w:val="NormalWeb"/>
        <w:numPr>
          <w:ilvl w:val="0"/>
          <w:numId w:val="30"/>
        </w:numPr>
      </w:pPr>
      <w:r>
        <w:rPr>
          <w:rStyle w:val="Strong"/>
          <w:rFonts w:eastAsiaTheme="majorEastAsia"/>
        </w:rPr>
        <w:t>Dividend:</w:t>
      </w:r>
      <w:r>
        <w:t xml:space="preserve"> Record payout ~AED 8.8 bn (~100% of share capital)</w:t>
      </w:r>
      <w:r w:rsidR="00DB02D9">
        <w:t xml:space="preserve"> </w:t>
      </w:r>
    </w:p>
    <w:p w14:paraId="1A02A2DB" w14:textId="512E288A" w:rsidR="003A174A" w:rsidRPr="00DB02D9" w:rsidRDefault="003A174A" w:rsidP="003A174A">
      <w:pPr>
        <w:pStyle w:val="NormalWeb"/>
        <w:rPr>
          <w:lang w:val="en-US"/>
        </w:rPr>
      </w:pPr>
      <w:r>
        <w:lastRenderedPageBreak/>
        <w:t xml:space="preserve">This was Emaar’s </w:t>
      </w:r>
      <w:r>
        <w:rPr>
          <w:rStyle w:val="Strong"/>
          <w:rFonts w:eastAsiaTheme="majorEastAsia"/>
        </w:rPr>
        <w:t>strongest performance ever</w:t>
      </w:r>
      <w:r>
        <w:t xml:space="preserve"> </w:t>
      </w:r>
      <w:r w:rsidR="00DB02D9" w:rsidRPr="00DB02D9">
        <w:rPr>
          <w:lang w:val="en-US"/>
        </w:rPr>
        <w:sym w:font="Wingdings" w:char="F04A"/>
      </w:r>
    </w:p>
    <w:p w14:paraId="722E6AF2" w14:textId="77777777" w:rsidR="003A174A" w:rsidRDefault="003A174A" w:rsidP="003A174A">
      <w:pPr>
        <w:pStyle w:val="NormalWeb"/>
      </w:pPr>
      <w:r>
        <w:rPr>
          <w:rStyle w:val="Strong"/>
          <w:rFonts w:eastAsiaTheme="majorEastAsia"/>
        </w:rPr>
        <w:t>Credit ratings upgraded</w:t>
      </w:r>
      <w:r>
        <w:t xml:space="preserve"> in 2025 by both major agencies:</w:t>
      </w:r>
    </w:p>
    <w:p w14:paraId="79C9B960" w14:textId="77777777" w:rsidR="003A174A" w:rsidRDefault="003A174A" w:rsidP="003A174A">
      <w:pPr>
        <w:pStyle w:val="NormalWeb"/>
        <w:numPr>
          <w:ilvl w:val="0"/>
          <w:numId w:val="31"/>
        </w:numPr>
      </w:pPr>
      <w:r>
        <w:rPr>
          <w:rStyle w:val="Strong"/>
          <w:rFonts w:eastAsiaTheme="majorEastAsia"/>
        </w:rPr>
        <w:t>S&amp;P:</w:t>
      </w:r>
      <w:r>
        <w:t xml:space="preserve"> upgraded to </w:t>
      </w:r>
      <w:r>
        <w:rPr>
          <w:rStyle w:val="Strong"/>
          <w:rFonts w:eastAsiaTheme="majorEastAsia"/>
        </w:rPr>
        <w:t>BBB+</w:t>
      </w:r>
      <w:r>
        <w:t xml:space="preserve"> (Stable).</w:t>
      </w:r>
    </w:p>
    <w:p w14:paraId="5E9FCE32" w14:textId="49F01473" w:rsidR="003A174A" w:rsidRDefault="003A174A" w:rsidP="00DB02D9">
      <w:pPr>
        <w:pStyle w:val="NormalWeb"/>
        <w:numPr>
          <w:ilvl w:val="0"/>
          <w:numId w:val="31"/>
        </w:numPr>
      </w:pPr>
      <w:r>
        <w:rPr>
          <w:rStyle w:val="Strong"/>
          <w:rFonts w:eastAsiaTheme="majorEastAsia"/>
        </w:rPr>
        <w:t>Moody’s:</w:t>
      </w:r>
      <w:r>
        <w:t xml:space="preserve"> upgraded to </w:t>
      </w:r>
      <w:r>
        <w:rPr>
          <w:rStyle w:val="Strong"/>
          <w:rFonts w:eastAsiaTheme="majorEastAsia"/>
        </w:rPr>
        <w:t>Baa1</w:t>
      </w:r>
      <w:r>
        <w:t xml:space="preserve"> (Stable).</w:t>
      </w:r>
    </w:p>
    <w:p w14:paraId="5A4037BC" w14:textId="77777777" w:rsidR="00DF3CEE" w:rsidRDefault="00DF3CEE" w:rsidP="00DF3CEE">
      <w:pPr>
        <w:spacing w:before="100" w:beforeAutospacing="1" w:after="100" w:afterAutospacing="1"/>
        <w:outlineLvl w:val="2"/>
        <w:rPr>
          <w:b/>
          <w:bCs/>
          <w:sz w:val="36"/>
          <w:szCs w:val="36"/>
        </w:rPr>
      </w:pPr>
      <w:r w:rsidRPr="00DF3CEE">
        <w:rPr>
          <w:b/>
          <w:bCs/>
          <w:sz w:val="36"/>
          <w:szCs w:val="36"/>
          <w:highlight w:val="yellow"/>
        </w:rPr>
        <w:t>Chimera S&amp;P UAE Shariah ETF (CHAESHIN.AE)</w:t>
      </w:r>
    </w:p>
    <w:p w14:paraId="6F6EAD36" w14:textId="76BCDB8A" w:rsidR="00B475E7" w:rsidRDefault="00B475E7" w:rsidP="00B475E7">
      <w:pPr>
        <w:pStyle w:val="NormalWeb"/>
      </w:pPr>
      <w:r>
        <w:rPr>
          <w:rStyle w:val="Strong"/>
          <w:rFonts w:eastAsiaTheme="majorEastAsia"/>
        </w:rPr>
        <w:t>Index tracked:</w:t>
      </w:r>
      <w:r>
        <w:t xml:space="preserve"> </w:t>
      </w:r>
      <w:r>
        <w:rPr>
          <w:rStyle w:val="Strong"/>
          <w:rFonts w:eastAsiaTheme="majorEastAsia"/>
        </w:rPr>
        <w:t>S&amp;P UAE Domestic Shariah Liquid 35/20 Capped Index</w:t>
      </w:r>
      <w:r w:rsidR="00DB02D9">
        <w:rPr>
          <w:lang w:val="en-US"/>
        </w:rPr>
        <w:t>:</w:t>
      </w:r>
      <w:r>
        <w:t xml:space="preserve"> an index of Shariah-compliant UAE stocks that meet S&amp;P’s eligibility rules (no interest business, low debt, etc.)</w:t>
      </w:r>
    </w:p>
    <w:p w14:paraId="00D91C19" w14:textId="5C9A8216" w:rsidR="00B475E7" w:rsidRPr="00DB02D9" w:rsidRDefault="00B475E7" w:rsidP="00DB02D9">
      <w:pPr>
        <w:pStyle w:val="NormalWeb"/>
        <w:rPr>
          <w:i/>
          <w:iCs/>
        </w:rPr>
      </w:pPr>
      <w:r w:rsidRPr="00DB02D9">
        <w:rPr>
          <w:i/>
          <w:iCs/>
        </w:rPr>
        <w:t>“UAE Shariah-compliant stocks” =</w:t>
      </w:r>
      <w:r w:rsidRPr="00DB02D9">
        <w:rPr>
          <w:i/>
          <w:iCs/>
        </w:rPr>
        <w:br/>
      </w:r>
      <w:r w:rsidRPr="00DB02D9">
        <w:rPr>
          <w:rStyle w:val="Strong"/>
          <w:rFonts w:eastAsiaTheme="majorEastAsia"/>
          <w:i/>
          <w:iCs/>
        </w:rPr>
        <w:t>UAE companies whose activities and finances avoid interest, excessive debt, and prohibited sectors</w:t>
      </w:r>
      <w:r w:rsidRPr="00DB02D9">
        <w:rPr>
          <w:i/>
          <w:iCs/>
        </w:rPr>
        <w:t>.</w:t>
      </w:r>
    </w:p>
    <w:p w14:paraId="24179BB6" w14:textId="77777777" w:rsidR="00B475E7" w:rsidRDefault="00B475E7" w:rsidP="00B475E7">
      <w:pPr>
        <w:pStyle w:val="NormalWeb"/>
        <w:numPr>
          <w:ilvl w:val="0"/>
          <w:numId w:val="39"/>
        </w:numPr>
      </w:pPr>
      <w:r>
        <w:rPr>
          <w:rStyle w:val="Strong"/>
          <w:rFonts w:eastAsiaTheme="majorEastAsia"/>
        </w:rPr>
        <w:t>Assets under management (AUM):</w:t>
      </w:r>
      <w:r>
        <w:t xml:space="preserve"> ~</w:t>
      </w:r>
      <w:r>
        <w:rPr>
          <w:rStyle w:val="Strong"/>
          <w:rFonts w:eastAsiaTheme="majorEastAsia"/>
        </w:rPr>
        <w:t>AED 148 million</w:t>
      </w:r>
      <w:r>
        <w:t xml:space="preserve"> (~US$40 m). </w:t>
      </w:r>
      <w:hyperlink r:id="rId15" w:tgtFrame="_blank" w:history="1">
        <w:r>
          <w:rPr>
            <w:rStyle w:val="max-w-15ch"/>
            <w:color w:val="0000FF"/>
            <w:u w:val="single"/>
          </w:rPr>
          <w:t>Chimera Investment</w:t>
        </w:r>
      </w:hyperlink>
    </w:p>
    <w:p w14:paraId="38BD6A8A" w14:textId="77777777" w:rsidR="00B475E7" w:rsidRDefault="00B475E7" w:rsidP="00B475E7">
      <w:pPr>
        <w:pStyle w:val="NormalWeb"/>
        <w:numPr>
          <w:ilvl w:val="0"/>
          <w:numId w:val="39"/>
        </w:numPr>
      </w:pPr>
      <w:r>
        <w:rPr>
          <w:rStyle w:val="Strong"/>
          <w:rFonts w:eastAsiaTheme="majorEastAsia"/>
        </w:rPr>
        <w:t>NAV (latest):</w:t>
      </w:r>
      <w:r>
        <w:t xml:space="preserve"> ~</w:t>
      </w:r>
      <w:r>
        <w:rPr>
          <w:rStyle w:val="Strong"/>
          <w:rFonts w:eastAsiaTheme="majorEastAsia"/>
        </w:rPr>
        <w:t>AED 9.26</w:t>
      </w:r>
      <w:r>
        <w:t xml:space="preserve"> per share (mid-Dec 2025). </w:t>
      </w:r>
      <w:hyperlink r:id="rId16" w:tgtFrame="_blank" w:history="1">
        <w:r>
          <w:rPr>
            <w:rStyle w:val="max-w-15ch"/>
            <w:color w:val="0000FF"/>
            <w:u w:val="single"/>
          </w:rPr>
          <w:t>Chimera Investment</w:t>
        </w:r>
      </w:hyperlink>
    </w:p>
    <w:p w14:paraId="55ACF1CE" w14:textId="77777777" w:rsidR="00B475E7" w:rsidRDefault="00B475E7" w:rsidP="00B475E7">
      <w:pPr>
        <w:pStyle w:val="NormalWeb"/>
        <w:numPr>
          <w:ilvl w:val="0"/>
          <w:numId w:val="39"/>
        </w:numPr>
      </w:pPr>
      <w:r>
        <w:rPr>
          <w:rStyle w:val="Strong"/>
          <w:rFonts w:eastAsiaTheme="majorEastAsia"/>
        </w:rPr>
        <w:t>Inception date:</w:t>
      </w:r>
      <w:r>
        <w:t xml:space="preserve"> </w:t>
      </w:r>
      <w:r>
        <w:rPr>
          <w:rStyle w:val="Strong"/>
          <w:rFonts w:eastAsiaTheme="majorEastAsia"/>
        </w:rPr>
        <w:t>20 July 2020</w:t>
      </w:r>
      <w:r>
        <w:t xml:space="preserve">. </w:t>
      </w:r>
      <w:hyperlink r:id="rId17" w:tgtFrame="_blank" w:history="1">
        <w:r>
          <w:rPr>
            <w:rStyle w:val="max-w-15ch"/>
            <w:color w:val="0000FF"/>
            <w:u w:val="single"/>
          </w:rPr>
          <w:t>StockAnalysis</w:t>
        </w:r>
      </w:hyperlink>
    </w:p>
    <w:p w14:paraId="66C560DF" w14:textId="77777777" w:rsidR="00B475E7" w:rsidRDefault="00B475E7" w:rsidP="00B475E7">
      <w:pPr>
        <w:pStyle w:val="NormalWeb"/>
        <w:numPr>
          <w:ilvl w:val="0"/>
          <w:numId w:val="39"/>
        </w:numPr>
      </w:pPr>
      <w:r>
        <w:rPr>
          <w:rStyle w:val="Strong"/>
          <w:rFonts w:eastAsiaTheme="majorEastAsia"/>
        </w:rPr>
        <w:t>Number of holdings:</w:t>
      </w:r>
      <w:r>
        <w:t xml:space="preserve"> </w:t>
      </w:r>
      <w:r>
        <w:rPr>
          <w:rStyle w:val="Strong"/>
          <w:rFonts w:eastAsiaTheme="majorEastAsia"/>
        </w:rPr>
        <w:t>~30 UAE companies</w:t>
      </w:r>
      <w:r>
        <w:t xml:space="preserve"> that satisfy Shariah screens. </w:t>
      </w:r>
      <w:hyperlink r:id="rId18" w:tgtFrame="_blank" w:history="1">
        <w:r>
          <w:rPr>
            <w:rStyle w:val="max-w-15ch"/>
            <w:color w:val="0000FF"/>
            <w:u w:val="single"/>
          </w:rPr>
          <w:t>Chimera Investment</w:t>
        </w:r>
      </w:hyperlink>
    </w:p>
    <w:p w14:paraId="3D224093" w14:textId="77777777" w:rsidR="00B475E7" w:rsidRDefault="00B475E7" w:rsidP="00B475E7">
      <w:pPr>
        <w:pStyle w:val="NormalWeb"/>
        <w:numPr>
          <w:ilvl w:val="0"/>
          <w:numId w:val="39"/>
        </w:numPr>
      </w:pPr>
      <w:r>
        <w:rPr>
          <w:rStyle w:val="Strong"/>
          <w:rFonts w:eastAsiaTheme="majorEastAsia"/>
        </w:rPr>
        <w:t>Expense ratio:</w:t>
      </w:r>
      <w:r>
        <w:t xml:space="preserve"> ~</w:t>
      </w:r>
      <w:r>
        <w:rPr>
          <w:rStyle w:val="Strong"/>
          <w:rFonts w:eastAsiaTheme="majorEastAsia"/>
        </w:rPr>
        <w:t>1.0%</w:t>
      </w:r>
      <w:r>
        <w:t xml:space="preserve"> per year (estimated broadly; exact may vary by share class). </w:t>
      </w:r>
      <w:hyperlink r:id="rId19" w:tgtFrame="_blank" w:history="1">
        <w:r>
          <w:rPr>
            <w:rStyle w:val="max-w-15ch"/>
            <w:color w:val="0000FF"/>
            <w:u w:val="single"/>
          </w:rPr>
          <w:t>StockAnalysis</w:t>
        </w:r>
      </w:hyperlink>
    </w:p>
    <w:p w14:paraId="16FCC183" w14:textId="77777777" w:rsidR="00B475E7" w:rsidRPr="00DF3CEE" w:rsidRDefault="00B475E7" w:rsidP="00B475E7">
      <w:pPr>
        <w:pStyle w:val="NormalWeb"/>
      </w:pPr>
    </w:p>
    <w:p w14:paraId="6795BFC5" w14:textId="7562631D" w:rsidR="00DF3CEE" w:rsidRDefault="00B475E7" w:rsidP="00AE1AC7">
      <w:pPr>
        <w:spacing w:before="100" w:beforeAutospacing="1" w:after="100" w:afterAutospacing="1"/>
        <w:outlineLvl w:val="2"/>
      </w:pPr>
      <w:r>
        <w:rPr>
          <w:noProof/>
          <w14:ligatures w14:val="standardContextual"/>
        </w:rPr>
        <w:drawing>
          <wp:inline distT="0" distB="0" distL="0" distR="0" wp14:anchorId="5A813BE1" wp14:editId="6B5E6495">
            <wp:extent cx="5731510" cy="2971800"/>
            <wp:effectExtent l="0" t="0" r="0" b="0"/>
            <wp:docPr id="816872330" name="Picture 4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72330" name="Picture 4" descr="A screenshot of a graph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DE07A" w14:textId="77777777" w:rsidR="00DF3CEE" w:rsidRDefault="00DF3CEE" w:rsidP="00AE1AC7">
      <w:pPr>
        <w:spacing w:before="100" w:beforeAutospacing="1" w:after="100" w:afterAutospacing="1"/>
        <w:outlineLvl w:val="2"/>
      </w:pPr>
    </w:p>
    <w:p w14:paraId="75630B34" w14:textId="77777777" w:rsidR="00DF3CEE" w:rsidRDefault="00DF3CEE" w:rsidP="00AE1AC7">
      <w:pPr>
        <w:spacing w:before="100" w:beforeAutospacing="1" w:after="100" w:afterAutospacing="1"/>
        <w:outlineLvl w:val="2"/>
      </w:pPr>
    </w:p>
    <w:p w14:paraId="6D723E58" w14:textId="77777777" w:rsidR="003A174A" w:rsidRDefault="003A174A" w:rsidP="00AE1AC7">
      <w:pPr>
        <w:spacing w:before="100" w:beforeAutospacing="1" w:after="100" w:afterAutospacing="1"/>
        <w:outlineLvl w:val="2"/>
      </w:pPr>
    </w:p>
    <w:p w14:paraId="62F7D69B" w14:textId="77777777" w:rsidR="003A174A" w:rsidRPr="003A174A" w:rsidRDefault="003A174A" w:rsidP="003A174A">
      <w:pPr>
        <w:pStyle w:val="NormalWeb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highlight w:val="yellow"/>
          <w:lang w:val="en-US"/>
        </w:rPr>
      </w:pPr>
      <w:r w:rsidRPr="003A174A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highlight w:val="yellow"/>
          <w:lang w:val="en-US"/>
        </w:rPr>
        <w:t>ADNOC Gas plc</w:t>
      </w:r>
      <w:r w:rsidRPr="003A174A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highlight w:val="yellow"/>
          <w:lang w:val="en-US"/>
        </w:rPr>
        <w:t xml:space="preserve"> </w:t>
      </w:r>
    </w:p>
    <w:p w14:paraId="14B1B18D" w14:textId="3CEDBFDA" w:rsidR="003A174A" w:rsidRDefault="003A174A" w:rsidP="003A174A">
      <w:pPr>
        <w:pStyle w:val="NormalWeb"/>
      </w:pPr>
      <w:r>
        <w:rPr>
          <w:rStyle w:val="Strong"/>
          <w:rFonts w:eastAsiaTheme="majorEastAsia"/>
        </w:rPr>
        <w:t>Name:</w:t>
      </w:r>
      <w:r>
        <w:t xml:space="preserve"> ADNOC Gas plc</w:t>
      </w:r>
      <w:r>
        <w:br/>
      </w:r>
      <w:r>
        <w:rPr>
          <w:rStyle w:val="Strong"/>
          <w:rFonts w:eastAsiaTheme="majorEastAsia"/>
        </w:rPr>
        <w:t>Ticker:</w:t>
      </w:r>
      <w:r>
        <w:t xml:space="preserve"> </w:t>
      </w:r>
      <w:r>
        <w:rPr>
          <w:rStyle w:val="Emphasis"/>
          <w:rFonts w:eastAsiaTheme="majorEastAsia"/>
        </w:rPr>
        <w:t>ADX: ADNOCGAS</w:t>
      </w:r>
      <w:r>
        <w:br/>
      </w:r>
      <w:r>
        <w:rPr>
          <w:rStyle w:val="Strong"/>
          <w:rFonts w:eastAsiaTheme="majorEastAsia"/>
        </w:rPr>
        <w:t>Exchange:</w:t>
      </w:r>
      <w:r>
        <w:t xml:space="preserve"> Abu Dhabi Securities Exchange (ADX)</w:t>
      </w:r>
      <w:r>
        <w:br/>
      </w:r>
      <w:r>
        <w:rPr>
          <w:rStyle w:val="Strong"/>
          <w:rFonts w:eastAsiaTheme="majorEastAsia"/>
        </w:rPr>
        <w:t>Sector:</w:t>
      </w:r>
      <w:r>
        <w:t xml:space="preserve"> Energy – Natural Gas Processing &amp; Sales</w:t>
      </w:r>
      <w:r>
        <w:br/>
      </w:r>
      <w:r>
        <w:rPr>
          <w:rStyle w:val="Strong"/>
          <w:rFonts w:eastAsiaTheme="majorEastAsia"/>
        </w:rPr>
        <w:t>Parent:</w:t>
      </w:r>
      <w:r>
        <w:t xml:space="preserve"> Majority owned (~86%) by </w:t>
      </w:r>
      <w:r>
        <w:rPr>
          <w:rStyle w:val="Strong"/>
          <w:rFonts w:eastAsiaTheme="majorEastAsia"/>
        </w:rPr>
        <w:t>Abu Dhabi National Oil Company (ADNOC)</w:t>
      </w:r>
      <w:r w:rsidR="00DB02D9">
        <w:rPr>
          <w:lang w:val="en-US"/>
        </w:rPr>
        <w:t>,</w:t>
      </w:r>
      <w:r>
        <w:t xml:space="preserve"> the UAE’s state energy powerhouse </w:t>
      </w:r>
      <w:hyperlink r:id="rId21" w:tgtFrame="_blank" w:history="1">
        <w:r>
          <w:rPr>
            <w:rStyle w:val="max-w-15ch"/>
            <w:rFonts w:eastAsiaTheme="majorEastAsia"/>
            <w:color w:val="0000FF"/>
            <w:u w:val="single"/>
          </w:rPr>
          <w:t>ADNOC</w:t>
        </w:r>
      </w:hyperlink>
    </w:p>
    <w:p w14:paraId="7FF537B9" w14:textId="50E50A1E" w:rsidR="003A174A" w:rsidRDefault="00DB02D9" w:rsidP="003A174A">
      <w:pPr>
        <w:pStyle w:val="NormalWeb"/>
      </w:pPr>
      <w:r>
        <w:rPr>
          <w:rStyle w:val="Strong"/>
          <w:rFonts w:eastAsiaTheme="majorEastAsia"/>
          <w:lang w:val="en-US"/>
        </w:rPr>
        <w:t xml:space="preserve">Supplies </w:t>
      </w:r>
      <w:r w:rsidR="003A174A">
        <w:t xml:space="preserve">about </w:t>
      </w:r>
      <w:r w:rsidR="003A174A">
        <w:rPr>
          <w:rStyle w:val="Strong"/>
          <w:rFonts w:eastAsiaTheme="majorEastAsia"/>
        </w:rPr>
        <w:t>60% of the UAE’s domestic gas needs</w:t>
      </w:r>
      <w:r w:rsidR="003A174A">
        <w:t xml:space="preserve"> and exporting to </w:t>
      </w:r>
      <w:r w:rsidR="003A174A">
        <w:rPr>
          <w:rStyle w:val="Strong"/>
          <w:rFonts w:eastAsiaTheme="majorEastAsia"/>
        </w:rPr>
        <w:t>20+ international markets</w:t>
      </w:r>
      <w:r w:rsidR="003A174A">
        <w:t xml:space="preserve">. </w:t>
      </w:r>
    </w:p>
    <w:p w14:paraId="44E9BFA4" w14:textId="77777777" w:rsidR="003A174A" w:rsidRDefault="003A174A" w:rsidP="003A174A">
      <w:pPr>
        <w:pStyle w:val="Heading2"/>
      </w:pPr>
      <w:r>
        <w:rPr>
          <w:rStyle w:val="Strong"/>
          <w:b w:val="0"/>
          <w:bCs w:val="0"/>
        </w:rPr>
        <w:t>Market Cap &amp; Share Price Context (2025)</w:t>
      </w:r>
    </w:p>
    <w:p w14:paraId="5669C540" w14:textId="7DC20620" w:rsidR="003A174A" w:rsidRDefault="003A174A" w:rsidP="003A174A">
      <w:pPr>
        <w:pStyle w:val="NormalWeb"/>
        <w:numPr>
          <w:ilvl w:val="0"/>
          <w:numId w:val="33"/>
        </w:numPr>
      </w:pPr>
      <w:r>
        <w:rPr>
          <w:rStyle w:val="Strong"/>
          <w:rFonts w:eastAsiaTheme="majorEastAsia"/>
        </w:rPr>
        <w:t>Market Cap:</w:t>
      </w:r>
      <w:r>
        <w:t xml:space="preserve"> ~</w:t>
      </w:r>
      <w:r>
        <w:rPr>
          <w:rStyle w:val="Strong"/>
          <w:rFonts w:eastAsiaTheme="majorEastAsia"/>
        </w:rPr>
        <w:t>AED 265–267 billion</w:t>
      </w:r>
      <w:r>
        <w:t xml:space="preserve"> (~US$72–73 billion), reflecting solid valuation growth since IPO. </w:t>
      </w:r>
    </w:p>
    <w:p w14:paraId="32C11DD0" w14:textId="1771E2AD" w:rsidR="003A174A" w:rsidRDefault="003A174A" w:rsidP="003A174A">
      <w:pPr>
        <w:pStyle w:val="NormalWeb"/>
        <w:numPr>
          <w:ilvl w:val="0"/>
          <w:numId w:val="33"/>
        </w:numPr>
      </w:pPr>
      <w:r>
        <w:rPr>
          <w:rStyle w:val="Strong"/>
          <w:rFonts w:eastAsiaTheme="majorEastAsia"/>
        </w:rPr>
        <w:t>Share price range:</w:t>
      </w:r>
      <w:r>
        <w:t xml:space="preserve"> Recent trading has been around </w:t>
      </w:r>
      <w:r>
        <w:rPr>
          <w:rStyle w:val="Strong"/>
          <w:rFonts w:eastAsiaTheme="majorEastAsia"/>
        </w:rPr>
        <w:t>AED ~3.46–3.52 per share</w:t>
      </w:r>
      <w:r>
        <w:t xml:space="preserve"> with a 52-week range of ~AED 2.71–3.71. </w:t>
      </w:r>
    </w:p>
    <w:p w14:paraId="35A18E2D" w14:textId="0711D3A7" w:rsidR="003A174A" w:rsidRDefault="003A174A" w:rsidP="003A174A">
      <w:pPr>
        <w:pStyle w:val="NormalWeb"/>
        <w:numPr>
          <w:ilvl w:val="0"/>
          <w:numId w:val="33"/>
        </w:numPr>
      </w:pPr>
      <w:r>
        <w:rPr>
          <w:rStyle w:val="Strong"/>
          <w:rFonts w:eastAsiaTheme="majorEastAsia"/>
        </w:rPr>
        <w:t>Float:</w:t>
      </w:r>
      <w:r>
        <w:t xml:space="preserve"> Free float remains relatively low (~9%), though marketed offerings have increased it from IPO levels, modestly boosting liquidity. </w:t>
      </w:r>
    </w:p>
    <w:p w14:paraId="59CB56A6" w14:textId="254C9082" w:rsidR="00DB02D9" w:rsidRPr="00DB02D9" w:rsidRDefault="003A174A" w:rsidP="00DB02D9">
      <w:pPr>
        <w:pStyle w:val="NormalWeb"/>
        <w:numPr>
          <w:ilvl w:val="0"/>
          <w:numId w:val="33"/>
        </w:numPr>
        <w:rPr>
          <w:rStyle w:val="Strong"/>
          <w:b w:val="0"/>
          <w:bCs w:val="0"/>
        </w:rPr>
      </w:pPr>
      <w:r w:rsidRPr="00DB02D9">
        <w:rPr>
          <w:rStyle w:val="Strong"/>
          <w:rFonts w:eastAsiaTheme="majorEastAsia"/>
        </w:rPr>
        <w:t>P/E:</w:t>
      </w:r>
      <w:r>
        <w:t xml:space="preserve"> ~13</w:t>
      </w:r>
      <w:r w:rsidR="00DB02D9" w:rsidRPr="00DB02D9">
        <w:rPr>
          <w:lang w:val="en-US"/>
        </w:rPr>
        <w:t>-</w:t>
      </w:r>
      <w:r>
        <w:t xml:space="preserve">14x based on recent reported earnings </w:t>
      </w:r>
    </w:p>
    <w:p w14:paraId="5F55BD40" w14:textId="77777777" w:rsidR="00DB02D9" w:rsidRDefault="00DB02D9" w:rsidP="00AE1AC7">
      <w:pPr>
        <w:pBdr>
          <w:bottom w:val="single" w:sz="6" w:space="1" w:color="auto"/>
        </w:pBd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2AEDE438" w14:textId="3A1F56E7" w:rsidR="00AE1AC7" w:rsidRPr="00AE1AC7" w:rsidRDefault="00AE1AC7" w:rsidP="00AE1A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B02D9">
        <w:rPr>
          <w:b/>
          <w:bCs/>
          <w:sz w:val="27"/>
          <w:szCs w:val="27"/>
          <w:highlight w:val="yellow"/>
        </w:rPr>
        <w:t>Real Estate &amp; Tourism</w:t>
      </w:r>
    </w:p>
    <w:p w14:paraId="03590825" w14:textId="0B11E544" w:rsidR="00AE1AC7" w:rsidRPr="00AE1AC7" w:rsidRDefault="00AE1AC7" w:rsidP="00AE1AC7">
      <w:pPr>
        <w:spacing w:before="100" w:beforeAutospacing="1" w:after="100" w:afterAutospacing="1"/>
      </w:pPr>
      <w:r w:rsidRPr="00AE1AC7">
        <w:rPr>
          <w:b/>
          <w:bCs/>
        </w:rPr>
        <w:t>Real Estate Momentum:</w:t>
      </w:r>
      <w:r w:rsidRPr="00AE1AC7">
        <w:t xml:space="preserve"> Residential real estate sales transactions increased by 13.7% year-on-year in the first 5 months of 2025, with off-plan sales seeing 14.3% growth</w:t>
      </w:r>
      <w:r w:rsidR="00DB02D9">
        <w:rPr>
          <w:lang w:val="en-US"/>
        </w:rPr>
        <w:t xml:space="preserve">. </w:t>
      </w:r>
    </w:p>
    <w:p w14:paraId="67F19045" w14:textId="1CADD8E0" w:rsidR="00604AB4" w:rsidRPr="00604AB4" w:rsidRDefault="00AE1AC7" w:rsidP="00604AB4">
      <w:pPr>
        <w:spacing w:before="100" w:beforeAutospacing="1" w:after="100" w:afterAutospacing="1"/>
      </w:pPr>
      <w:r w:rsidRPr="00AE1AC7">
        <w:rPr>
          <w:b/>
          <w:bCs/>
        </w:rPr>
        <w:t>Tourism Strength:</w:t>
      </w:r>
      <w:r w:rsidRPr="00AE1AC7">
        <w:t xml:space="preserve"> Dubai welcomed 9.9 million international overnight visitors in H1 2025, a 6.1% increase compared to H1 2024. Abu Dhabi and Dubai airports handled record passenger numbers, underscoring aviation's role in growth.</w:t>
      </w:r>
    </w:p>
    <w:sectPr w:rsidR="00604AB4" w:rsidRPr="00604A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A2CD7"/>
    <w:multiLevelType w:val="multilevel"/>
    <w:tmpl w:val="EB22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F50AF"/>
    <w:multiLevelType w:val="multilevel"/>
    <w:tmpl w:val="2210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57559"/>
    <w:multiLevelType w:val="multilevel"/>
    <w:tmpl w:val="39CE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978B7"/>
    <w:multiLevelType w:val="multilevel"/>
    <w:tmpl w:val="886E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54C12"/>
    <w:multiLevelType w:val="multilevel"/>
    <w:tmpl w:val="0D48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05DFC"/>
    <w:multiLevelType w:val="multilevel"/>
    <w:tmpl w:val="BD16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310F7"/>
    <w:multiLevelType w:val="multilevel"/>
    <w:tmpl w:val="1868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85B37"/>
    <w:multiLevelType w:val="multilevel"/>
    <w:tmpl w:val="1BE0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972C0B"/>
    <w:multiLevelType w:val="multilevel"/>
    <w:tmpl w:val="C9E0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32F68"/>
    <w:multiLevelType w:val="multilevel"/>
    <w:tmpl w:val="AA8A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622142"/>
    <w:multiLevelType w:val="multilevel"/>
    <w:tmpl w:val="5678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0A6836"/>
    <w:multiLevelType w:val="multilevel"/>
    <w:tmpl w:val="630E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EC5AD4"/>
    <w:multiLevelType w:val="multilevel"/>
    <w:tmpl w:val="6CA2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932F4F"/>
    <w:multiLevelType w:val="multilevel"/>
    <w:tmpl w:val="3A3C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FF70D0"/>
    <w:multiLevelType w:val="multilevel"/>
    <w:tmpl w:val="68FA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5434E9"/>
    <w:multiLevelType w:val="multilevel"/>
    <w:tmpl w:val="25D0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D31BBE"/>
    <w:multiLevelType w:val="multilevel"/>
    <w:tmpl w:val="FE7A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F4700A"/>
    <w:multiLevelType w:val="multilevel"/>
    <w:tmpl w:val="E68A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CF3030"/>
    <w:multiLevelType w:val="multilevel"/>
    <w:tmpl w:val="AFE4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103D1B"/>
    <w:multiLevelType w:val="multilevel"/>
    <w:tmpl w:val="FFF2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EC6A57"/>
    <w:multiLevelType w:val="multilevel"/>
    <w:tmpl w:val="9A6A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A63F66"/>
    <w:multiLevelType w:val="multilevel"/>
    <w:tmpl w:val="DEA0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A949DE"/>
    <w:multiLevelType w:val="multilevel"/>
    <w:tmpl w:val="03B2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B90841"/>
    <w:multiLevelType w:val="multilevel"/>
    <w:tmpl w:val="C154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101BE0"/>
    <w:multiLevelType w:val="multilevel"/>
    <w:tmpl w:val="231C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347608"/>
    <w:multiLevelType w:val="multilevel"/>
    <w:tmpl w:val="B412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5D0318"/>
    <w:multiLevelType w:val="multilevel"/>
    <w:tmpl w:val="9B92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2868D7"/>
    <w:multiLevelType w:val="multilevel"/>
    <w:tmpl w:val="AB60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855A0B"/>
    <w:multiLevelType w:val="multilevel"/>
    <w:tmpl w:val="41D4C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F91152"/>
    <w:multiLevelType w:val="multilevel"/>
    <w:tmpl w:val="6494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0856A7"/>
    <w:multiLevelType w:val="multilevel"/>
    <w:tmpl w:val="2400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9A2CF0"/>
    <w:multiLevelType w:val="multilevel"/>
    <w:tmpl w:val="5EFC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F10DD9"/>
    <w:multiLevelType w:val="multilevel"/>
    <w:tmpl w:val="E760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E0198B"/>
    <w:multiLevelType w:val="multilevel"/>
    <w:tmpl w:val="6350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636E8B"/>
    <w:multiLevelType w:val="multilevel"/>
    <w:tmpl w:val="41F0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027741"/>
    <w:multiLevelType w:val="multilevel"/>
    <w:tmpl w:val="95C2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875B30"/>
    <w:multiLevelType w:val="multilevel"/>
    <w:tmpl w:val="38045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325F41"/>
    <w:multiLevelType w:val="multilevel"/>
    <w:tmpl w:val="3828D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3C383A"/>
    <w:multiLevelType w:val="multilevel"/>
    <w:tmpl w:val="8F2A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15973">
    <w:abstractNumId w:val="19"/>
  </w:num>
  <w:num w:numId="2" w16cid:durableId="2044473452">
    <w:abstractNumId w:val="24"/>
  </w:num>
  <w:num w:numId="3" w16cid:durableId="1911034062">
    <w:abstractNumId w:val="25"/>
  </w:num>
  <w:num w:numId="4" w16cid:durableId="1440685391">
    <w:abstractNumId w:val="27"/>
  </w:num>
  <w:num w:numId="5" w16cid:durableId="914973120">
    <w:abstractNumId w:val="7"/>
  </w:num>
  <w:num w:numId="6" w16cid:durableId="433019393">
    <w:abstractNumId w:val="23"/>
  </w:num>
  <w:num w:numId="7" w16cid:durableId="1735929532">
    <w:abstractNumId w:val="11"/>
  </w:num>
  <w:num w:numId="8" w16cid:durableId="61877853">
    <w:abstractNumId w:val="9"/>
  </w:num>
  <w:num w:numId="9" w16cid:durableId="335812545">
    <w:abstractNumId w:val="4"/>
  </w:num>
  <w:num w:numId="10" w16cid:durableId="1573735795">
    <w:abstractNumId w:val="3"/>
  </w:num>
  <w:num w:numId="11" w16cid:durableId="1793673661">
    <w:abstractNumId w:val="34"/>
  </w:num>
  <w:num w:numId="12" w16cid:durableId="1988170335">
    <w:abstractNumId w:val="8"/>
  </w:num>
  <w:num w:numId="13" w16cid:durableId="67460030">
    <w:abstractNumId w:val="38"/>
  </w:num>
  <w:num w:numId="14" w16cid:durableId="770512643">
    <w:abstractNumId w:val="15"/>
  </w:num>
  <w:num w:numId="15" w16cid:durableId="1529172625">
    <w:abstractNumId w:val="6"/>
  </w:num>
  <w:num w:numId="16" w16cid:durableId="773332341">
    <w:abstractNumId w:val="16"/>
  </w:num>
  <w:num w:numId="17" w16cid:durableId="409741227">
    <w:abstractNumId w:val="28"/>
  </w:num>
  <w:num w:numId="18" w16cid:durableId="217134981">
    <w:abstractNumId w:val="36"/>
  </w:num>
  <w:num w:numId="19" w16cid:durableId="1389954133">
    <w:abstractNumId w:val="18"/>
  </w:num>
  <w:num w:numId="20" w16cid:durableId="124586198">
    <w:abstractNumId w:val="26"/>
  </w:num>
  <w:num w:numId="21" w16cid:durableId="2058582501">
    <w:abstractNumId w:val="37"/>
  </w:num>
  <w:num w:numId="22" w16cid:durableId="1367028472">
    <w:abstractNumId w:val="5"/>
  </w:num>
  <w:num w:numId="23" w16cid:durableId="234975250">
    <w:abstractNumId w:val="29"/>
  </w:num>
  <w:num w:numId="24" w16cid:durableId="1630042075">
    <w:abstractNumId w:val="17"/>
  </w:num>
  <w:num w:numId="25" w16cid:durableId="542522469">
    <w:abstractNumId w:val="35"/>
  </w:num>
  <w:num w:numId="26" w16cid:durableId="2050377386">
    <w:abstractNumId w:val="33"/>
  </w:num>
  <w:num w:numId="27" w16cid:durableId="1707749360">
    <w:abstractNumId w:val="13"/>
  </w:num>
  <w:num w:numId="28" w16cid:durableId="1679649412">
    <w:abstractNumId w:val="21"/>
  </w:num>
  <w:num w:numId="29" w16cid:durableId="1417558558">
    <w:abstractNumId w:val="10"/>
  </w:num>
  <w:num w:numId="30" w16cid:durableId="79759823">
    <w:abstractNumId w:val="0"/>
  </w:num>
  <w:num w:numId="31" w16cid:durableId="327443110">
    <w:abstractNumId w:val="12"/>
  </w:num>
  <w:num w:numId="32" w16cid:durableId="1296450544">
    <w:abstractNumId w:val="20"/>
  </w:num>
  <w:num w:numId="33" w16cid:durableId="296760045">
    <w:abstractNumId w:val="32"/>
  </w:num>
  <w:num w:numId="34" w16cid:durableId="1311670233">
    <w:abstractNumId w:val="30"/>
  </w:num>
  <w:num w:numId="35" w16cid:durableId="1085614535">
    <w:abstractNumId w:val="1"/>
  </w:num>
  <w:num w:numId="36" w16cid:durableId="2078554147">
    <w:abstractNumId w:val="14"/>
  </w:num>
  <w:num w:numId="37" w16cid:durableId="105471781">
    <w:abstractNumId w:val="2"/>
  </w:num>
  <w:num w:numId="38" w16cid:durableId="2094739401">
    <w:abstractNumId w:val="22"/>
  </w:num>
  <w:num w:numId="39" w16cid:durableId="86162961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AC7"/>
    <w:rsid w:val="000C4711"/>
    <w:rsid w:val="00184EDC"/>
    <w:rsid w:val="002D45F4"/>
    <w:rsid w:val="0035391D"/>
    <w:rsid w:val="00354C65"/>
    <w:rsid w:val="003A174A"/>
    <w:rsid w:val="003B1046"/>
    <w:rsid w:val="004077F0"/>
    <w:rsid w:val="004107CF"/>
    <w:rsid w:val="00452A12"/>
    <w:rsid w:val="00604AB4"/>
    <w:rsid w:val="00683724"/>
    <w:rsid w:val="006E72C3"/>
    <w:rsid w:val="007937AF"/>
    <w:rsid w:val="00AE1AC7"/>
    <w:rsid w:val="00B475E7"/>
    <w:rsid w:val="00C849CD"/>
    <w:rsid w:val="00D26968"/>
    <w:rsid w:val="00DB02D9"/>
    <w:rsid w:val="00DF3CEE"/>
    <w:rsid w:val="00FF2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5A91FD"/>
  <w15:chartTrackingRefBased/>
  <w15:docId w15:val="{E0622F01-99F7-2647-8874-B06FD4086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91D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1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1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1A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A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A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A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A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A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A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1A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1A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A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A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A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A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A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A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A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AC7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AE1AC7"/>
    <w:pPr>
      <w:spacing w:before="100" w:beforeAutospacing="1" w:after="100" w:afterAutospacing="1"/>
    </w:pPr>
  </w:style>
  <w:style w:type="character" w:customStyle="1" w:styleId="inline-flex">
    <w:name w:val="inline-flex"/>
    <w:basedOn w:val="DefaultParagraphFont"/>
    <w:rsid w:val="00AE1AC7"/>
  </w:style>
  <w:style w:type="character" w:customStyle="1" w:styleId="text-nowrap">
    <w:name w:val="text-nowrap"/>
    <w:basedOn w:val="DefaultParagraphFont"/>
    <w:rsid w:val="00AE1AC7"/>
  </w:style>
  <w:style w:type="character" w:styleId="Strong">
    <w:name w:val="Strong"/>
    <w:basedOn w:val="DefaultParagraphFont"/>
    <w:uiPriority w:val="22"/>
    <w:qFormat/>
    <w:rsid w:val="00AE1AC7"/>
    <w:rPr>
      <w:b/>
      <w:bCs/>
    </w:rPr>
  </w:style>
  <w:style w:type="paragraph" w:customStyle="1" w:styleId="whitespace-normal">
    <w:name w:val="whitespace-normal"/>
    <w:basedOn w:val="Normal"/>
    <w:rsid w:val="00AE1AC7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35391D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35391D"/>
    <w:rPr>
      <w:color w:val="0000FF"/>
      <w:u w:val="single"/>
    </w:rPr>
  </w:style>
  <w:style w:type="character" w:customStyle="1" w:styleId="ms-1">
    <w:name w:val="ms-1"/>
    <w:basedOn w:val="DefaultParagraphFont"/>
    <w:rsid w:val="00184EDC"/>
  </w:style>
  <w:style w:type="character" w:customStyle="1" w:styleId="max-w-15ch">
    <w:name w:val="max-w-[15ch]"/>
    <w:basedOn w:val="DefaultParagraphFont"/>
    <w:rsid w:val="00184EDC"/>
  </w:style>
  <w:style w:type="character" w:customStyle="1" w:styleId="-me-1">
    <w:name w:val="-me-1"/>
    <w:basedOn w:val="DefaultParagraphFont"/>
    <w:rsid w:val="00184EDC"/>
  </w:style>
  <w:style w:type="character" w:styleId="Emphasis">
    <w:name w:val="Emphasis"/>
    <w:basedOn w:val="DefaultParagraphFont"/>
    <w:uiPriority w:val="20"/>
    <w:qFormat/>
    <w:rsid w:val="007937AF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452A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47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8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0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properties.emaar.com/en/press-release-listing/emaars-property-sales-grew-by-42-reaching-aed-19-3-billion-us-5-3-billion-in-q1-2025-backlog-increased-to-aed-127-billion-us-34-6-billion/?utm_source=chatgpt.com" TargetMode="External"/><Relationship Id="rId18" Type="http://schemas.openxmlformats.org/officeDocument/2006/relationships/hyperlink" Target="https://www.chimerainvestment.com/files/etf/UAEA_Factsheet-October-2025.pdf?utm_source=chatgpt.com" TargetMode="External"/><Relationship Id="rId26" Type="http://schemas.openxmlformats.org/officeDocument/2006/relationships/customXml" Target="../customXml/item3.xml"/><Relationship Id="rId3" Type="http://schemas.openxmlformats.org/officeDocument/2006/relationships/settings" Target="settings.xml"/><Relationship Id="rId21" Type="http://schemas.openxmlformats.org/officeDocument/2006/relationships/hyperlink" Target="https://adnoc.ae/en/news-and-media/press-releases/2025/adnoc-successfully-completes-284-billion-marketed-offering-of-adnoc-gas-shares?utm_source=chatgpt.com" TargetMode="External"/><Relationship Id="rId7" Type="http://schemas.openxmlformats.org/officeDocument/2006/relationships/hyperlink" Target="https://www.marketcapwatch.com/united-arab-emirates/largest-companies-in-united-arab-emirates?utm_source=chatgpt.com" TargetMode="External"/><Relationship Id="rId12" Type="http://schemas.openxmlformats.org/officeDocument/2006/relationships/hyperlink" Target="https://properties.emaar.com/en/press-release-listing/emaars-property-sales-grew-by-42-reaching-aed-19-3-billion-us-5-3-billion-in-q1-2025-backlog-increased-to-aed-127-billion-us-34-6-billion/?utm_source=chatgpt.com" TargetMode="External"/><Relationship Id="rId17" Type="http://schemas.openxmlformats.org/officeDocument/2006/relationships/hyperlink" Target="https://stockanalysis.com/quote/adx/UAEA/?utm_source=chatgpt.com" TargetMode="External"/><Relationship Id="rId25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hyperlink" Target="https://chimerainvestment.com/Website/en/proddetails.aspx?etfid=6&amp;utm_source=chatgpt.com" TargetMode="External"/><Relationship Id="rId20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hyperlink" Target="https://www.centralbank.ae/en/forex-eibor/exchange-rates/" TargetMode="External"/><Relationship Id="rId11" Type="http://schemas.openxmlformats.org/officeDocument/2006/relationships/image" Target="media/image2.png"/><Relationship Id="rId24" Type="http://schemas.openxmlformats.org/officeDocument/2006/relationships/customXml" Target="../customXml/item1.xml"/><Relationship Id="rId5" Type="http://schemas.openxmlformats.org/officeDocument/2006/relationships/hyperlink" Target="https://u.ae/en/about-the-uae/the-uae-government/political-system-and-government" TargetMode="External"/><Relationship Id="rId15" Type="http://schemas.openxmlformats.org/officeDocument/2006/relationships/hyperlink" Target="https://www.chimerainvestment.com/files/etf/UAEA_Factsheet-October-2025.pdf?utm_source=chatgpt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marketcapwatch.com/united-arab-emirates/largest-companies-in-united-arab-emirates?utm_source=chatgpt.com" TargetMode="External"/><Relationship Id="rId19" Type="http://schemas.openxmlformats.org/officeDocument/2006/relationships/hyperlink" Target="https://stockanalysis.com/quote/adx/UAEA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radingview.com/symbols/ADX-FAB/?timeframe=60M" TargetMode="Externa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CB9ECB3B0DFE42A61CA68338208089" ma:contentTypeVersion="3" ma:contentTypeDescription="Create a new document." ma:contentTypeScope="" ma:versionID="f581d8462a6350cc0a29d8ffb1034aaf">
  <xsd:schema xmlns:xsd="http://www.w3.org/2001/XMLSchema" xmlns:xs="http://www.w3.org/2001/XMLSchema" xmlns:p="http://schemas.microsoft.com/office/2006/metadata/properties" xmlns:ns2="938da60d-4642-413d-85aa-e98b25a009ac" targetNamespace="http://schemas.microsoft.com/office/2006/metadata/properties" ma:root="true" ma:fieldsID="451c85b5cb510a7ee7ec08f6e2963df8" ns2:_="">
    <xsd:import namespace="938da60d-4642-413d-85aa-e98b25a009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8da60d-4642-413d-85aa-e98b25a009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566ED4A-8F9D-4792-B433-8EFD6AB659E5}"/>
</file>

<file path=customXml/itemProps2.xml><?xml version="1.0" encoding="utf-8"?>
<ds:datastoreItem xmlns:ds="http://schemas.openxmlformats.org/officeDocument/2006/customXml" ds:itemID="{2AC2BFD0-1249-47D9-8FFB-17CA2641AFF6}"/>
</file>

<file path=customXml/itemProps3.xml><?xml version="1.0" encoding="utf-8"?>
<ds:datastoreItem xmlns:ds="http://schemas.openxmlformats.org/officeDocument/2006/customXml" ds:itemID="{9CA29D7C-FEB9-4C89-A51B-280EC8397B1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1223</Words>
  <Characters>6976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Mokliak, Anna</dc:creator>
  <cp:keywords/>
  <dc:description/>
  <cp:lastModifiedBy>Mokliak, Anna</cp:lastModifiedBy>
  <cp:revision>3</cp:revision>
  <dcterms:created xsi:type="dcterms:W3CDTF">2025-12-18T19:29:00Z</dcterms:created>
  <dcterms:modified xsi:type="dcterms:W3CDTF">2025-12-20T10:44:00Z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0x0101005BCB9ECB3B0DFE42A61CA68338208089</vt:lpwstr>
  </property>
</Properties>
</file>