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0B6E99"/>
          <w:sz w:val="20"/>
          <w:szCs w:val="20"/>
        </w:rPr>
        <w:t xml:space="preserve">TECHNICAL REPORT</w:t>
      </w:r>
    </w:p>
    <w:p>
      <w:pPr>
        <w:spacing w:after="120"/>
      </w:pPr>
      <w:r>
        <w:rPr>
          <w:rFonts w:ascii="Calibri" w:cs="Calibri" w:eastAsia="Calibri" w:hAnsi="Calibri"/>
          <w:b/>
          <w:bCs/>
          <w:color w:val="1B2A41"/>
          <w:sz w:val="46"/>
          <w:szCs w:val="46"/>
        </w:rPr>
        <w:t xml:space="preserve">YOLOv7 Deployment and NPU-Only Performance Evaluation on the AMD Versal AI Edge VEK280</w:t>
      </w:r>
    </w:p>
    <w:p>
      <w:pPr>
        <w:pBdr>
          <w:bottom w:val="single" w:color="0B6E99" w:sz="8" w:space="8"/>
        </w:pBdr>
        <w:spacing w:after="260"/>
      </w:pPr>
      <w:r>
        <w:rPr>
          <w:rFonts w:ascii="Calibri" w:cs="Calibri" w:eastAsia="Calibri" w:hAnsi="Calibri"/>
          <w:color w:val="5B6B7F"/>
          <w:sz w:val="24"/>
          <w:szCs w:val="24"/>
        </w:rPr>
        <w:t xml:space="preserve">VE2802 NPU  ·  Vitis 2025.2  ·  Vitis-AI 6.2</w:t>
      </w:r>
    </w:p>
    <w:p>
      <w:pPr>
        <w:keepNext/>
        <w:spacing w:after="60" w:before="120"/>
      </w:pPr>
      <w:r>
        <w:rPr>
          <w:rFonts w:ascii="Calibri" w:cs="Calibri" w:eastAsia="Calibri" w:hAnsi="Calibri"/>
          <w:i/>
          <w:iCs/>
          <w:color w:val="5B6B7F"/>
          <w:sz w:val="18"/>
          <w:szCs w:val="18"/>
        </w:rPr>
        <w:t xml:space="preserve">Table 1. Final YOLOv7 profiling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Parameter</w:t>
            </w:r>
          </w:p>
        </w:tc>
        <w:tc>
          <w:tcPr>
            <w:tcW w:type="dxa" w:w="6938"/>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Value</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Board</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AMD Versal AI Edge VEK280 / VE2802</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Vitis / Vitis-AI</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2025.2 / 6.2</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Model and input</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YOLOv7, fixed 640 × 640</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NPU</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VE2802 NPU, A304 configuration (</w:t>
            </w:r>
            <w:r>
              <w:rPr>
                <w:rFonts w:ascii="Consolas" w:cs="Consolas" w:eastAsia="Consolas" w:hAnsi="Consolas"/>
                <w:color w:val="1B2A41"/>
                <w:sz w:val="17"/>
                <w:szCs w:val="17"/>
              </w:rPr>
              <w:t xml:space="preserve">VE2802_NPU_IP_O00_A304_M3</w:t>
            </w:r>
            <w:r>
              <w:rPr>
                <w:rFonts w:ascii="Calibri" w:cs="Calibri" w:eastAsia="Calibri" w:hAnsi="Calibri"/>
                <w:b w:val="false"/>
                <w:bCs w:val="false"/>
                <w:color w:val="1B2A41"/>
                <w:sz w:val="19"/>
                <w:szCs w:val="19"/>
              </w:rPr>
              <w:t xml:space="preserve">)</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Execution mode</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bCs/>
                <w:color w:val="1B2A41"/>
                <w:sz w:val="19"/>
                <w:szCs w:val="19"/>
              </w:rPr>
              <w:t xml:space="preserve">NPU-only</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CPU subgraphs</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Disabled / skipped</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Runner</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Native VART/NPU runner</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Profiling</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Final NPU-only configuration, stage-level profiler</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Purpose</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Measure YOLOv7 with the neural network fully on the NPU, without CPU-subgraph fallback</w:t>
            </w:r>
          </w:p>
        </w:tc>
      </w:tr>
    </w:tbl>
    <w:p>
      <w:pPr>
        <w:keepNext/>
        <w:spacing w:after="0" w:before="80"/>
        <w:jc w:val="center"/>
      </w:pPr>
      <w:r>
        <w:drawing>
          <wp:inline distT="0" distB="0" distL="0" distR="0">
            <wp:extent cx="2190750" cy="2190750"/>
            <wp:effectExtent t="0" r="0" b="0" l="0"/>
            <wp:docPr id="1" name="img/vekboard.png" descr="img/vekboard.png" title="img/vek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2190750"/>
                    </a:xfrm>
                    <a:prstGeom prst="rect">
                      <a:avLst/>
                    </a:prstGeom>
                  </pic:spPr>
                </pic:pic>
              </a:graphicData>
            </a:graphic>
          </wp:inline>
        </w:drawing>
      </w:r>
    </w:p>
    <w:p>
      <w:pPr>
        <w:spacing w:after="200" w:before="50"/>
        <w:jc w:val="center"/>
      </w:pPr>
      <w:r>
        <w:rPr>
          <w:rFonts w:ascii="Calibri" w:cs="Calibri" w:eastAsia="Calibri" w:hAnsi="Calibri"/>
          <w:i/>
          <w:iCs/>
          <w:color w:val="5B6B7F"/>
          <w:sz w:val="18"/>
          <w:szCs w:val="18"/>
        </w:rPr>
        <w:t xml:space="preserve">Figure 1. AMD Versal AI Edge VEK280 evaluation board.</w:t>
      </w:r>
    </w:p>
    <w:p>
      <w:r>
        <w:br w:type="page"/>
      </w:r>
    </w:p>
    <w:p>
      <w:pPr>
        <w:pStyle w:val="Heading1"/>
        <w:keepNext/>
        <w:spacing w:after="120" w:before="300"/>
      </w:pPr>
      <w:r>
        <w:rPr>
          <w:rFonts w:ascii="Calibri" w:cs="Calibri" w:eastAsia="Calibri" w:hAnsi="Calibri"/>
          <w:b/>
          <w:bCs/>
          <w:color w:val="0B6E99"/>
          <w:sz w:val="30"/>
          <w:szCs w:val="30"/>
        </w:rPr>
        <w:t xml:space="preserve">1. Executive Summary</w:t>
      </w:r>
    </w:p>
    <w:p>
      <w:pPr>
        <w:spacing w:after="110" w:before="0" w:line="264"/>
      </w:pPr>
      <w:r>
        <w:rPr>
          <w:rFonts w:ascii="Calibri" w:cs="Calibri" w:eastAsia="Calibri" w:hAnsi="Calibri"/>
          <w:color w:val="1B2A41"/>
          <w:sz w:val="21"/>
          <w:szCs w:val="21"/>
        </w:rPr>
        <w:t xml:space="preserve">This report documents the deployment and profiling of YOLOv7 on the AMD Versal AI Edge VEK280 using Vitis 2025.2 and Vitis-AI 6.2. </w:t>
      </w:r>
      <w:r>
        <w:rPr>
          <w:rFonts w:ascii="Calibri" w:cs="Calibri" w:eastAsia="Calibri" w:hAnsi="Calibri"/>
          <w:b/>
          <w:bCs/>
          <w:color w:val="1B2A41"/>
          <w:sz w:val="21"/>
          <w:szCs w:val="21"/>
        </w:rPr>
        <w:t xml:space="preserve">All final results come from the NPU-only configuration</w:t>
      </w:r>
      <w:r>
        <w:rPr>
          <w:rFonts w:ascii="Calibri" w:cs="Calibri" w:eastAsia="Calibri" w:hAnsi="Calibri"/>
          <w:color w:val="1B2A41"/>
          <w:sz w:val="21"/>
          <w:szCs w:val="21"/>
        </w:rPr>
        <w:t xml:space="preserve">, in which the CPU subgraph is skipped and the neural network executes on the VE2802 NPU. Measurements with the CPU subgraph enabled are retained only as a development baseline (Section 5).</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C8D3DD" w:sz="4"/>
              <w:left w:val="single" w:color="C8D3DD" w:sz="4"/>
              <w:bottom w:val="single" w:color="C8D3DD" w:sz="4"/>
              <w:right w:val="single" w:color="C8D3DD" w:sz="4"/>
            </w:tcBorders>
            <w:shd w:fill="EAF2F7" w:val="clear"/>
            <w:tcMar>
              <w:top w:type="dxa" w:w="140"/>
              <w:left w:type="dxa" w:w="100"/>
              <w:bottom w:type="dxa" w:w="140"/>
              <w:right w:type="dxa" w:w="100"/>
            </w:tcMar>
          </w:tcPr>
          <w:p>
            <w:pPr>
              <w:spacing w:after="40"/>
              <w:jc w:val="center"/>
            </w:pPr>
            <w:r>
              <w:rPr>
                <w:rFonts w:ascii="Calibri" w:cs="Calibri" w:eastAsia="Calibri" w:hAnsi="Calibri"/>
                <w:b/>
                <w:bCs/>
                <w:color w:val="0B6E99"/>
                <w:sz w:val="36"/>
                <w:szCs w:val="36"/>
              </w:rPr>
              <w:t xml:space="preserve">7.1 ms</w:t>
            </w:r>
          </w:p>
          <w:p>
            <w:pPr>
              <w:spacing w:after="0"/>
              <w:jc w:val="center"/>
            </w:pPr>
            <w:r>
              <w:rPr>
                <w:rFonts w:ascii="Calibri" w:cs="Calibri" w:eastAsia="Calibri" w:hAnsi="Calibri"/>
                <w:color w:val="1B2A41"/>
                <w:sz w:val="17"/>
                <w:szCs w:val="17"/>
              </w:rPr>
              <w:t xml:space="preserve">NPU inference per frame (640×640)</w:t>
            </w:r>
          </w:p>
        </w:tc>
        <w:tc>
          <w:tcPr>
            <w:tcW w:type="dxa" w:w="2409"/>
            <w:tcBorders>
              <w:top w:val="single" w:color="C8D3DD" w:sz="4"/>
              <w:left w:val="single" w:color="C8D3DD" w:sz="4"/>
              <w:bottom w:val="single" w:color="C8D3DD" w:sz="4"/>
              <w:right w:val="single" w:color="C8D3DD" w:sz="4"/>
            </w:tcBorders>
            <w:shd w:fill="EAF2F7" w:val="clear"/>
            <w:tcMar>
              <w:top w:type="dxa" w:w="140"/>
              <w:left w:type="dxa" w:w="100"/>
              <w:bottom w:type="dxa" w:w="140"/>
              <w:right w:type="dxa" w:w="100"/>
            </w:tcMar>
          </w:tcPr>
          <w:p>
            <w:pPr>
              <w:spacing w:after="40"/>
              <w:jc w:val="center"/>
            </w:pPr>
            <w:r>
              <w:rPr>
                <w:rFonts w:ascii="Calibri" w:cs="Calibri" w:eastAsia="Calibri" w:hAnsi="Calibri"/>
                <w:b/>
                <w:bCs/>
                <w:color w:val="0B6E99"/>
                <w:sz w:val="36"/>
                <w:szCs w:val="36"/>
              </w:rPr>
              <w:t xml:space="preserve">27.0 → 13.3</w:t>
            </w:r>
          </w:p>
          <w:p>
            <w:pPr>
              <w:spacing w:after="0"/>
              <w:jc w:val="center"/>
            </w:pPr>
            <w:r>
              <w:rPr>
                <w:rFonts w:ascii="Calibri" w:cs="Calibri" w:eastAsia="Calibri" w:hAnsi="Calibri"/>
                <w:color w:val="1B2A41"/>
                <w:sz w:val="17"/>
                <w:szCs w:val="17"/>
              </w:rPr>
              <w:t xml:space="preserve">End-to-end FPS, 320×240 → 1920×1080</w:t>
            </w:r>
          </w:p>
        </w:tc>
        <w:tc>
          <w:tcPr>
            <w:tcW w:type="dxa" w:w="2409"/>
            <w:tcBorders>
              <w:top w:val="single" w:color="C8D3DD" w:sz="4"/>
              <w:left w:val="single" w:color="C8D3DD" w:sz="4"/>
              <w:bottom w:val="single" w:color="C8D3DD" w:sz="4"/>
              <w:right w:val="single" w:color="C8D3DD" w:sz="4"/>
            </w:tcBorders>
            <w:shd w:fill="EAF2F7" w:val="clear"/>
            <w:tcMar>
              <w:top w:type="dxa" w:w="140"/>
              <w:left w:type="dxa" w:w="100"/>
              <w:bottom w:type="dxa" w:w="140"/>
              <w:right w:type="dxa" w:w="100"/>
            </w:tcMar>
          </w:tcPr>
          <w:p>
            <w:pPr>
              <w:spacing w:after="40"/>
              <w:jc w:val="center"/>
            </w:pPr>
            <w:r>
              <w:rPr>
                <w:rFonts w:ascii="Calibri" w:cs="Calibri" w:eastAsia="Calibri" w:hAnsi="Calibri"/>
                <w:b/>
                <w:bCs/>
                <w:color w:val="0B6E99"/>
                <w:sz w:val="36"/>
                <w:szCs w:val="36"/>
              </w:rPr>
              <w:t xml:space="preserve">52–61%</w:t>
            </w:r>
          </w:p>
          <w:p>
            <w:pPr>
              <w:spacing w:after="0"/>
              <w:jc w:val="center"/>
            </w:pPr>
            <w:r>
              <w:rPr>
                <w:rFonts w:ascii="Calibri" w:cs="Calibri" w:eastAsia="Calibri" w:hAnsi="Calibri"/>
                <w:color w:val="1B2A41"/>
                <w:sz w:val="17"/>
                <w:szCs w:val="17"/>
              </w:rPr>
              <w:t xml:space="preserve">AIE-ML core activity (304 tiles)</w:t>
            </w:r>
          </w:p>
        </w:tc>
        <w:tc>
          <w:tcPr>
            <w:tcW w:type="dxa" w:w="2409"/>
            <w:tcBorders>
              <w:top w:val="single" w:color="C8D3DD" w:sz="4"/>
              <w:left w:val="single" w:color="C8D3DD" w:sz="4"/>
              <w:bottom w:val="single" w:color="C8D3DD" w:sz="4"/>
              <w:right w:val="single" w:color="C8D3DD" w:sz="4"/>
            </w:tcBorders>
            <w:shd w:fill="EAF2F7" w:val="clear"/>
            <w:tcMar>
              <w:top w:type="dxa" w:w="140"/>
              <w:left w:type="dxa" w:w="100"/>
              <w:bottom w:type="dxa" w:w="140"/>
              <w:right w:type="dxa" w:w="100"/>
            </w:tcMar>
          </w:tcPr>
          <w:p>
            <w:pPr>
              <w:spacing w:after="40"/>
              <w:jc w:val="center"/>
            </w:pPr>
            <w:r>
              <w:rPr>
                <w:rFonts w:ascii="Calibri" w:cs="Calibri" w:eastAsia="Calibri" w:hAnsi="Calibri"/>
                <w:b/>
                <w:bCs/>
                <w:color w:val="0B6E99"/>
                <w:sz w:val="36"/>
                <w:szCs w:val="36"/>
              </w:rPr>
              <w:t xml:space="preserve">≈3.55 W</w:t>
            </w:r>
          </w:p>
          <w:p>
            <w:pPr>
              <w:spacing w:after="0"/>
              <w:jc w:val="center"/>
            </w:pPr>
            <w:r>
              <w:rPr>
                <w:rFonts w:ascii="Calibri" w:cs="Calibri" w:eastAsia="Calibri" w:hAnsi="Calibri"/>
                <w:color w:val="1B2A41"/>
                <w:sz w:val="17"/>
                <w:szCs w:val="17"/>
              </w:rPr>
              <w:t xml:space="preserve">Average monitored-rail power</w:t>
            </w:r>
          </w:p>
        </w:tc>
      </w:tr>
    </w:tbl>
    <w:p>
      <w:pPr>
        <w:spacing w:after="60"/>
      </w:pPr>
    </w:p>
    <w:p>
      <w:pPr>
        <w:pStyle w:val="ListParagraph"/>
        <w:numPr>
          <w:ilvl w:val="0"/>
          <w:numId w:val="2"/>
        </w:numPr>
        <w:spacing w:after="70" w:line="260"/>
      </w:pPr>
      <w:r>
        <w:rPr>
          <w:rFonts w:ascii="Calibri" w:cs="Calibri" w:eastAsia="Calibri" w:hAnsi="Calibri"/>
          <w:color w:val="1B2A41"/>
          <w:sz w:val="21"/>
          <w:szCs w:val="21"/>
        </w:rPr>
        <w:t xml:space="preserve">The NPU stage takes </w:t>
      </w:r>
      <w:r>
        <w:rPr>
          <w:rFonts w:ascii="Calibri" w:cs="Calibri" w:eastAsia="Calibri" w:hAnsi="Calibri"/>
          <w:b/>
          <w:bCs/>
          <w:color w:val="1B2A41"/>
          <w:sz w:val="21"/>
          <w:szCs w:val="21"/>
        </w:rPr>
        <w:t xml:space="preserve">7.12–7.18 ms</w:t>
      </w:r>
      <w:r>
        <w:rPr>
          <w:rFonts w:ascii="Calibri" w:cs="Calibri" w:eastAsia="Calibri" w:hAnsi="Calibri"/>
          <w:color w:val="1B2A41"/>
          <w:sz w:val="21"/>
          <w:szCs w:val="21"/>
        </w:rPr>
        <w:t xml:space="preserve"> per frame at every source resolution, an NPU-stage ceiling of about 140 FPS.</w:t>
      </w:r>
    </w:p>
    <w:p>
      <w:pPr>
        <w:pStyle w:val="ListParagraph"/>
        <w:numPr>
          <w:ilvl w:val="0"/>
          <w:numId w:val="2"/>
        </w:numPr>
        <w:spacing w:after="70" w:line="260"/>
      </w:pPr>
      <w:r>
        <w:rPr>
          <w:rFonts w:ascii="Calibri" w:cs="Calibri" w:eastAsia="Calibri" w:hAnsi="Calibri"/>
          <w:color w:val="1B2A41"/>
          <w:sz w:val="21"/>
          <w:szCs w:val="21"/>
        </w:rPr>
        <w:t xml:space="preserve">Complete-pipeline throughput falls from </w:t>
      </w:r>
      <w:r>
        <w:rPr>
          <w:rFonts w:ascii="Calibri" w:cs="Calibri" w:eastAsia="Calibri" w:hAnsi="Calibri"/>
          <w:b/>
          <w:bCs/>
          <w:color w:val="1B2A41"/>
          <w:sz w:val="21"/>
          <w:szCs w:val="21"/>
        </w:rPr>
        <w:t xml:space="preserve">27.01 FPS (320×240)</w:t>
      </w:r>
      <w:r>
        <w:rPr>
          <w:rFonts w:ascii="Calibri" w:cs="Calibri" w:eastAsia="Calibri" w:hAnsi="Calibri"/>
          <w:color w:val="1B2A41"/>
          <w:sz w:val="21"/>
          <w:szCs w:val="21"/>
        </w:rPr>
        <w:t xml:space="preserve"> to </w:t>
      </w:r>
      <w:r>
        <w:rPr>
          <w:rFonts w:ascii="Calibri" w:cs="Calibri" w:eastAsia="Calibri" w:hAnsi="Calibri"/>
          <w:b/>
          <w:bCs/>
          <w:color w:val="1B2A41"/>
          <w:sz w:val="21"/>
          <w:szCs w:val="21"/>
        </w:rPr>
        <w:t xml:space="preserve">13.33 FPS (1920×1080)</w:t>
      </w:r>
      <w:r>
        <w:rPr>
          <w:rFonts w:ascii="Calibri" w:cs="Calibri" w:eastAsia="Calibri" w:hAnsi="Calibri"/>
          <w:color w:val="1B2A41"/>
          <w:sz w:val="21"/>
          <w:szCs w:val="21"/>
        </w:rPr>
        <w:t xml:space="preserve">; the loss is caused by CPU-side read/decode and preparation, not by the NPU.</w:t>
      </w:r>
    </w:p>
    <w:p>
      <w:pPr>
        <w:pStyle w:val="ListParagraph"/>
        <w:numPr>
          <w:ilvl w:val="0"/>
          <w:numId w:val="2"/>
        </w:numPr>
        <w:spacing w:after="70" w:line="260"/>
      </w:pPr>
      <w:r>
        <w:rPr>
          <w:rFonts w:ascii="Calibri" w:cs="Calibri" w:eastAsia="Calibri" w:hAnsi="Calibri"/>
          <w:color w:val="1B2A41"/>
          <w:sz w:val="21"/>
          <w:szCs w:val="21"/>
        </w:rPr>
        <w:t xml:space="preserve">With the official VART runner, skipping the CPU subgraph reduced latency from 175.44 ms to 73.75 ms (</w:t>
      </w:r>
      <w:r>
        <w:rPr>
          <w:rFonts w:ascii="Calibri" w:cs="Calibri" w:eastAsia="Calibri" w:hAnsi="Calibri"/>
          <w:b/>
          <w:bCs/>
          <w:color w:val="1B2A41"/>
          <w:sz w:val="21"/>
          <w:szCs w:val="21"/>
        </w:rPr>
        <w:t xml:space="preserve">2.38×</w:t>
      </w:r>
      <w:r>
        <w:rPr>
          <w:rFonts w:ascii="Calibri" w:cs="Calibri" w:eastAsia="Calibri" w:hAnsi="Calibri"/>
          <w:color w:val="1B2A41"/>
          <w:sz w:val="21"/>
          <w:szCs w:val="21"/>
        </w:rPr>
        <w:t xml:space="preserve">).</w:t>
      </w:r>
    </w:p>
    <w:p>
      <w:pPr>
        <w:pStyle w:val="ListParagraph"/>
        <w:numPr>
          <w:ilvl w:val="0"/>
          <w:numId w:val="2"/>
        </w:numPr>
        <w:spacing w:after="70" w:line="260"/>
      </w:pPr>
      <w:r>
        <w:rPr>
          <w:rFonts w:ascii="Calibri" w:cs="Calibri" w:eastAsia="Calibri" w:hAnsi="Calibri"/>
          <w:color w:val="1B2A41"/>
          <w:sz w:val="21"/>
          <w:szCs w:val="21"/>
        </w:rPr>
        <w:t xml:space="preserve">All 404 test images (101 per resolution) completed successfully.</w:t>
      </w:r>
    </w:p>
    <w:p>
      <w:pPr>
        <w:pStyle w:val="Heading1"/>
        <w:keepNext/>
        <w:spacing w:after="120" w:before="300"/>
      </w:pPr>
      <w:r>
        <w:rPr>
          <w:rFonts w:ascii="Calibri" w:cs="Calibri" w:eastAsia="Calibri" w:hAnsi="Calibri"/>
          <w:b/>
          <w:bCs/>
          <w:color w:val="0B6E99"/>
          <w:sz w:val="30"/>
          <w:szCs w:val="30"/>
        </w:rPr>
        <w:t xml:space="preserve">2. Platform and Hardware</w:t>
      </w:r>
    </w:p>
    <w:p>
      <w:pPr>
        <w:spacing w:after="110" w:before="0" w:line="264"/>
      </w:pPr>
      <w:r>
        <w:rPr>
          <w:rFonts w:ascii="Calibri" w:cs="Calibri" w:eastAsia="Calibri" w:hAnsi="Calibri"/>
          <w:color w:val="1B2A41"/>
          <w:sz w:val="21"/>
          <w:szCs w:val="21"/>
        </w:rPr>
        <w:t xml:space="preserve">The VEK280 is built around the AMD Versal AI Edge VE2802 adaptive SoC, which combines Arm processing resources, programmable logic (PL) and an AI Engine-ML (AIE-ML) array. This heterogeneous design lets the CPU handle general application work while a dedicated NPU executes the compute-intensive neural-network layers.</w:t>
      </w:r>
    </w:p>
    <w:p>
      <w:pPr>
        <w:keepNext/>
        <w:spacing w:after="60" w:before="120"/>
      </w:pPr>
      <w:r>
        <w:rPr>
          <w:rFonts w:ascii="Calibri" w:cs="Calibri" w:eastAsia="Calibri" w:hAnsi="Calibri"/>
          <w:i/>
          <w:iCs/>
          <w:color w:val="5B6B7F"/>
          <w:sz w:val="18"/>
          <w:szCs w:val="18"/>
        </w:rPr>
        <w:t xml:space="preserve">Table 2. Main board components used in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38"/>
      </w:tblGrid>
      <w:tr>
        <w:trPr>
          <w:cantSplit/>
          <w:tblHeader/>
        </w:trPr>
        <w:tc>
          <w:tcPr>
            <w:tcW w:type="dxa" w:w="21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Component</w:t>
            </w:r>
          </w:p>
        </w:tc>
        <w:tc>
          <w:tcPr>
            <w:tcW w:type="dxa" w:w="39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Specification</w:t>
            </w:r>
          </w:p>
        </w:tc>
        <w:tc>
          <w:tcPr>
            <w:tcW w:type="dxa" w:w="3638"/>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Role</w:t>
            </w:r>
          </w:p>
        </w:tc>
      </w:tr>
      <w:tr>
        <w:trPr>
          <w:cantSplit/>
        </w:trPr>
        <w:tc>
          <w:tcPr>
            <w:tcW w:type="dxa" w:w="21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Versal SoC</w:t>
            </w:r>
          </w:p>
        </w:tc>
        <w:tc>
          <w:tcPr>
            <w:tcW w:type="dxa" w:w="3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VE2802 (XCVE2802-2MSEVSVH1760)</w:t>
            </w:r>
          </w:p>
        </w:tc>
        <w:tc>
          <w:tcPr>
            <w:tcW w:type="dxa" w:w="3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Main compute device (PS, PL, AIE-ML)</w:t>
            </w:r>
          </w:p>
        </w:tc>
      </w:tr>
      <w:tr>
        <w:trPr>
          <w:cantSplit/>
        </w:trPr>
        <w:tc>
          <w:tcPr>
            <w:tcW w:type="dxa" w:w="21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AIE-ML array</w:t>
            </w:r>
          </w:p>
        </w:tc>
        <w:tc>
          <w:tcPr>
            <w:tcW w:type="dxa" w:w="3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38 × 8 = 304 tiles, NPU at 500 MHz</w:t>
            </w:r>
          </w:p>
        </w:tc>
        <w:tc>
          <w:tcPr>
            <w:tcW w:type="dxa" w:w="3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Core NPU acceleration resource</w:t>
            </w:r>
          </w:p>
        </w:tc>
      </w:tr>
      <w:tr>
        <w:trPr>
          <w:cantSplit/>
        </w:trPr>
        <w:tc>
          <w:tcPr>
            <w:tcW w:type="dxa" w:w="21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Programmable logic</w:t>
            </w:r>
          </w:p>
        </w:tc>
        <w:tc>
          <w:tcPr>
            <w:tcW w:type="dxa" w:w="3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NPU IP </w:t>
            </w:r>
            <w:r>
              <w:rPr>
                <w:rFonts w:ascii="Consolas" w:cs="Consolas" w:eastAsia="Consolas" w:hAnsi="Consolas"/>
                <w:color w:val="1B2A41"/>
                <w:sz w:val="17"/>
                <w:szCs w:val="17"/>
              </w:rPr>
              <w:t xml:space="preserve">VE2802_NPU_IP_O00_A304_M3</w:t>
            </w:r>
          </w:p>
        </w:tc>
        <w:tc>
          <w:tcPr>
            <w:tcW w:type="dxa" w:w="3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NPU datapath and interfaces</w:t>
            </w:r>
          </w:p>
        </w:tc>
      </w:tr>
      <w:tr>
        <w:trPr>
          <w:cantSplit/>
        </w:trPr>
        <w:tc>
          <w:tcPr>
            <w:tcW w:type="dxa" w:w="21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Processing system</w:t>
            </w:r>
          </w:p>
        </w:tc>
        <w:tc>
          <w:tcPr>
            <w:tcW w:type="dxa" w:w="3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Arm CPU, PetaLinux 2025.2, Python 3.12.11</w:t>
            </w:r>
          </w:p>
        </w:tc>
        <w:tc>
          <w:tcPr>
            <w:tcW w:type="dxa" w:w="3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Application, pre/post-processing</w:t>
            </w:r>
          </w:p>
        </w:tc>
      </w:tr>
      <w:tr>
        <w:trPr>
          <w:cantSplit/>
        </w:trPr>
        <w:tc>
          <w:tcPr>
            <w:tcW w:type="dxa" w:w="21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LPDDR4</w:t>
            </w:r>
          </w:p>
        </w:tc>
        <w:tc>
          <w:tcPr>
            <w:tcW w:type="dxa" w:w="3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12 GB, 192-bit, 3733 Mb/s</w:t>
            </w:r>
          </w:p>
        </w:tc>
        <w:tc>
          <w:tcPr>
            <w:tcW w:type="dxa" w:w="3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Model data and buffers</w:t>
            </w:r>
          </w:p>
        </w:tc>
      </w:tr>
      <w:tr>
        <w:trPr>
          <w:cantSplit/>
        </w:trPr>
        <w:tc>
          <w:tcPr>
            <w:tcW w:type="dxa" w:w="21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MicroSD</w:t>
            </w:r>
          </w:p>
        </w:tc>
        <w:tc>
          <w:tcPr>
            <w:tcW w:type="dxa" w:w="3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Boot card; snapshot in </w:t>
            </w:r>
            <w:r>
              <w:rPr>
                <w:rFonts w:ascii="Consolas" w:cs="Consolas" w:eastAsia="Consolas" w:hAnsi="Consolas"/>
                <w:color w:val="1B2A41"/>
                <w:sz w:val="17"/>
                <w:szCs w:val="17"/>
              </w:rPr>
              <w:t xml:space="preserve">/run/media/mmcblk0p1</w:t>
            </w:r>
          </w:p>
        </w:tc>
        <w:tc>
          <w:tcPr>
            <w:tcW w:type="dxa" w:w="3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Boot and model storage</w:t>
            </w:r>
          </w:p>
        </w:tc>
      </w:tr>
      <w:tr>
        <w:trPr>
          <w:cantSplit/>
        </w:trPr>
        <w:tc>
          <w:tcPr>
            <w:tcW w:type="dxa" w:w="21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Ethernet / UART</w:t>
            </w:r>
          </w:p>
        </w:tc>
        <w:tc>
          <w:tcPr>
            <w:tcW w:type="dxa" w:w="3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RJ-45; USB-UART </w:t>
            </w:r>
            <w:r>
              <w:rPr>
                <w:rFonts w:ascii="Consolas" w:cs="Consolas" w:eastAsia="Consolas" w:hAnsi="Consolas"/>
                <w:color w:val="1B2A41"/>
                <w:sz w:val="17"/>
                <w:szCs w:val="17"/>
              </w:rPr>
              <w:t xml:space="preserve">/dev/ttyUSB1</w:t>
            </w:r>
            <w:r>
              <w:rPr>
                <w:rFonts w:ascii="Calibri" w:cs="Calibri" w:eastAsia="Calibri" w:hAnsi="Calibri"/>
                <w:b w:val="false"/>
                <w:bCs w:val="false"/>
                <w:color w:val="1B2A41"/>
                <w:sz w:val="19"/>
                <w:szCs w:val="19"/>
              </w:rPr>
              <w:t xml:space="preserve">, 115200 8N1</w:t>
            </w:r>
          </w:p>
        </w:tc>
        <w:tc>
          <w:tcPr>
            <w:tcW w:type="dxa" w:w="3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SSH, file transfer, console</w:t>
            </w:r>
          </w:p>
        </w:tc>
      </w:tr>
      <w:tr>
        <w:trPr>
          <w:cantSplit/>
        </w:trPr>
        <w:tc>
          <w:tcPr>
            <w:tcW w:type="dxa" w:w="21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HDMI / camera</w:t>
            </w:r>
          </w:p>
        </w:tc>
        <w:tc>
          <w:tcPr>
            <w:tcW w:type="dxa" w:w="3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HDMI 2.1; Logitech Pro 9000 (640×480, 30 FPS)</w:t>
            </w:r>
          </w:p>
        </w:tc>
        <w:tc>
          <w:tcPr>
            <w:tcW w:type="dxa" w:w="3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Display and video tests</w:t>
            </w:r>
          </w:p>
        </w:tc>
      </w:tr>
    </w:tbl>
    <w:p>
      <w:pPr>
        <w:keepNext/>
        <w:spacing w:after="0" w:before="80"/>
        <w:jc w:val="center"/>
      </w:pPr>
      <w:r>
        <w:drawing>
          <wp:inline distT="0" distB="0" distL="0" distR="0">
            <wp:extent cx="5334000" cy="3267075"/>
            <wp:effectExtent t="0" r="0" b="0" l="0"/>
            <wp:docPr id="1" name="img/hardware.png" descr="img/hardware.png" title="img/hard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67075"/>
                    </a:xfrm>
                    <a:prstGeom prst="rect">
                      <a:avLst/>
                    </a:prstGeom>
                  </pic:spPr>
                </pic:pic>
              </a:graphicData>
            </a:graphic>
          </wp:inline>
        </w:drawing>
      </w:r>
    </w:p>
    <w:p>
      <w:pPr>
        <w:spacing w:after="200" w:before="50"/>
        <w:jc w:val="center"/>
      </w:pPr>
      <w:r>
        <w:rPr>
          <w:rFonts w:ascii="Calibri" w:cs="Calibri" w:eastAsia="Calibri" w:hAnsi="Calibri"/>
          <w:i/>
          <w:iCs/>
          <w:color w:val="5B6B7F"/>
          <w:sz w:val="18"/>
          <w:szCs w:val="18"/>
        </w:rPr>
        <w:t xml:space="preserve">Figure 2. VEK280 board with its main components and interfaces labeled.</w:t>
      </w:r>
    </w:p>
    <w:p>
      <w:pPr>
        <w:pStyle w:val="Heading2"/>
        <w:keepNext/>
        <w:spacing w:after="80" w:before="200"/>
      </w:pPr>
      <w:r>
        <w:rPr>
          <w:rFonts w:ascii="Calibri" w:cs="Calibri" w:eastAsia="Calibri" w:hAnsi="Calibri"/>
          <w:b/>
          <w:bCs/>
          <w:color w:val="1B2A41"/>
          <w:sz w:val="24"/>
          <w:szCs w:val="24"/>
        </w:rPr>
        <w:t xml:space="preserve">2.1 Physical connections</w:t>
      </w:r>
    </w:p>
    <w:p>
      <w:pPr>
        <w:keepNext/>
        <w:spacing w:after="110" w:before="0" w:line="264"/>
      </w:pPr>
      <w:r>
        <w:rPr>
          <w:rFonts w:ascii="Calibri" w:cs="Calibri" w:eastAsia="Calibri" w:hAnsi="Calibri"/>
          <w:color w:val="1B2A41"/>
          <w:sz w:val="21"/>
          <w:szCs w:val="21"/>
        </w:rPr>
        <w:t xml:space="preserve">The board is powered from its supplied power input and boots from the MicroSD card. It connects to the host PC over Ethernet for SSH and file transfer, and uses USB-UART for console and debug. A USB webcam and an HDMI display are attached for the video experiments.</w:t>
      </w:r>
    </w:p>
    <w:p>
      <w:pPr>
        <w:keepNext/>
        <w:spacing w:after="0" w:before="80"/>
        <w:jc w:val="center"/>
      </w:pPr>
      <w:r>
        <w:drawing>
          <wp:inline distT="0" distB="0" distL="0" distR="0">
            <wp:extent cx="4476750" cy="3352800"/>
            <wp:effectExtent t="0" r="0" b="0" l="0"/>
            <wp:docPr id="1" name="img/connections.png" descr="img/connections.png" title="img/conn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352800"/>
                    </a:xfrm>
                    <a:prstGeom prst="rect">
                      <a:avLst/>
                    </a:prstGeom>
                  </pic:spPr>
                </pic:pic>
              </a:graphicData>
            </a:graphic>
          </wp:inline>
        </w:drawing>
      </w:r>
    </w:p>
    <w:p>
      <w:pPr>
        <w:spacing w:after="200" w:before="50"/>
        <w:jc w:val="center"/>
      </w:pPr>
      <w:r>
        <w:rPr>
          <w:rFonts w:ascii="Calibri" w:cs="Calibri" w:eastAsia="Calibri" w:hAnsi="Calibri"/>
          <w:i/>
          <w:iCs/>
          <w:color w:val="5B6B7F"/>
          <w:sz w:val="18"/>
          <w:szCs w:val="18"/>
        </w:rPr>
        <w:t xml:space="preserve">Figure 3. Physical connections used in the project.</w:t>
      </w:r>
    </w:p>
    <w:p>
      <w:pPr>
        <w:pStyle w:val="Heading1"/>
        <w:keepNext/>
        <w:spacing w:after="120" w:before="300"/>
      </w:pPr>
      <w:r>
        <w:rPr>
          <w:rFonts w:ascii="Calibri" w:cs="Calibri" w:eastAsia="Calibri" w:hAnsi="Calibri"/>
          <w:b/>
          <w:bCs/>
          <w:color w:val="0B6E99"/>
          <w:sz w:val="30"/>
          <w:szCs w:val="30"/>
        </w:rPr>
        <w:t xml:space="preserve">3. NPU Architecture and Execution</w:t>
      </w:r>
    </w:p>
    <w:p>
      <w:pPr>
        <w:spacing w:after="110" w:before="0" w:line="264"/>
      </w:pPr>
      <w:r>
        <w:rPr>
          <w:rFonts w:ascii="Calibri" w:cs="Calibri" w:eastAsia="Calibri" w:hAnsi="Calibri"/>
          <w:color w:val="1B2A41"/>
          <w:sz w:val="21"/>
          <w:szCs w:val="21"/>
        </w:rPr>
        <w:t xml:space="preserve">A general-purpose CPU can run neural networks but is not optimized for their matrix and tensor operations. The VEK280 offloads them to the NPU, built from the PL and the AIE-ML array. This is the newer AI Engine-based approach, in contrast to the DPU used on earlier AMD/Xilinx platforms, so the model must be </w:t>
      </w:r>
      <w:r>
        <w:rPr>
          <w:rFonts w:ascii="Calibri" w:cs="Calibri" w:eastAsia="Calibri" w:hAnsi="Calibri"/>
          <w:b/>
          <w:bCs/>
          <w:color w:val="1B2A41"/>
          <w:sz w:val="21"/>
          <w:szCs w:val="21"/>
        </w:rPr>
        <w:t xml:space="preserve">compiled specifically for the VE2802 NPU target</w:t>
      </w:r>
      <w:r>
        <w:rPr>
          <w:rFonts w:ascii="Calibri" w:cs="Calibri" w:eastAsia="Calibri" w:hAnsi="Calibri"/>
          <w:color w:val="1B2A41"/>
          <w:sz w:val="21"/>
          <w:szCs w:val="21"/>
        </w:rPr>
        <w:t xml:space="preserve">; the final path is YOLOv7 → quantization → NPU compilation → snapshot → VART runtime → NPU.</w:t>
      </w:r>
    </w:p>
    <w:p>
      <w:pPr>
        <w:keepNext/>
        <w:spacing w:after="60" w:before="120"/>
      </w:pPr>
      <w:r>
        <w:rPr>
          <w:rFonts w:ascii="Calibri" w:cs="Calibri" w:eastAsia="Calibri" w:hAnsi="Calibri"/>
          <w:i/>
          <w:iCs/>
          <w:color w:val="5B6B7F"/>
          <w:sz w:val="18"/>
          <w:szCs w:val="18"/>
        </w:rPr>
        <w:t xml:space="preserve">Table 3. Where each stage executes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938"/>
      </w:tblGrid>
      <w:tr>
        <w:trPr>
          <w:cantSplit/>
          <w:tblHeader/>
        </w:trPr>
        <w:tc>
          <w:tcPr>
            <w:tcW w:type="dxa" w:w="33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Stage</w:t>
            </w:r>
          </w:p>
        </w:tc>
        <w:tc>
          <w:tcPr>
            <w:tcW w:type="dxa" w:w="24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Executes on</w:t>
            </w:r>
          </w:p>
        </w:tc>
        <w:tc>
          <w:tcPr>
            <w:tcW w:type="dxa" w:w="3938"/>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Notes</w:t>
            </w:r>
          </w:p>
        </w:tc>
      </w:tr>
      <w:tr>
        <w:trPr>
          <w:cantSplit/>
        </w:trPr>
        <w:tc>
          <w:tcPr>
            <w:tcW w:type="dxa" w:w="33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Image read/decode, letterbox, input preparation</w:t>
            </w:r>
          </w:p>
        </w:tc>
        <w:tc>
          <w:tcPr>
            <w:tcW w:type="dxa" w:w="24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Processing system (CPU)</w:t>
            </w:r>
          </w:p>
        </w:tc>
        <w:tc>
          <w:tcPr>
            <w:tcW w:type="dxa" w:w="3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Grow with source resolution</w:t>
            </w:r>
          </w:p>
        </w:tc>
      </w:tr>
      <w:tr>
        <w:trPr>
          <w:cantSplit/>
        </w:trPr>
        <w:tc>
          <w:tcPr>
            <w:tcW w:type="dxa" w:w="33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Neural-network inference (INT8)</w:t>
            </w:r>
          </w:p>
        </w:tc>
        <w:tc>
          <w:tcPr>
            <w:tcW w:type="dxa" w:w="24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NPU (PL + AIE-ML)</w:t>
            </w:r>
          </w:p>
        </w:tc>
        <w:tc>
          <w:tcPr>
            <w:tcW w:type="dxa" w:w="3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Fixed 640×640 workload</w:t>
            </w:r>
          </w:p>
        </w:tc>
      </w:tr>
      <w:tr>
        <w:trPr>
          <w:cantSplit/>
        </w:trPr>
        <w:tc>
          <w:tcPr>
            <w:tcW w:type="dxa" w:w="33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Output decode, NMS, drawing</w:t>
            </w:r>
          </w:p>
        </w:tc>
        <w:tc>
          <w:tcPr>
            <w:tcW w:type="dxa" w:w="24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Processing system (CPU)</w:t>
            </w:r>
          </w:p>
        </w:tc>
        <w:tc>
          <w:tcPr>
            <w:tcW w:type="dxa" w:w="3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About 3 ms per frame</w:t>
            </w:r>
          </w:p>
        </w:tc>
      </w:tr>
      <w:tr>
        <w:trPr>
          <w:cantSplit/>
        </w:trPr>
        <w:tc>
          <w:tcPr>
            <w:tcW w:type="dxa" w:w="33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Model data, input/output buffers</w:t>
            </w:r>
          </w:p>
        </w:tc>
        <w:tc>
          <w:tcPr>
            <w:tcW w:type="dxa" w:w="24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LPDDR4</w:t>
            </w:r>
          </w:p>
        </w:tc>
        <w:tc>
          <w:tcPr>
            <w:tcW w:type="dxa" w:w="3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Shared working memory</w:t>
            </w:r>
          </w:p>
        </w:tc>
      </w:tr>
    </w:tbl>
    <w:p>
      <w:pPr>
        <w:pStyle w:val="Heading1"/>
        <w:keepNext/>
        <w:spacing w:after="120" w:before="300"/>
      </w:pPr>
      <w:r>
        <w:rPr>
          <w:rFonts w:ascii="Calibri" w:cs="Calibri" w:eastAsia="Calibri" w:hAnsi="Calibri"/>
          <w:b/>
          <w:bCs/>
          <w:color w:val="0B6E99"/>
          <w:sz w:val="30"/>
          <w:szCs w:val="30"/>
        </w:rPr>
        <w:t xml:space="preserve">4. Model Deployment Flow</w:t>
      </w:r>
    </w:p>
    <w:p>
      <w:pPr>
        <w:spacing w:after="110" w:before="0" w:line="264"/>
      </w:pPr>
      <w:r>
        <w:rPr>
          <w:rFonts w:ascii="Calibri" w:cs="Calibri" w:eastAsia="Calibri" w:hAnsi="Calibri"/>
          <w:color w:val="1B2A41"/>
          <w:sz w:val="21"/>
          <w:szCs w:val="21"/>
        </w:rPr>
        <w:t xml:space="preserve">A </w:t>
      </w:r>
      <w:r>
        <w:rPr>
          <w:rFonts w:ascii="Consolas" w:cs="Consolas" w:eastAsia="Consolas" w:hAnsi="Consolas"/>
          <w:color w:val="1B2A41"/>
          <w:sz w:val="19"/>
          <w:szCs w:val="19"/>
        </w:rPr>
        <w:t xml:space="preserve">.pt</w:t>
      </w:r>
      <w:r>
        <w:rPr>
          <w:rFonts w:ascii="Calibri" w:cs="Calibri" w:eastAsia="Calibri" w:hAnsi="Calibri"/>
          <w:color w:val="1B2A41"/>
          <w:sz w:val="21"/>
          <w:szCs w:val="21"/>
        </w:rPr>
        <w:t xml:space="preserve"> model is not copied to the board and run as ordinary PyTorch. It is prepared on the x86 host for the target NPU and packaged as a snapshot. Compilation is not pruning: pruning removes weights, quantization lowers precision, and compilation maps the prepared graph to the accelerator.</w:t>
      </w:r>
    </w:p>
    <w:p>
      <w:pPr>
        <w:keepNext/>
        <w:spacing w:after="60" w:before="120"/>
      </w:pPr>
      <w:r>
        <w:rPr>
          <w:rFonts w:ascii="Calibri" w:cs="Calibri" w:eastAsia="Calibri" w:hAnsi="Calibri"/>
          <w:i/>
          <w:iCs/>
          <w:color w:val="5B6B7F"/>
          <w:sz w:val="18"/>
          <w:szCs w:val="18"/>
        </w:rPr>
        <w:t xml:space="preserve">Table 4. Deployment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500"/>
        <w:gridCol w:w="5638"/>
      </w:tblGrid>
      <w:tr>
        <w:trPr>
          <w:cantSplit/>
          <w:tblHeader/>
        </w:trPr>
        <w:tc>
          <w:tcPr>
            <w:tcW w:type="dxa" w:w="6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9"/>
                <w:szCs w:val="19"/>
              </w:rPr>
              <w:t xml:space="preserve">#</w:t>
            </w:r>
          </w:p>
        </w:tc>
        <w:tc>
          <w:tcPr>
            <w:tcW w:type="dxa" w:w="19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Step</w:t>
            </w:r>
          </w:p>
        </w:tc>
        <w:tc>
          <w:tcPr>
            <w:tcW w:type="dxa" w:w="15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Location</w:t>
            </w:r>
          </w:p>
        </w:tc>
        <w:tc>
          <w:tcPr>
            <w:tcW w:type="dxa" w:w="5638"/>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Description</w:t>
            </w:r>
          </w:p>
        </w:tc>
      </w:tr>
      <w:tr>
        <w:trPr>
          <w:cantSplit/>
        </w:trPr>
        <w:tc>
          <w:tcPr>
            <w:tcW w:type="dxa" w:w="6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B2A41"/>
                <w:sz w:val="19"/>
                <w:szCs w:val="19"/>
              </w:rPr>
              <w:t xml:space="preserve">1</w:t>
            </w:r>
          </w:p>
        </w:tc>
        <w:tc>
          <w:tcPr>
            <w:tcW w:type="dxa" w:w="1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Export</w:t>
            </w:r>
          </w:p>
        </w:tc>
        <w:tc>
          <w:tcPr>
            <w:tcW w:type="dxa" w:w="1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Host</w:t>
            </w:r>
          </w:p>
        </w:tc>
        <w:tc>
          <w:tcPr>
            <w:tcW w:type="dxa" w:w="5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Trained YOLOv7 exported to ONNX where required</w:t>
            </w:r>
          </w:p>
        </w:tc>
      </w:tr>
      <w:tr>
        <w:trPr>
          <w:cantSplit/>
        </w:trPr>
        <w:tc>
          <w:tcPr>
            <w:tcW w:type="dxa" w:w="6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B2A41"/>
                <w:sz w:val="19"/>
                <w:szCs w:val="19"/>
              </w:rPr>
              <w:t xml:space="preserve">2</w:t>
            </w:r>
          </w:p>
        </w:tc>
        <w:tc>
          <w:tcPr>
            <w:tcW w:type="dxa" w:w="1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Quantize</w:t>
            </w:r>
          </w:p>
        </w:tc>
        <w:tc>
          <w:tcPr>
            <w:tcW w:type="dxa" w:w="1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Host</w:t>
            </w:r>
          </w:p>
        </w:tc>
        <w:tc>
          <w:tcPr>
            <w:tcW w:type="dxa" w:w="5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INT8 quantization for NPU execution</w:t>
            </w:r>
          </w:p>
        </w:tc>
      </w:tr>
      <w:tr>
        <w:trPr>
          <w:cantSplit/>
        </w:trPr>
        <w:tc>
          <w:tcPr>
            <w:tcW w:type="dxa" w:w="6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B2A41"/>
                <w:sz w:val="19"/>
                <w:szCs w:val="19"/>
              </w:rPr>
              <w:t xml:space="preserve">3</w:t>
            </w:r>
          </w:p>
        </w:tc>
        <w:tc>
          <w:tcPr>
            <w:tcW w:type="dxa" w:w="1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Compile</w:t>
            </w:r>
          </w:p>
        </w:tc>
        <w:tc>
          <w:tcPr>
            <w:tcW w:type="dxa" w:w="1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Host</w:t>
            </w:r>
          </w:p>
        </w:tc>
        <w:tc>
          <w:tcPr>
            <w:tcW w:type="dxa" w:w="5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Mapped to the VE2802 NPU IP configuration (A304)</w:t>
            </w:r>
          </w:p>
        </w:tc>
      </w:tr>
      <w:tr>
        <w:trPr>
          <w:cantSplit/>
        </w:trPr>
        <w:tc>
          <w:tcPr>
            <w:tcW w:type="dxa" w:w="6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B2A41"/>
                <w:sz w:val="19"/>
                <w:szCs w:val="19"/>
              </w:rPr>
              <w:t xml:space="preserve">4</w:t>
            </w:r>
          </w:p>
        </w:tc>
        <w:tc>
          <w:tcPr>
            <w:tcW w:type="dxa" w:w="1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Snapshot</w:t>
            </w:r>
          </w:p>
        </w:tc>
        <w:tc>
          <w:tcPr>
            <w:tcW w:type="dxa" w:w="1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Host</w:t>
            </w:r>
          </w:p>
        </w:tc>
        <w:tc>
          <w:tcPr>
            <w:tcW w:type="dxa" w:w="5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Network, weights, calibration and input-size data packaged</w:t>
            </w:r>
          </w:p>
        </w:tc>
      </w:tr>
      <w:tr>
        <w:trPr>
          <w:cantSplit/>
        </w:trPr>
        <w:tc>
          <w:tcPr>
            <w:tcW w:type="dxa" w:w="6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B2A41"/>
                <w:sz w:val="19"/>
                <w:szCs w:val="19"/>
              </w:rPr>
              <w:t xml:space="preserve">5</w:t>
            </w:r>
          </w:p>
        </w:tc>
        <w:tc>
          <w:tcPr>
            <w:tcW w:type="dxa" w:w="1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Deploy</w:t>
            </w:r>
          </w:p>
        </w:tc>
        <w:tc>
          <w:tcPr>
            <w:tcW w:type="dxa" w:w="1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Board</w:t>
            </w:r>
          </w:p>
        </w:tc>
        <w:tc>
          <w:tcPr>
            <w:tcW w:type="dxa" w:w="5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Snapshot and application files copied to the MicroSD card</w:t>
            </w:r>
          </w:p>
        </w:tc>
      </w:tr>
      <w:tr>
        <w:trPr>
          <w:cantSplit/>
        </w:trPr>
        <w:tc>
          <w:tcPr>
            <w:tcW w:type="dxa" w:w="6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B2A41"/>
                <w:sz w:val="19"/>
                <w:szCs w:val="19"/>
              </w:rPr>
              <w:t xml:space="preserve">6</w:t>
            </w:r>
          </w:p>
        </w:tc>
        <w:tc>
          <w:tcPr>
            <w:tcW w:type="dxa" w:w="1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Infer</w:t>
            </w:r>
          </w:p>
        </w:tc>
        <w:tc>
          <w:tcPr>
            <w:tcW w:type="dxa" w:w="1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Board</w:t>
            </w:r>
          </w:p>
        </w:tc>
        <w:tc>
          <w:tcPr>
            <w:tcW w:type="dxa" w:w="5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VART/NPU application loads the snapshot and feeds input tensors</w:t>
            </w:r>
          </w:p>
        </w:tc>
      </w:tr>
      <w:tr>
        <w:trPr>
          <w:cantSplit/>
        </w:trPr>
        <w:tc>
          <w:tcPr>
            <w:tcW w:type="dxa" w:w="6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B2A41"/>
                <w:sz w:val="19"/>
                <w:szCs w:val="19"/>
              </w:rPr>
              <w:t xml:space="preserve">7</w:t>
            </w:r>
          </w:p>
        </w:tc>
        <w:tc>
          <w:tcPr>
            <w:tcW w:type="dxa" w:w="19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Post-process</w:t>
            </w:r>
          </w:p>
        </w:tc>
        <w:tc>
          <w:tcPr>
            <w:tcW w:type="dxa" w:w="1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Board</w:t>
            </w:r>
          </w:p>
        </w:tc>
        <w:tc>
          <w:tcPr>
            <w:tcW w:type="dxa" w:w="5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Detection decode and NMS applied to the NPU output</w:t>
            </w:r>
          </w:p>
        </w:tc>
      </w:tr>
    </w:tbl>
    <w:p>
      <w:pPr>
        <w:keepNext/>
        <w:spacing w:after="40" w:before="120" w:line="264"/>
      </w:pPr>
      <w:r>
        <w:rPr>
          <w:rFonts w:ascii="Calibri" w:cs="Calibri" w:eastAsia="Calibri" w:hAnsi="Calibri"/>
          <w:color w:val="1B2A41"/>
          <w:sz w:val="21"/>
          <w:szCs w:val="21"/>
        </w:rPr>
        <w:t xml:space="preserve">Deployed snapshot:</w:t>
      </w:r>
    </w:p>
    <w:p>
      <w:pPr>
        <w:pBdr>
          <w:left w:val="none" w:color="FFFFFF" w:sz="0"/>
        </w:pBdr>
        <w:shd w:fill="F3F5F7" w:val="clear"/>
        <w:spacing w:after="110" w:before="40"/>
        <w:ind w:left="120" w:right="120"/>
      </w:pPr>
      <w:r>
        <w:rPr>
          <w:rFonts w:ascii="Consolas" w:cs="Consolas" w:eastAsia="Consolas" w:hAnsi="Consolas"/>
          <w:color w:val="1B2A41"/>
          <w:sz w:val="18"/>
          <w:szCs w:val="18"/>
        </w:rPr>
        <w:t xml:space="preserve">/run/media/mmcblk0p1/snapshot.VE2802_NPU_IP_O00_A304_M3.yolov7.TF</w:t>
      </w:r>
    </w:p>
    <w:p>
      <w:pPr>
        <w:pStyle w:val="Heading1"/>
        <w:keepNext/>
        <w:spacing w:after="120" w:before="300"/>
      </w:pPr>
      <w:r>
        <w:rPr>
          <w:rFonts w:ascii="Calibri" w:cs="Calibri" w:eastAsia="Calibri" w:hAnsi="Calibri"/>
          <w:b/>
          <w:bCs/>
          <w:color w:val="0B6E99"/>
          <w:sz w:val="30"/>
          <w:szCs w:val="30"/>
        </w:rPr>
        <w:t xml:space="preserve">5. YOLOv7 Final Configuration</w:t>
      </w:r>
    </w:p>
    <w:p>
      <w:pPr>
        <w:keepNext/>
        <w:spacing w:after="110" w:before="0" w:line="264"/>
      </w:pPr>
      <w:r>
        <w:rPr>
          <w:rFonts w:ascii="Calibri" w:cs="Calibri" w:eastAsia="Calibri" w:hAnsi="Calibri"/>
          <w:color w:val="1B2A41"/>
          <w:sz w:val="21"/>
          <w:szCs w:val="21"/>
        </w:rPr>
        <w:t xml:space="preserve">The detector uses a fixed 640 × 640 model input, a confidence threshold of 0.25 and an NMS IoU threshold of 0.45. Changing the source resolution therefore changes only the CPU-side preparation, not the NPU workload.</w:t>
      </w:r>
    </w:p>
    <w:p>
      <w:pPr>
        <w:keepNext/>
        <w:spacing w:after="60" w:before="120"/>
      </w:pPr>
      <w:r>
        <w:rPr>
          <w:rFonts w:ascii="Calibri" w:cs="Calibri" w:eastAsia="Calibri" w:hAnsi="Calibri"/>
          <w:i/>
          <w:iCs/>
          <w:color w:val="5B6B7F"/>
          <w:sz w:val="18"/>
          <w:szCs w:val="18"/>
        </w:rPr>
        <w:t xml:space="preserve">Table 5. Deployed tensors and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Parameter</w:t>
            </w:r>
          </w:p>
        </w:tc>
        <w:tc>
          <w:tcPr>
            <w:tcW w:type="dxa" w:w="6638"/>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Value</w:t>
            </w:r>
          </w:p>
        </w:tc>
      </w:tr>
      <w:tr>
        <w:trPr>
          <w:cantSplit/>
        </w:trPr>
        <w:tc>
          <w:tcPr>
            <w:tcW w:type="dxa" w:w="30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Application input tensor</w:t>
            </w:r>
          </w:p>
        </w:tc>
        <w:tc>
          <w:tcPr>
            <w:tcW w:type="dxa" w:w="6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(1, 3, 640, 640) float32 NCHW</w:t>
            </w:r>
          </w:p>
        </w:tc>
      </w:tr>
      <w:tr>
        <w:trPr>
          <w:cantSplit/>
        </w:trPr>
        <w:tc>
          <w:tcPr>
            <w:tcW w:type="dxa" w:w="30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Native NPU input tensor</w:t>
            </w:r>
          </w:p>
        </w:tc>
        <w:tc>
          <w:tcPr>
            <w:tcW w:type="dxa" w:w="6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(1, 640, 640, 4) INT8 NHWC4</w:t>
            </w:r>
          </w:p>
        </w:tc>
      </w:tr>
      <w:tr>
        <w:trPr>
          <w:cantSplit/>
        </w:trPr>
        <w:tc>
          <w:tcPr>
            <w:tcW w:type="dxa" w:w="30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Output tensor</w:t>
            </w:r>
          </w:p>
        </w:tc>
        <w:tc>
          <w:tcPr>
            <w:tcW w:type="dxa" w:w="6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(1, 25200, 85)</w:t>
            </w:r>
          </w:p>
        </w:tc>
      </w:tr>
      <w:tr>
        <w:trPr>
          <w:cantSplit/>
        </w:trPr>
        <w:tc>
          <w:tcPr>
            <w:tcW w:type="dxa" w:w="30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Confidence / NMS IoU</w:t>
            </w:r>
          </w:p>
        </w:tc>
        <w:tc>
          <w:tcPr>
            <w:tcW w:type="dxa" w:w="66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0.25 / 0.45</w:t>
            </w:r>
          </w:p>
        </w:tc>
      </w:tr>
    </w:tbl>
    <w:p>
      <w:pPr>
        <w:keepNext/>
        <w:spacing w:after="0" w:before="80"/>
        <w:jc w:val="center"/>
      </w:pPr>
      <w:r>
        <w:drawing>
          <wp:inline distT="0" distB="0" distL="0" distR="0">
            <wp:extent cx="5905500" cy="1228725"/>
            <wp:effectExtent t="0" r="0" b="0" l="0"/>
            <wp:docPr id="1" name="ch/pipeline.png" descr="ch/pipeline.png" title="ch/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228725"/>
                    </a:xfrm>
                    <a:prstGeom prst="rect">
                      <a:avLst/>
                    </a:prstGeom>
                  </pic:spPr>
                </pic:pic>
              </a:graphicData>
            </a:graphic>
          </wp:inline>
        </w:drawing>
      </w:r>
    </w:p>
    <w:p>
      <w:pPr>
        <w:spacing w:after="200" w:before="50"/>
        <w:jc w:val="center"/>
      </w:pPr>
      <w:r>
        <w:rPr>
          <w:rFonts w:ascii="Calibri" w:cs="Calibri" w:eastAsia="Calibri" w:hAnsi="Calibri"/>
          <w:i/>
          <w:iCs/>
          <w:color w:val="5B6B7F"/>
          <w:sz w:val="18"/>
          <w:szCs w:val="18"/>
        </w:rPr>
        <w:t xml:space="preserve">Figure 4. YOLOv7 inference procedure; only the inference stage runs on the NPU.</w:t>
      </w:r>
    </w:p>
    <w:p>
      <w:pPr>
        <w:pStyle w:val="Heading2"/>
        <w:keepNext/>
        <w:spacing w:after="80" w:before="200"/>
      </w:pPr>
      <w:r>
        <w:rPr>
          <w:rFonts w:ascii="Calibri" w:cs="Calibri" w:eastAsia="Calibri" w:hAnsi="Calibri"/>
          <w:b/>
          <w:bCs/>
          <w:color w:val="1B2A41"/>
          <w:sz w:val="24"/>
          <w:szCs w:val="24"/>
        </w:rPr>
        <w:t xml:space="preserve">5.1 NPU-only mode and why it matters</w:t>
      </w:r>
    </w:p>
    <w:p>
      <w:pPr>
        <w:keepNext/>
        <w:spacing w:after="60" w:before="0" w:line="264"/>
      </w:pPr>
      <w:r>
        <w:rPr>
          <w:rFonts w:ascii="Calibri" w:cs="Calibri" w:eastAsia="Calibri" w:hAnsi="Calibri"/>
          <w:color w:val="1B2A41"/>
          <w:sz w:val="21"/>
          <w:szCs w:val="21"/>
        </w:rPr>
        <w:t xml:space="preserve">In NPU-only mode the runtime skips the CPU subgraph and reports:</w:t>
      </w:r>
    </w:p>
    <w:p>
      <w:pPr>
        <w:pBdr>
          <w:left w:val="none" w:color="FFFFFF" w:sz="0"/>
        </w:pBdr>
        <w:shd w:fill="F3F5F7" w:val="clear"/>
        <w:spacing w:after="110" w:before="40"/>
        <w:ind w:left="120" w:right="120"/>
      </w:pPr>
      <w:r>
        <w:rPr>
          <w:rFonts w:ascii="Consolas" w:cs="Consolas" w:eastAsia="Consolas" w:hAnsi="Consolas"/>
          <w:color w:val="1B2A41"/>
          <w:sz w:val="18"/>
          <w:szCs w:val="18"/>
        </w:rPr>
        <w:t xml:space="preserve">NPU only mode set. Skipping node wrp_network_embd_export_2_cpu_subgraph_call.</w:t>
      </w:r>
    </w:p>
    <w:p>
      <w:pPr>
        <w:pStyle w:val="ListParagraph"/>
        <w:numPr>
          <w:ilvl w:val="0"/>
          <w:numId w:val="2"/>
        </w:numPr>
        <w:spacing w:after="70" w:line="260"/>
      </w:pPr>
      <w:r>
        <w:rPr>
          <w:rFonts w:ascii="Calibri" w:cs="Calibri" w:eastAsia="Calibri" w:hAnsi="Calibri"/>
          <w:color w:val="1B2A41"/>
          <w:sz w:val="21"/>
          <w:szCs w:val="21"/>
        </w:rPr>
        <w:t xml:space="preserve">Removes CPU fallback work from the neural-network path, giving a cleaner measurement of accelerator performance.</w:t>
      </w:r>
    </w:p>
    <w:p>
      <w:pPr>
        <w:pStyle w:val="ListParagraph"/>
        <w:numPr>
          <w:ilvl w:val="0"/>
          <w:numId w:val="2"/>
        </w:numPr>
        <w:spacing w:after="70" w:line="260"/>
      </w:pPr>
      <w:r>
        <w:rPr>
          <w:rFonts w:ascii="Calibri" w:cs="Calibri" w:eastAsia="Calibri" w:hAnsi="Calibri"/>
          <w:color w:val="1B2A41"/>
          <w:sz w:val="21"/>
          <w:szCs w:val="21"/>
        </w:rPr>
        <w:t xml:space="preserve">Gives a consistent configuration for all final benchmarks and the demonstration.</w:t>
      </w:r>
    </w:p>
    <w:p>
      <w:pPr>
        <w:pStyle w:val="ListParagraph"/>
        <w:numPr>
          <w:ilvl w:val="0"/>
          <w:numId w:val="2"/>
        </w:numPr>
        <w:spacing w:after="70" w:line="260"/>
      </w:pPr>
      <w:r>
        <w:rPr>
          <w:rFonts w:ascii="Calibri" w:cs="Calibri" w:eastAsia="Calibri" w:hAnsi="Calibri"/>
          <w:color w:val="1B2A41"/>
          <w:sz w:val="21"/>
          <w:szCs w:val="21"/>
        </w:rPr>
        <w:t xml:space="preserve">"NPU-only" refers to the network execution; the CPU still runs image handling, decoding, NMS and display.</w:t>
      </w:r>
    </w:p>
    <w:p>
      <w:pPr>
        <w:keepNext/>
        <w:spacing w:after="110" w:before="80" w:line="264"/>
      </w:pPr>
      <w:r>
        <w:rPr>
          <w:rFonts w:ascii="Calibri" w:cs="Calibri" w:eastAsia="Calibri" w:hAnsi="Calibri"/>
          <w:color w:val="1B2A41"/>
          <w:sz w:val="21"/>
          <w:szCs w:val="21"/>
        </w:rPr>
        <w:t xml:space="preserve">The CPU-subgraph configuration is kept only as a development stage. Figure 5 shows the progression; the first two bars come from the same VART runner, while the last two come from the custom profiler and are not strictly like-for-like.</w:t>
      </w:r>
    </w:p>
    <w:p>
      <w:pPr>
        <w:keepNext/>
        <w:spacing w:after="0" w:before="80"/>
        <w:jc w:val="center"/>
      </w:pPr>
      <w:r>
        <w:drawing>
          <wp:inline distT="0" distB="0" distL="0" distR="0">
            <wp:extent cx="5334000" cy="2447925"/>
            <wp:effectExtent t="0" r="0" b="0" l="0"/>
            <wp:docPr id="1" name="ch/progress.png" descr="ch/progress.png" title="ch/prog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47925"/>
                    </a:xfrm>
                    <a:prstGeom prst="rect">
                      <a:avLst/>
                    </a:prstGeom>
                  </pic:spPr>
                </pic:pic>
              </a:graphicData>
            </a:graphic>
          </wp:inline>
        </w:drawing>
      </w:r>
    </w:p>
    <w:p>
      <w:pPr>
        <w:spacing w:after="200" w:before="50"/>
        <w:jc w:val="center"/>
      </w:pPr>
      <w:r>
        <w:rPr>
          <w:rFonts w:ascii="Calibri" w:cs="Calibri" w:eastAsia="Calibri" w:hAnsi="Calibri"/>
          <w:i/>
          <w:iCs/>
          <w:color w:val="5B6B7F"/>
          <w:sz w:val="18"/>
          <w:szCs w:val="18"/>
        </w:rPr>
        <w:t xml:space="preserve">Figure 5. Latency progression from the development baseline to the final NPU-only configuration.</w:t>
      </w:r>
    </w:p>
    <w:p>
      <w:pPr>
        <w:pStyle w:val="Heading1"/>
        <w:keepNext/>
        <w:spacing w:after="120" w:before="300"/>
      </w:pPr>
      <w:r>
        <w:rPr>
          <w:rFonts w:ascii="Calibri" w:cs="Calibri" w:eastAsia="Calibri" w:hAnsi="Calibri"/>
          <w:b/>
          <w:bCs/>
          <w:color w:val="0B6E99"/>
          <w:sz w:val="30"/>
          <w:szCs w:val="30"/>
        </w:rPr>
        <w:t xml:space="preserve">6. Profiling Methodology</w:t>
      </w:r>
    </w:p>
    <w:p>
      <w:pPr>
        <w:keepNext/>
        <w:spacing w:after="60" w:before="120"/>
      </w:pPr>
      <w:r>
        <w:rPr>
          <w:rFonts w:ascii="Calibri" w:cs="Calibri" w:eastAsia="Calibri" w:hAnsi="Calibri"/>
          <w:i/>
          <w:iCs/>
          <w:color w:val="5B6B7F"/>
          <w:sz w:val="18"/>
          <w:szCs w:val="18"/>
        </w:rPr>
        <w:t xml:space="preserve">Table 6. Final profiling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Item</w:t>
            </w:r>
          </w:p>
        </w:tc>
        <w:tc>
          <w:tcPr>
            <w:tcW w:type="dxa" w:w="6938"/>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Description</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Profiler</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Stage-level application (</w:t>
            </w:r>
            <w:r>
              <w:rPr>
                <w:rFonts w:ascii="Consolas" w:cs="Consolas" w:eastAsia="Consolas" w:hAnsi="Consolas"/>
                <w:color w:val="1B2A41"/>
                <w:sz w:val="17"/>
                <w:szCs w:val="17"/>
              </w:rPr>
              <w:t xml:space="preserve">/root/run_profile.py</w:t>
            </w:r>
            <w:r>
              <w:rPr>
                <w:rFonts w:ascii="Calibri" w:cs="Calibri" w:eastAsia="Calibri" w:hAnsi="Calibri"/>
                <w:b w:val="false"/>
                <w:bCs w:val="false"/>
                <w:color w:val="1B2A41"/>
                <w:sz w:val="19"/>
                <w:szCs w:val="19"/>
              </w:rPr>
              <w:t xml:space="preserve">) timing read/decode, letterbox, preparation, NPU, output decode, NMS and drawing</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Dataset</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101 images at each of 320×240, 640×480, 1280×720 and 1920×1080 (404 images); 404/404 completed</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Metrics</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Per-frame averages; NPU latency percentiles; CPU busy; peak RSS</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AIE-ML activity</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XRT profiling of all 304 tiles (CORE_ACTIVE and CORE_GROUP_STALL), run separately from benchmarks</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Power</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INA226 monitored rail, 26–45 samples per resolution; not total board power</w:t>
            </w:r>
          </w:p>
        </w:tc>
      </w:tr>
      <w:tr>
        <w:trPr>
          <w:cantSplit/>
        </w:trPr>
        <w:tc>
          <w:tcPr>
            <w:tcW w:type="dxa" w:w="27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Video / webcam</w:t>
            </w:r>
          </w:p>
        </w:tc>
        <w:tc>
          <w:tcPr>
            <w:tcW w:type="dxa" w:w="69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211-frame recorded video and 100-frame live webcam capture; demonstration only, no final benchmark values reported</w:t>
            </w:r>
          </w:p>
        </w:tc>
      </w:tr>
    </w:tbl>
    <w:p>
      <w:r>
        <w:br w:type="page"/>
      </w:r>
    </w:p>
    <w:p>
      <w:pPr>
        <w:pStyle w:val="Heading1"/>
        <w:keepNext/>
        <w:spacing w:after="120" w:before="300"/>
      </w:pPr>
      <w:r>
        <w:rPr>
          <w:rFonts w:ascii="Calibri" w:cs="Calibri" w:eastAsia="Calibri" w:hAnsi="Calibri"/>
          <w:b/>
          <w:bCs/>
          <w:color w:val="0B6E99"/>
          <w:sz w:val="30"/>
          <w:szCs w:val="30"/>
        </w:rPr>
        <w:t xml:space="preserve">7. Final NPU-Only Profiling Results</w:t>
      </w:r>
    </w:p>
    <w:p>
      <w:pPr>
        <w:keepNext/>
        <w:spacing w:after="60" w:before="120"/>
      </w:pPr>
      <w:r>
        <w:rPr>
          <w:rFonts w:ascii="Calibri" w:cs="Calibri" w:eastAsia="Calibri" w:hAnsi="Calibri"/>
          <w:i/>
          <w:iCs/>
          <w:color w:val="5B6B7F"/>
          <w:sz w:val="18"/>
          <w:szCs w:val="18"/>
        </w:rPr>
        <w:t xml:space="preserve">Table 7. Average per-frame results by source resolution (ms unless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825"/>
        <w:gridCol w:w="1825"/>
        <w:gridCol w:w="1825"/>
        <w:gridCol w:w="1825"/>
      </w:tblGrid>
      <w:tr>
        <w:trPr>
          <w:cantSplit/>
          <w:tblHeader/>
        </w:trPr>
        <w:tc>
          <w:tcPr>
            <w:tcW w:type="dxa" w:w="2338"/>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Stage</w:t>
            </w:r>
          </w:p>
        </w:tc>
        <w:tc>
          <w:tcPr>
            <w:tcW w:type="dxa" w:w="1825"/>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right"/>
            </w:pPr>
            <w:r>
              <w:rPr>
                <w:rFonts w:ascii="Calibri" w:cs="Calibri" w:eastAsia="Calibri" w:hAnsi="Calibri"/>
                <w:b/>
                <w:bCs/>
                <w:color w:val="FFFFFF"/>
                <w:sz w:val="18"/>
                <w:szCs w:val="18"/>
              </w:rPr>
              <w:t xml:space="preserve">320×240</w:t>
            </w:r>
          </w:p>
        </w:tc>
        <w:tc>
          <w:tcPr>
            <w:tcW w:type="dxa" w:w="1825"/>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right"/>
            </w:pPr>
            <w:r>
              <w:rPr>
                <w:rFonts w:ascii="Calibri" w:cs="Calibri" w:eastAsia="Calibri" w:hAnsi="Calibri"/>
                <w:b/>
                <w:bCs/>
                <w:color w:val="FFFFFF"/>
                <w:sz w:val="18"/>
                <w:szCs w:val="18"/>
              </w:rPr>
              <w:t xml:space="preserve">640×480</w:t>
            </w:r>
          </w:p>
        </w:tc>
        <w:tc>
          <w:tcPr>
            <w:tcW w:type="dxa" w:w="1825"/>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right"/>
            </w:pPr>
            <w:r>
              <w:rPr>
                <w:rFonts w:ascii="Calibri" w:cs="Calibri" w:eastAsia="Calibri" w:hAnsi="Calibri"/>
                <w:b/>
                <w:bCs/>
                <w:color w:val="FFFFFF"/>
                <w:sz w:val="18"/>
                <w:szCs w:val="18"/>
              </w:rPr>
              <w:t xml:space="preserve">1280×720</w:t>
            </w:r>
          </w:p>
        </w:tc>
        <w:tc>
          <w:tcPr>
            <w:tcW w:type="dxa" w:w="1825"/>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right"/>
            </w:pPr>
            <w:r>
              <w:rPr>
                <w:rFonts w:ascii="Calibri" w:cs="Calibri" w:eastAsia="Calibri" w:hAnsi="Calibri"/>
                <w:b/>
                <w:bCs/>
                <w:color w:val="FFFFFF"/>
                <w:sz w:val="18"/>
                <w:szCs w:val="18"/>
              </w:rPr>
              <w:t xml:space="preserve">1920×1080</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8"/>
                <w:szCs w:val="18"/>
              </w:rPr>
              <w:t xml:space="preserve">Read/decode</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9.52</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16.07</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30.50</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44.31</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8"/>
                <w:szCs w:val="18"/>
              </w:rPr>
              <w:t xml:space="preserve">Letterbox</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4.58</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0.69</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3.17</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7.97</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8"/>
                <w:szCs w:val="18"/>
              </w:rPr>
              <w:t xml:space="preserve">Preparation</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12.78</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12.41</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12.25</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12.22</w:t>
            </w:r>
          </w:p>
        </w:tc>
      </w:tr>
      <w:tr>
        <w:trPr>
          <w:cantSplit/>
        </w:trPr>
        <w:tc>
          <w:tcPr>
            <w:tcW w:type="dxa" w:w="2338"/>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bCs/>
                <w:color w:val="1B2A41"/>
                <w:sz w:val="18"/>
                <w:szCs w:val="18"/>
              </w:rPr>
              <w:t xml:space="preserve">NPU</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7.18</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7.14</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7.12</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7.12</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8"/>
                <w:szCs w:val="18"/>
              </w:rPr>
              <w:t xml:space="preserve">Output decode</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2.39</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2.55</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2.44</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2.42</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8"/>
                <w:szCs w:val="18"/>
              </w:rPr>
              <w:t xml:space="preserve">NMS</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0.24</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0.25</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0.24</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0.24</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8"/>
                <w:szCs w:val="18"/>
              </w:rPr>
              <w:t xml:space="preserve">Draw</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0.31</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0.44</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0.57</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0.69</w:t>
            </w:r>
          </w:p>
        </w:tc>
      </w:tr>
      <w:tr>
        <w:trPr>
          <w:cantSplit/>
        </w:trPr>
        <w:tc>
          <w:tcPr>
            <w:tcW w:type="dxa" w:w="2338"/>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bCs/>
                <w:color w:val="1B2A41"/>
                <w:sz w:val="18"/>
                <w:szCs w:val="18"/>
              </w:rPr>
              <w:t xml:space="preserve">Frame total</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37.02</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39.57</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56.32</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74.99</w:t>
            </w:r>
          </w:p>
        </w:tc>
      </w:tr>
      <w:tr>
        <w:trPr>
          <w:cantSplit/>
        </w:trPr>
        <w:tc>
          <w:tcPr>
            <w:tcW w:type="dxa" w:w="2338"/>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bCs/>
                <w:color w:val="1B2A41"/>
                <w:sz w:val="18"/>
                <w:szCs w:val="18"/>
              </w:rPr>
              <w:t xml:space="preserve">End-to-end FPS</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27.01</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25.27</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17.76</w:t>
            </w:r>
          </w:p>
        </w:tc>
        <w:tc>
          <w:tcPr>
            <w:tcW w:type="dxa" w:w="1825"/>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right"/>
            </w:pPr>
            <w:r>
              <w:rPr>
                <w:rFonts w:ascii="Calibri" w:cs="Calibri" w:eastAsia="Calibri" w:hAnsi="Calibri"/>
                <w:b/>
                <w:bCs/>
                <w:color w:val="1B2A41"/>
                <w:sz w:val="18"/>
                <w:szCs w:val="18"/>
              </w:rPr>
              <w:t xml:space="preserve">13.33</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8"/>
                <w:szCs w:val="18"/>
              </w:rPr>
              <w:t xml:space="preserve">CPU busy</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72%</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72%</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80%</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95%</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8"/>
                <w:szCs w:val="18"/>
              </w:rPr>
              <w:t xml:space="preserve">Peak RSS</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170 MB</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171 MB</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177 MB</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190 MB</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8"/>
                <w:szCs w:val="18"/>
              </w:rPr>
              <w:t xml:space="preserve">NPU p50 / p95 / max</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7.03 / 7.66 / 8.68</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7.10 / 7.28 / 8.67</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7.15 / 7.20 / 7.26</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8"/>
                <w:szCs w:val="18"/>
              </w:rPr>
              <w:t xml:space="preserve">7.14 / 7.20 / 7.25</w:t>
            </w:r>
          </w:p>
        </w:tc>
      </w:tr>
    </w:tbl>
    <w:p>
      <w:pPr>
        <w:keepNext/>
        <w:spacing w:after="0" w:before="80"/>
        <w:jc w:val="center"/>
      </w:pPr>
      <w:r>
        <w:drawing>
          <wp:inline distT="0" distB="0" distL="0" distR="0">
            <wp:extent cx="5619750" cy="2657475"/>
            <wp:effectExtent t="0" r="0" b="0" l="0"/>
            <wp:docPr id="1" name="ch/stacked.png" descr="ch/stacked.png" title="ch/sta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657475"/>
                    </a:xfrm>
                    <a:prstGeom prst="rect">
                      <a:avLst/>
                    </a:prstGeom>
                  </pic:spPr>
                </pic:pic>
              </a:graphicData>
            </a:graphic>
          </wp:inline>
        </w:drawing>
      </w:r>
    </w:p>
    <w:p>
      <w:pPr>
        <w:spacing w:after="200" w:before="50"/>
        <w:jc w:val="center"/>
      </w:pPr>
      <w:r>
        <w:rPr>
          <w:rFonts w:ascii="Calibri" w:cs="Calibri" w:eastAsia="Calibri" w:hAnsi="Calibri"/>
          <w:i/>
          <w:iCs/>
          <w:color w:val="5B6B7F"/>
          <w:sz w:val="18"/>
          <w:szCs w:val="18"/>
        </w:rPr>
        <w:t xml:space="preserve">Figure 6. Per-frame time breakdown: the NPU segment is constant while read/decode grows.</w:t>
      </w:r>
    </w:p>
    <w:p>
      <w:pPr>
        <w:keepNext/>
        <w:spacing w:after="0" w:before="80"/>
        <w:jc w:val="center"/>
      </w:pPr>
      <w:r>
        <w:drawing>
          <wp:inline distT="0" distB="0" distL="0" distR="0">
            <wp:extent cx="5334000" cy="2295525"/>
            <wp:effectExtent t="0" r="0" b="0" l="0"/>
            <wp:docPr id="1" name="ch/fps.png" descr="ch/fps.png" title="ch/f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95525"/>
                    </a:xfrm>
                    <a:prstGeom prst="rect">
                      <a:avLst/>
                    </a:prstGeom>
                  </pic:spPr>
                </pic:pic>
              </a:graphicData>
            </a:graphic>
          </wp:inline>
        </w:drawing>
      </w:r>
    </w:p>
    <w:p>
      <w:pPr>
        <w:spacing w:after="200" w:before="50"/>
        <w:jc w:val="center"/>
      </w:pPr>
      <w:r>
        <w:rPr>
          <w:rFonts w:ascii="Calibri" w:cs="Calibri" w:eastAsia="Calibri" w:hAnsi="Calibri"/>
          <w:i/>
          <w:iCs/>
          <w:color w:val="5B6B7F"/>
          <w:sz w:val="18"/>
          <w:szCs w:val="18"/>
        </w:rPr>
        <w:t xml:space="preserve">Figure 7. End-to-end FPS and CPU load by source resolution.</w:t>
      </w:r>
    </w:p>
    <w:p>
      <w:pPr>
        <w:pStyle w:val="Heading2"/>
        <w:keepNext/>
        <w:spacing w:after="80" w:before="200"/>
      </w:pPr>
      <w:r>
        <w:rPr>
          <w:rFonts w:ascii="Calibri" w:cs="Calibri" w:eastAsia="Calibri" w:hAnsi="Calibri"/>
          <w:b/>
          <w:bCs/>
          <w:color w:val="1B2A41"/>
          <w:sz w:val="24"/>
          <w:szCs w:val="24"/>
        </w:rPr>
        <w:t xml:space="preserve">7.1 Analysis</w:t>
      </w:r>
    </w:p>
    <w:p>
      <w:pPr>
        <w:pStyle w:val="ListParagraph"/>
        <w:numPr>
          <w:ilvl w:val="0"/>
          <w:numId w:val="2"/>
        </w:numPr>
        <w:spacing w:after="70" w:line="260"/>
      </w:pPr>
      <w:r>
        <w:rPr>
          <w:rFonts w:ascii="Calibri" w:cs="Calibri" w:eastAsia="Calibri" w:hAnsi="Calibri"/>
          <w:b/>
          <w:bCs/>
          <w:color w:val="1B2A41"/>
          <w:sz w:val="21"/>
          <w:szCs w:val="21"/>
        </w:rPr>
        <w:t xml:space="preserve">NPU latency is stable</w:t>
      </w:r>
      <w:r>
        <w:rPr>
          <w:rFonts w:ascii="Calibri" w:cs="Calibri" w:eastAsia="Calibri" w:hAnsi="Calibri"/>
          <w:color w:val="1B2A41"/>
          <w:sz w:val="21"/>
          <w:szCs w:val="21"/>
        </w:rPr>
        <w:t xml:space="preserve"> (7.12–7.18 ms) because the model always receives 640×640 input; the NPU-stage ceiling of about 140 FPS is roughly 10× the best end-to-end rate.</w:t>
      </w:r>
    </w:p>
    <w:p>
      <w:pPr>
        <w:pStyle w:val="ListParagraph"/>
        <w:numPr>
          <w:ilvl w:val="0"/>
          <w:numId w:val="2"/>
        </w:numPr>
        <w:spacing w:after="70" w:line="260"/>
      </w:pPr>
      <w:r>
        <w:rPr>
          <w:rFonts w:ascii="Calibri" w:cs="Calibri" w:eastAsia="Calibri" w:hAnsi="Calibri"/>
          <w:b/>
          <w:bCs/>
          <w:color w:val="1B2A41"/>
          <w:sz w:val="21"/>
          <w:szCs w:val="21"/>
        </w:rPr>
        <w:t xml:space="preserve">Read/decode dominates at high resolution:</w:t>
      </w:r>
      <w:r>
        <w:rPr>
          <w:rFonts w:ascii="Calibri" w:cs="Calibri" w:eastAsia="Calibri" w:hAnsi="Calibri"/>
          <w:color w:val="1B2A41"/>
          <w:sz w:val="21"/>
          <w:szCs w:val="21"/>
        </w:rPr>
        <w:t xml:space="preserve"> it rises 4.7× (9.52 to 44.31 ms) and is about 59% of frame latency at 1920×1080, with letterbox adding about 11% and CPU load reaching 95%.</w:t>
      </w:r>
    </w:p>
    <w:p>
      <w:pPr>
        <w:pStyle w:val="ListParagraph"/>
        <w:numPr>
          <w:ilvl w:val="0"/>
          <w:numId w:val="2"/>
        </w:numPr>
        <w:spacing w:after="70" w:line="260"/>
      </w:pPr>
      <w:r>
        <w:rPr>
          <w:rFonts w:ascii="Calibri" w:cs="Calibri" w:eastAsia="Calibri" w:hAnsi="Calibri"/>
          <w:b/>
          <w:bCs/>
          <w:color w:val="1B2A41"/>
          <w:sz w:val="21"/>
          <w:szCs w:val="21"/>
        </w:rPr>
        <w:t xml:space="preserve">Input preparation is a fixed 12.2–12.8 ms cost</w:t>
      </w:r>
      <w:r>
        <w:rPr>
          <w:rFonts w:ascii="Calibri" w:cs="Calibri" w:eastAsia="Calibri" w:hAnsi="Calibri"/>
          <w:color w:val="1B2A41"/>
          <w:sz w:val="21"/>
          <w:szCs w:val="21"/>
        </w:rPr>
        <w:t xml:space="preserve">, larger than the NPU stage, while decode, NMS and drawing together add only about 3–3.5 ms.</w:t>
      </w:r>
    </w:p>
    <w:p>
      <w:pPr>
        <w:pStyle w:val="ListParagraph"/>
        <w:numPr>
          <w:ilvl w:val="0"/>
          <w:numId w:val="2"/>
        </w:numPr>
        <w:spacing w:after="70" w:line="260"/>
      </w:pPr>
      <w:r>
        <w:rPr>
          <w:rFonts w:ascii="Calibri" w:cs="Calibri" w:eastAsia="Calibri" w:hAnsi="Calibri"/>
          <w:b/>
          <w:bCs/>
          <w:color w:val="1B2A41"/>
          <w:sz w:val="21"/>
          <w:szCs w:val="21"/>
        </w:rPr>
        <w:t xml:space="preserve">Optimization targets:</w:t>
      </w:r>
      <w:r>
        <w:rPr>
          <w:rFonts w:ascii="Calibri" w:cs="Calibri" w:eastAsia="Calibri" w:hAnsi="Calibri"/>
          <w:color w:val="1B2A41"/>
          <w:sz w:val="21"/>
          <w:szCs w:val="21"/>
        </w:rPr>
        <w:t xml:space="preserve"> JPEG decode, resize/letterbox, input preparation, and overlapping these stages with NPU execution.</w:t>
      </w:r>
    </w:p>
    <w:p>
      <w:pPr>
        <w:pStyle w:val="Heading2"/>
        <w:keepNext/>
        <w:spacing w:after="80" w:before="200"/>
      </w:pPr>
      <w:r>
        <w:rPr>
          <w:rFonts w:ascii="Calibri" w:cs="Calibri" w:eastAsia="Calibri" w:hAnsi="Calibri"/>
          <w:b/>
          <w:bCs/>
          <w:color w:val="1B2A41"/>
          <w:sz w:val="24"/>
          <w:szCs w:val="24"/>
        </w:rPr>
        <w:t xml:space="preserve">7.2 AIE-ML activity and power</w:t>
      </w:r>
    </w:p>
    <w:p>
      <w:pPr>
        <w:keepNext/>
        <w:spacing w:after="60" w:before="120"/>
      </w:pPr>
      <w:r>
        <w:rPr>
          <w:rFonts w:ascii="Calibri" w:cs="Calibri" w:eastAsia="Calibri" w:hAnsi="Calibri"/>
          <w:i/>
          <w:iCs/>
          <w:color w:val="5B6B7F"/>
          <w:sz w:val="18"/>
          <w:szCs w:val="18"/>
        </w:rPr>
        <w:t xml:space="preserve">Table 8. AIE-ML activity and monitored-rail power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738"/>
      </w:tblGrid>
      <w:tr>
        <w:trPr>
          <w:cantSplit/>
          <w:tblHeader/>
        </w:trPr>
        <w:tc>
          <w:tcPr>
            <w:tcW w:type="dxa" w:w="34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Metric</w:t>
            </w:r>
          </w:p>
        </w:tc>
        <w:tc>
          <w:tcPr>
            <w:tcW w:type="dxa" w:w="25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Value</w:t>
            </w:r>
          </w:p>
        </w:tc>
        <w:tc>
          <w:tcPr>
            <w:tcW w:type="dxa" w:w="3738"/>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Condition</w:t>
            </w:r>
          </w:p>
        </w:tc>
      </w:tr>
      <w:tr>
        <w:trPr>
          <w:cantSplit/>
        </w:trPr>
        <w:tc>
          <w:tcPr>
            <w:tcW w:type="dxa" w:w="34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Average AIE-ML activity</w:t>
            </w:r>
          </w:p>
        </w:tc>
        <w:tc>
          <w:tcPr>
            <w:tcW w:type="dxa" w:w="2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51.65–52.07%</w:t>
            </w:r>
          </w:p>
        </w:tc>
        <w:tc>
          <w:tcPr>
            <w:tcW w:type="dxa" w:w="37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320×240 to 1280×720</w:t>
            </w:r>
          </w:p>
        </w:tc>
      </w:tr>
      <w:tr>
        <w:trPr>
          <w:cantSplit/>
        </w:trPr>
        <w:tc>
          <w:tcPr>
            <w:tcW w:type="dxa" w:w="34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Average AIE-ML activity</w:t>
            </w:r>
          </w:p>
        </w:tc>
        <w:tc>
          <w:tcPr>
            <w:tcW w:type="dxa" w:w="2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61.45% (tiles 59.19–64.40%)</w:t>
            </w:r>
          </w:p>
        </w:tc>
        <w:tc>
          <w:tcPr>
            <w:tcW w:type="dxa" w:w="37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1920×1080</w:t>
            </w:r>
          </w:p>
        </w:tc>
      </w:tr>
      <w:tr>
        <w:trPr>
          <w:cantSplit/>
        </w:trPr>
        <w:tc>
          <w:tcPr>
            <w:tcW w:type="dxa" w:w="34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Average AIE-ML activity</w:t>
            </w:r>
          </w:p>
        </w:tc>
        <w:tc>
          <w:tcPr>
            <w:tcW w:type="dxa" w:w="2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52.48% (52.21–52.77%)</w:t>
            </w:r>
          </w:p>
        </w:tc>
        <w:tc>
          <w:tcPr>
            <w:tcW w:type="dxa" w:w="37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Later 1920×1080 capture</w:t>
            </w:r>
          </w:p>
        </w:tc>
      </w:tr>
      <w:tr>
        <w:trPr>
          <w:cantSplit/>
        </w:trPr>
        <w:tc>
          <w:tcPr>
            <w:tcW w:type="dxa" w:w="34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Average power</w:t>
            </w:r>
          </w:p>
        </w:tc>
        <w:tc>
          <w:tcPr>
            <w:tcW w:type="dxa" w:w="2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3.546–3.565 W</w:t>
            </w:r>
          </w:p>
        </w:tc>
        <w:tc>
          <w:tcPr>
            <w:tcW w:type="dxa" w:w="37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4 resolutions</w:t>
            </w:r>
          </w:p>
        </w:tc>
      </w:tr>
      <w:tr>
        <w:trPr>
          <w:cantSplit/>
        </w:trPr>
        <w:tc>
          <w:tcPr>
            <w:tcW w:type="dxa" w:w="34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Peak power</w:t>
            </w:r>
          </w:p>
        </w:tc>
        <w:tc>
          <w:tcPr>
            <w:tcW w:type="dxa" w:w="2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3.705–3.966 W</w:t>
            </w:r>
          </w:p>
        </w:tc>
        <w:tc>
          <w:tcPr>
            <w:tcW w:type="dxa" w:w="37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4 resolutions</w:t>
            </w:r>
          </w:p>
        </w:tc>
      </w:tr>
      <w:tr>
        <w:trPr>
          <w:cantSplit/>
        </w:trPr>
        <w:tc>
          <w:tcPr>
            <w:tcW w:type="dxa" w:w="34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Energy per frame</w:t>
            </w:r>
          </w:p>
        </w:tc>
        <w:tc>
          <w:tcPr>
            <w:tcW w:type="dxa" w:w="25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0.131–0.267 J</w:t>
            </w:r>
          </w:p>
        </w:tc>
        <w:tc>
          <w:tcPr>
            <w:tcW w:type="dxa" w:w="37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Average power / clean E2E FPS</w:t>
            </w:r>
          </w:p>
        </w:tc>
      </w:tr>
    </w:tbl>
    <w:p>
      <w:pPr>
        <w:spacing w:after="110" w:before="100" w:line="264"/>
      </w:pPr>
      <w:r>
        <w:rPr>
          <w:rFonts w:ascii="Calibri" w:cs="Calibri" w:eastAsia="Calibri" w:hAnsi="Calibri"/>
          <w:color w:val="1B2A41"/>
          <w:sz w:val="21"/>
          <w:szCs w:val="21"/>
        </w:rPr>
        <w:t xml:space="preserve">Activity is evenly distributed across tiles. AIE profiling adds large overhead (1920×1080 rose from 74.99 ms to about 136 ms, 13.33 to about 7.3 FPS), so it is reported separately and never used for benchmarking. Power values are INA226 rail measurements, not total board power.</w:t>
      </w:r>
    </w:p>
    <w:p>
      <w:pPr>
        <w:pStyle w:val="Heading1"/>
        <w:keepNext/>
        <w:spacing w:after="120" w:before="300"/>
      </w:pPr>
      <w:r>
        <w:rPr>
          <w:rFonts w:ascii="Calibri" w:cs="Calibri" w:eastAsia="Calibri" w:hAnsi="Calibri"/>
          <w:b/>
          <w:bCs/>
          <w:color w:val="0B6E99"/>
          <w:sz w:val="30"/>
          <w:szCs w:val="30"/>
        </w:rPr>
        <w:t xml:space="preserve">8. End-to-End Performance and Video/Webcam Demonstration</w:t>
      </w:r>
    </w:p>
    <w:p>
      <w:pPr>
        <w:keepNext/>
        <w:spacing w:after="110" w:before="0" w:line="264"/>
      </w:pPr>
      <w:r>
        <w:rPr>
          <w:rFonts w:ascii="Calibri" w:cs="Calibri" w:eastAsia="Calibri" w:hAnsi="Calibri"/>
          <w:color w:val="1B2A41"/>
          <w:sz w:val="21"/>
          <w:szCs w:val="21"/>
        </w:rPr>
        <w:t xml:space="preserve">The final end-to-end results use the </w:t>
      </w:r>
      <w:r>
        <w:rPr>
          <w:rFonts w:ascii="Calibri" w:cs="Calibri" w:eastAsia="Calibri" w:hAnsi="Calibri"/>
          <w:b/>
          <w:bCs/>
          <w:color w:val="1B2A41"/>
          <w:sz w:val="21"/>
          <w:szCs w:val="21"/>
        </w:rPr>
        <w:t xml:space="preserve">NPU-only configuration with CPU subgraphs disabled/skipped</w:t>
      </w:r>
      <w:r>
        <w:rPr>
          <w:rFonts w:ascii="Calibri" w:cs="Calibri" w:eastAsia="Calibri" w:hAnsi="Calibri"/>
          <w:color w:val="1B2A41"/>
          <w:sz w:val="21"/>
          <w:szCs w:val="21"/>
        </w:rPr>
        <w:t xml:space="preserve">. Table 9 consolidates them from Table 7.</w:t>
      </w:r>
    </w:p>
    <w:p>
      <w:pPr>
        <w:keepNext/>
        <w:spacing w:after="60" w:before="120"/>
      </w:pPr>
      <w:r>
        <w:rPr>
          <w:rFonts w:ascii="Calibri" w:cs="Calibri" w:eastAsia="Calibri" w:hAnsi="Calibri"/>
          <w:i/>
          <w:iCs/>
          <w:color w:val="5B6B7F"/>
          <w:sz w:val="18"/>
          <w:szCs w:val="18"/>
        </w:rPr>
        <w:t xml:space="preserve">Table 9. Final end-to-end latency and FPS (NPU-only)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825"/>
        <w:gridCol w:w="1825"/>
        <w:gridCol w:w="1825"/>
        <w:gridCol w:w="1825"/>
      </w:tblGrid>
      <w:tr>
        <w:trPr>
          <w:cantSplit/>
          <w:tblHeader/>
        </w:trPr>
        <w:tc>
          <w:tcPr>
            <w:tcW w:type="dxa" w:w="2338"/>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Source resolution</w:t>
            </w:r>
          </w:p>
        </w:tc>
        <w:tc>
          <w:tcPr>
            <w:tcW w:type="dxa" w:w="1825"/>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right"/>
            </w:pPr>
            <w:r>
              <w:rPr>
                <w:rFonts w:ascii="Calibri" w:cs="Calibri" w:eastAsia="Calibri" w:hAnsi="Calibri"/>
                <w:b/>
                <w:bCs/>
                <w:color w:val="FFFFFF"/>
                <w:sz w:val="19"/>
                <w:szCs w:val="19"/>
              </w:rPr>
              <w:t xml:space="preserve">E2E latency</w:t>
            </w:r>
          </w:p>
        </w:tc>
        <w:tc>
          <w:tcPr>
            <w:tcW w:type="dxa" w:w="1825"/>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right"/>
            </w:pPr>
            <w:r>
              <w:rPr>
                <w:rFonts w:ascii="Calibri" w:cs="Calibri" w:eastAsia="Calibri" w:hAnsi="Calibri"/>
                <w:b/>
                <w:bCs/>
                <w:color w:val="FFFFFF"/>
                <w:sz w:val="19"/>
                <w:szCs w:val="19"/>
              </w:rPr>
              <w:t xml:space="preserve">E2E FPS</w:t>
            </w:r>
          </w:p>
        </w:tc>
        <w:tc>
          <w:tcPr>
            <w:tcW w:type="dxa" w:w="1825"/>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right"/>
            </w:pPr>
            <w:r>
              <w:rPr>
                <w:rFonts w:ascii="Calibri" w:cs="Calibri" w:eastAsia="Calibri" w:hAnsi="Calibri"/>
                <w:b/>
                <w:bCs/>
                <w:color w:val="FFFFFF"/>
                <w:sz w:val="19"/>
                <w:szCs w:val="19"/>
              </w:rPr>
              <w:t xml:space="preserve">NPU time</w:t>
            </w:r>
          </w:p>
        </w:tc>
        <w:tc>
          <w:tcPr>
            <w:tcW w:type="dxa" w:w="1825"/>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right"/>
            </w:pPr>
            <w:r>
              <w:rPr>
                <w:rFonts w:ascii="Calibri" w:cs="Calibri" w:eastAsia="Calibri" w:hAnsi="Calibri"/>
                <w:b/>
                <w:bCs/>
                <w:color w:val="FFFFFF"/>
                <w:sz w:val="19"/>
                <w:szCs w:val="19"/>
              </w:rPr>
              <w:t xml:space="preserve">CPU busy</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320×240</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37.02 ms</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27.01</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7.18 ms</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72%</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640×480</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39.57 ms</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25.27</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7.14 ms</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72%</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1280×720</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56.32 ms</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17.76</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7.12 ms</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80%</w:t>
            </w:r>
          </w:p>
        </w:tc>
      </w:tr>
      <w:tr>
        <w:trPr>
          <w:cantSplit/>
        </w:trPr>
        <w:tc>
          <w:tcPr>
            <w:tcW w:type="dxa" w:w="23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1920×1080</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74.99 ms</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13.33</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7.12 ms</w:t>
            </w:r>
          </w:p>
        </w:tc>
        <w:tc>
          <w:tcPr>
            <w:tcW w:type="dxa" w:w="1825"/>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right"/>
            </w:pPr>
            <w:r>
              <w:rPr>
                <w:rFonts w:ascii="Calibri" w:cs="Calibri" w:eastAsia="Calibri" w:hAnsi="Calibri"/>
                <w:b w:val="false"/>
                <w:bCs w:val="false"/>
                <w:color w:val="1B2A41"/>
                <w:sz w:val="19"/>
                <w:szCs w:val="19"/>
              </w:rPr>
              <w:t xml:space="preserve">95%</w:t>
            </w:r>
          </w:p>
        </w:tc>
      </w:tr>
    </w:tbl>
    <w:p>
      <w:pPr>
        <w:spacing w:after="110" w:before="100" w:line="264"/>
      </w:pPr>
      <w:r>
        <w:rPr>
          <w:rFonts w:ascii="Calibri" w:cs="Calibri" w:eastAsia="Calibri" w:hAnsi="Calibri"/>
          <w:color w:val="1B2A41"/>
          <w:sz w:val="21"/>
          <w:szCs w:val="21"/>
        </w:rPr>
        <w:t xml:space="preserve">The recorded video (211 frames, 640×480, about 30 FPS) and the live webcam capture (Logitech Pro 9000, 640×480, 30 FPS) use the same NPU-only inference pipeline and show that the deployment works on video and camera input as well as still images. Earlier video and webcam timings were taken before the NPU-only configuration, so they are not reported as results. NPU-only video and webcam measurements were not part of the final profiling data.</w:t>
      </w:r>
    </w:p>
    <w:p>
      <w:pPr>
        <w:pStyle w:val="Heading1"/>
        <w:keepNext/>
        <w:spacing w:after="120" w:before="300"/>
      </w:pPr>
      <w:r>
        <w:rPr>
          <w:rFonts w:ascii="Calibri" w:cs="Calibri" w:eastAsia="Calibri" w:hAnsi="Calibri"/>
          <w:b/>
          <w:bCs/>
          <w:color w:val="0B6E99"/>
          <w:sz w:val="30"/>
          <w:szCs w:val="30"/>
        </w:rPr>
        <w:t xml:space="preserve">9. Supporting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cantSplit/>
          <w:tblHeader/>
        </w:trPr>
        <w:tc>
          <w:tcPr>
            <w:tcW w:type="dxa" w:w="20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Model</w:t>
            </w:r>
          </w:p>
        </w:tc>
        <w:tc>
          <w:tcPr>
            <w:tcW w:type="dxa" w:w="2400"/>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Task</w:t>
            </w:r>
          </w:p>
        </w:tc>
        <w:tc>
          <w:tcPr>
            <w:tcW w:type="dxa" w:w="5238"/>
            <w:tcBorders>
              <w:top w:val="single" w:color="C8D3DD" w:sz="4"/>
              <w:left w:val="single" w:color="C8D3DD" w:sz="4"/>
              <w:bottom w:val="single" w:color="C8D3DD" w:sz="4"/>
              <w:right w:val="single" w:color="C8D3DD" w:sz="4"/>
            </w:tcBorders>
            <w:shd w:fill="0B6E99"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Status</w:t>
            </w:r>
          </w:p>
        </w:tc>
      </w:tr>
      <w:tr>
        <w:trPr>
          <w:cantSplit/>
        </w:trPr>
        <w:tc>
          <w:tcPr>
            <w:tcW w:type="dxa" w:w="20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ResNet50</w:t>
            </w:r>
          </w:p>
        </w:tc>
        <w:tc>
          <w:tcPr>
            <w:tcW w:type="dxa" w:w="24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Image classification</w:t>
            </w:r>
          </w:p>
        </w:tc>
        <w:tc>
          <w:tcPr>
            <w:tcW w:type="dxa" w:w="52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Tested successfully; validated the NPU runtime</w:t>
            </w:r>
          </w:p>
        </w:tc>
      </w:tr>
      <w:tr>
        <w:trPr>
          <w:cantSplit/>
        </w:trPr>
        <w:tc>
          <w:tcPr>
            <w:tcW w:type="dxa" w:w="20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YOLOX-S</w:t>
            </w:r>
          </w:p>
        </w:tc>
        <w:tc>
          <w:tcPr>
            <w:tcW w:type="dxa" w:w="24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Object detection</w:t>
            </w:r>
          </w:p>
        </w:tc>
        <w:tc>
          <w:tcPr>
            <w:tcW w:type="dxa" w:w="52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Tested successfully as a supporting detection model</w:t>
            </w:r>
          </w:p>
        </w:tc>
      </w:tr>
      <w:tr>
        <w:trPr>
          <w:cantSplit/>
        </w:trPr>
        <w:tc>
          <w:tcPr>
            <w:tcW w:type="dxa" w:w="2000"/>
            <w:tcBorders>
              <w:top w:val="single" w:color="C8D3DD" w:sz="4"/>
              <w:left w:val="single" w:color="C8D3DD" w:sz="4"/>
              <w:bottom w:val="single" w:color="C8D3DD" w:sz="4"/>
              <w:right w:val="single" w:color="C8D3DD" w:sz="4"/>
            </w:tcBorders>
            <w:shd w:fill="EAF2F7"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YOLOv7</w:t>
            </w:r>
          </w:p>
        </w:tc>
        <w:tc>
          <w:tcPr>
            <w:tcW w:type="dxa" w:w="2400"/>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Object detection</w:t>
            </w:r>
          </w:p>
        </w:tc>
        <w:tc>
          <w:tcPr>
            <w:tcW w:type="dxa" w:w="5238"/>
            <w:tcBorders>
              <w:top w:val="single" w:color="C8D3DD" w:sz="4"/>
              <w:left w:val="single" w:color="C8D3DD" w:sz="4"/>
              <w:bottom w:val="single" w:color="C8D3DD" w:sz="4"/>
              <w:right w:val="single" w:color="C8D3DD"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B2A41"/>
                <w:sz w:val="19"/>
                <w:szCs w:val="19"/>
              </w:rPr>
              <w:t xml:space="preserve">Main focus: deployment, profiling, source-resolution and camera testing</w:t>
            </w:r>
          </w:p>
        </w:tc>
      </w:tr>
    </w:tbl>
    <w:p>
      <w:pPr>
        <w:pStyle w:val="Heading1"/>
        <w:keepNext/>
        <w:spacing w:after="120" w:before="300"/>
      </w:pPr>
      <w:r>
        <w:rPr>
          <w:rFonts w:ascii="Calibri" w:cs="Calibri" w:eastAsia="Calibri" w:hAnsi="Calibri"/>
          <w:b/>
          <w:bCs/>
          <w:color w:val="0B6E99"/>
          <w:sz w:val="30"/>
          <w:szCs w:val="30"/>
        </w:rPr>
        <w:t xml:space="preserve">10. Conclusions</w:t>
      </w:r>
    </w:p>
    <w:p>
      <w:pPr>
        <w:pStyle w:val="ListParagraph"/>
        <w:numPr>
          <w:ilvl w:val="0"/>
          <w:numId w:val="2"/>
        </w:numPr>
        <w:spacing w:after="70" w:line="260"/>
      </w:pPr>
      <w:r>
        <w:rPr>
          <w:rFonts w:ascii="Calibri" w:cs="Calibri" w:eastAsia="Calibri" w:hAnsi="Calibri"/>
          <w:color w:val="1B2A41"/>
          <w:sz w:val="21"/>
          <w:szCs w:val="21"/>
        </w:rPr>
        <w:t xml:space="preserve">YOLOv7 was deployed on the VE2802 NPU and benchmarked in the final </w:t>
      </w:r>
      <w:r>
        <w:rPr>
          <w:rFonts w:ascii="Calibri" w:cs="Calibri" w:eastAsia="Calibri" w:hAnsi="Calibri"/>
          <w:b/>
          <w:bCs/>
          <w:color w:val="1B2A41"/>
          <w:sz w:val="21"/>
          <w:szCs w:val="21"/>
        </w:rPr>
        <w:t xml:space="preserve">NPU-only</w:t>
      </w:r>
      <w:r>
        <w:rPr>
          <w:rFonts w:ascii="Calibri" w:cs="Calibri" w:eastAsia="Calibri" w:hAnsi="Calibri"/>
          <w:color w:val="1B2A41"/>
          <w:sz w:val="21"/>
          <w:szCs w:val="21"/>
        </w:rPr>
        <w:t xml:space="preserve"> configuration with the CPU subgraph skipped.</w:t>
      </w:r>
    </w:p>
    <w:p>
      <w:pPr>
        <w:pStyle w:val="ListParagraph"/>
        <w:numPr>
          <w:ilvl w:val="0"/>
          <w:numId w:val="2"/>
        </w:numPr>
        <w:spacing w:after="70" w:line="260"/>
      </w:pPr>
      <w:r>
        <w:rPr>
          <w:rFonts w:ascii="Calibri" w:cs="Calibri" w:eastAsia="Calibri" w:hAnsi="Calibri"/>
          <w:color w:val="1B2A41"/>
          <w:sz w:val="21"/>
          <w:szCs w:val="21"/>
        </w:rPr>
        <w:t xml:space="preserve">The NPU completes a 640×640 inference in a stable </w:t>
      </w:r>
      <w:r>
        <w:rPr>
          <w:rFonts w:ascii="Calibri" w:cs="Calibri" w:eastAsia="Calibri" w:hAnsi="Calibri"/>
          <w:b/>
          <w:bCs/>
          <w:color w:val="1B2A41"/>
          <w:sz w:val="21"/>
          <w:szCs w:val="21"/>
        </w:rPr>
        <w:t xml:space="preserve">7.1 ms</w:t>
      </w:r>
      <w:r>
        <w:rPr>
          <w:rFonts w:ascii="Calibri" w:cs="Calibri" w:eastAsia="Calibri" w:hAnsi="Calibri"/>
          <w:color w:val="1B2A41"/>
          <w:sz w:val="21"/>
          <w:szCs w:val="21"/>
        </w:rPr>
        <w:t xml:space="preserve">; the complete optimized pipeline reaches </w:t>
      </w:r>
      <w:r>
        <w:rPr>
          <w:rFonts w:ascii="Calibri" w:cs="Calibri" w:eastAsia="Calibri" w:hAnsi="Calibri"/>
          <w:b/>
          <w:bCs/>
          <w:color w:val="1B2A41"/>
          <w:sz w:val="21"/>
          <w:szCs w:val="21"/>
        </w:rPr>
        <w:t xml:space="preserve">13.33–27.01 FPS</w:t>
      </w:r>
      <w:r>
        <w:rPr>
          <w:rFonts w:ascii="Calibri" w:cs="Calibri" w:eastAsia="Calibri" w:hAnsi="Calibri"/>
          <w:color w:val="1B2A41"/>
          <w:sz w:val="21"/>
          <w:szCs w:val="21"/>
        </w:rPr>
        <w:t xml:space="preserve"> depending on source resolution.</w:t>
      </w:r>
    </w:p>
    <w:p>
      <w:pPr>
        <w:pStyle w:val="ListParagraph"/>
        <w:numPr>
          <w:ilvl w:val="0"/>
          <w:numId w:val="2"/>
        </w:numPr>
        <w:spacing w:after="70" w:line="260"/>
      </w:pPr>
      <w:r>
        <w:rPr>
          <w:rFonts w:ascii="Calibri" w:cs="Calibri" w:eastAsia="Calibri" w:hAnsi="Calibri"/>
          <w:color w:val="1B2A41"/>
          <w:sz w:val="21"/>
          <w:szCs w:val="21"/>
        </w:rPr>
        <w:t xml:space="preserve">The official VART runner improved from 175.44 ms to 73.75 ms when the CPU subgraph was skipped.</w:t>
      </w:r>
    </w:p>
    <w:p>
      <w:pPr>
        <w:pStyle w:val="ListParagraph"/>
        <w:numPr>
          <w:ilvl w:val="0"/>
          <w:numId w:val="2"/>
        </w:numPr>
        <w:spacing w:after="70" w:line="260"/>
      </w:pPr>
      <w:r>
        <w:rPr>
          <w:rFonts w:ascii="Calibri" w:cs="Calibri" w:eastAsia="Calibri" w:hAnsi="Calibri"/>
          <w:color w:val="1B2A41"/>
          <w:sz w:val="21"/>
          <w:szCs w:val="21"/>
        </w:rPr>
        <w:t xml:space="preserve">The next gains lie in the CPU-side pipeline: faster decode, resize and preparation, overlapped with NPU execution.</w:t>
      </w:r>
    </w:p>
    <w:p>
      <w:pPr>
        <w:pStyle w:val="Heading2"/>
        <w:keepNext/>
        <w:spacing w:after="80" w:before="200"/>
      </w:pPr>
      <w:r>
        <w:rPr>
          <w:rFonts w:ascii="Calibri" w:cs="Calibri" w:eastAsia="Calibri" w:hAnsi="Calibri"/>
          <w:b/>
          <w:bCs/>
          <w:color w:val="1B2A41"/>
          <w:sz w:val="24"/>
          <w:szCs w:val="24"/>
        </w:rPr>
        <w:t xml:space="preserve">References</w:t>
      </w:r>
    </w:p>
    <w:p>
      <w:pPr>
        <w:pStyle w:val="ListParagraph"/>
        <w:numPr>
          <w:ilvl w:val="0"/>
          <w:numId w:val="2"/>
        </w:numPr>
        <w:spacing w:after="70" w:line="260"/>
      </w:pPr>
      <w:r>
        <w:rPr>
          <w:rFonts w:ascii="Calibri" w:cs="Calibri" w:eastAsia="Calibri" w:hAnsi="Calibri"/>
          <w:color w:val="1B2A41"/>
          <w:sz w:val="21"/>
          <w:szCs w:val="21"/>
        </w:rPr>
        <w:t xml:space="preserve">AMD VEK280 Evaluation Board User Guide (UG1612)</w:t>
      </w:r>
    </w:p>
    <w:p>
      <w:pPr>
        <w:pStyle w:val="ListParagraph"/>
        <w:numPr>
          <w:ilvl w:val="0"/>
          <w:numId w:val="2"/>
        </w:numPr>
        <w:spacing w:after="70" w:line="260"/>
      </w:pPr>
      <w:r>
        <w:rPr>
          <w:rFonts w:ascii="Calibri" w:cs="Calibri" w:eastAsia="Calibri" w:hAnsi="Calibri"/>
          <w:color w:val="1B2A41"/>
          <w:sz w:val="21"/>
          <w:szCs w:val="21"/>
        </w:rPr>
        <w:t xml:space="preserve">AMD Vitis-AI Documentation: Quick Start and Default Reference Design</w:t>
      </w:r>
    </w:p>
    <w:p>
      <w:pPr>
        <w:pStyle w:val="ListParagraph"/>
        <w:numPr>
          <w:ilvl w:val="0"/>
          <w:numId w:val="2"/>
        </w:numPr>
        <w:spacing w:after="70" w:line="260"/>
      </w:pPr>
      <w:r>
        <w:rPr>
          <w:rFonts w:ascii="Calibri" w:cs="Calibri" w:eastAsia="Calibri" w:hAnsi="Calibri"/>
          <w:color w:val="1B2A41"/>
          <w:sz w:val="21"/>
          <w:szCs w:val="21"/>
        </w:rPr>
        <w:t xml:space="preserve">AMD Vitis Getting Started documentation for VEK280</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B7F"/>
        <w:sz w:val="17"/>
        <w:szCs w:val="17"/>
      </w:rPr>
      <w:t xml:space="preserve">VEK280 YOLOv7 Technical Report</w:t>
    </w:r>
    <w:r>
      <w:rPr>
        <w:rFonts w:ascii="Calibri" w:cs="Calibri" w:eastAsia="Calibri" w:hAnsi="Calibri"/>
        <w:color w:val="5B6B7F"/>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8c11a4f8c3893784469b87dd19db5f287975c6a.png"/><Relationship Id="rId9" Type="http://schemas.openxmlformats.org/officeDocument/2006/relationships/image" Target="media/c9728ea5058ab4a06cd3eeff7de6d7c59534e0aa.png"/><Relationship Id="rId10" Type="http://schemas.openxmlformats.org/officeDocument/2006/relationships/image" Target="media/d57be69e819feb13c1c2d20f9608e331808d7375.png"/><Relationship Id="rId11" Type="http://schemas.openxmlformats.org/officeDocument/2006/relationships/image" Target="media/4aacb29cbf34b578b94c821f62b338e781d00d36.png"/><Relationship Id="rId12" Type="http://schemas.openxmlformats.org/officeDocument/2006/relationships/image" Target="media/2792452acb2f94fb64d34cbb3110bfbba5802939.png"/><Relationship Id="rId13" Type="http://schemas.openxmlformats.org/officeDocument/2006/relationships/image" Target="media/50ae64a1292de11c034d74b49aa839cf904eeaf8.png"/><Relationship Id="rId14" Type="http://schemas.openxmlformats.org/officeDocument/2006/relationships/image" Target="media/bc2389cfd39535acd4367dcb25a5400d4430b83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2026-10-07T06:42:15.267Z</dcterms:created>
  <dcterms:modified xsi:type="dcterms:W3CDTF">2026-10-07T06:42:15.271Z</dcterms:modified>
</cp:coreProperties>
</file>

<file path=docProps/custom.xml><?xml version="1.0" encoding="utf-8"?>
<Properties xmlns="http://schemas.openxmlformats.org/officeDocument/2006/custom-properties" xmlns:vt="http://schemas.openxmlformats.org/officeDocument/2006/docPropsVTypes"/>
</file>