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fldChar w:fldCharType="begin"/>
      </w:r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instrText xml:space="preserve"> HYPERLINK "https://gobyexample.com/" </w:instrText>
      </w:r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fldChar w:fldCharType="separate"/>
      </w:r>
      <w:r w:rsidRPr="007550BC">
        <w:rPr>
          <w:rFonts w:ascii="Georgia" w:eastAsia="Times New Roman" w:hAnsi="Georgia" w:cs="Times New Roman"/>
          <w:b/>
          <w:bCs/>
          <w:color w:val="261A3B"/>
          <w:sz w:val="48"/>
          <w:szCs w:val="48"/>
          <w:u w:val="single"/>
          <w:bdr w:val="none" w:sz="0" w:space="0" w:color="auto" w:frame="1"/>
        </w:rPr>
        <w:t>Go by Example</w:t>
      </w:r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fldChar w:fldCharType="end"/>
      </w:r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Channels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4"/>
        <w:gridCol w:w="5626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Channels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are the pipes that connect concurrent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. You can send values into channels from one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and receive those values into another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2" name="Picture 2" descr="https://gobyexample.com/play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obyexample.com/play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" name="Picture 1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Create a new channel with </w:t>
            </w:r>
            <w:proofErr w:type="gram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make(</w:t>
            </w:r>
            <w:proofErr w:type="spellStart"/>
            <w:proofErr w:type="gram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val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-type)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Channels are typed by the values they convey.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Send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 value into a channel using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channel &lt;-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syntax. Here we send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"ping"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to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channel we made above, from a new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"ping"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&lt;-channel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syntax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receives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 value from the channel. Here we’ll receive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"ping"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message we sent above and print it out.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5"/>
        <w:gridCol w:w="5645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When we run the program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"ping"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message is successfully passed from one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to another via our channel.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channels.go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ping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By default sends and receives block until both the sender and receiver are ready. This property allowed us to wait at the end of our program for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"ping"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message without having to use any other synchronization.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7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Channel Buffering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</w:p>
    <w:p w:rsid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</w:p>
    <w:p w:rsid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</w:p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8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Channel Buffering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6"/>
        <w:gridCol w:w="5754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By default channels are </w:t>
            </w:r>
            <w:proofErr w:type="spellStart"/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unbuffered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, meaning that they will only accept sends 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 xml:space="preserve"> &lt;-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) if there is a corresponding receive (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 xml:space="preserve">&lt;-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) ready to receive the sent value.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Buffered channels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accept a limited number of values without a corresponding receiver for those values.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4" name="Picture 4" descr="https://gobyexample.com/play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obyexample.com/play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" name="Picture 3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Here we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 channel of strings buffering up to 2 values.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Because this channel is buffered, we can send these values into the channel without a corresponding concurrent receive.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"buffered"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"channel"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Later we can receive these two values as usual.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5921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channel-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buffering.go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buffered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channel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10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Channel Synchronization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 w:hint="cs"/>
          <w:color w:val="252519"/>
          <w:sz w:val="24"/>
          <w:szCs w:val="24"/>
          <w:rtl/>
        </w:rPr>
      </w:pPr>
    </w:p>
    <w:p w:rsidR="007550BC" w:rsidRDefault="007550BC">
      <w:pPr>
        <w:rPr>
          <w:rtl/>
        </w:rPr>
      </w:pPr>
    </w:p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11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Channel Synchronization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7"/>
        <w:gridCol w:w="5863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We can use channels to synchronize execution across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. Here’s an example of using a blocking receive to wait for a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to finish. When waiting for multiple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to finish, you may prefer to use a 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begin"/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instrText xml:space="preserve"> HYPERLINK "https://gobyexample.com/waitgroups" </w:instrTex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separate"/>
            </w:r>
            <w:r w:rsidRPr="007550BC">
              <w:rPr>
                <w:rFonts w:ascii="Georgia" w:eastAsia="Times New Roman" w:hAnsi="Georgia" w:cs="Times New Roman"/>
                <w:color w:val="261A3B"/>
                <w:sz w:val="24"/>
                <w:szCs w:val="24"/>
                <w:u w:val="single"/>
                <w:bdr w:val="none" w:sz="0" w:space="0" w:color="auto" w:frame="1"/>
              </w:rPr>
              <w:t>WaitGroup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end"/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6" name="Picture 6" descr="https://gobyexample.com/play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obyexample.com/play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5" name="Picture 5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This is the function we’ll run in a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channel will be used to notify another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that this function’s work is done.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worker(done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bool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"working..."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"done"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Send a value to notify that we’re done.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true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Start a worker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, giving it the channel to notify on.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bool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worker(done)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Block until we receive a notification from the worker on the channel.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  <w:gridCol w:w="5806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channel-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synchronization.go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 xml:space="preserve">working...done                  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If you removed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&lt;- done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line from this program, the program would exit before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worker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even started.</w:t>
            </w:r>
          </w:p>
        </w:tc>
        <w:tc>
          <w:tcPr>
            <w:tcW w:w="0" w:type="auto"/>
            <w:vAlign w:val="center"/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13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Channel Directions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703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When using channels as function parameters, you can specify if a channel is meant to only send or receive values. This specificity increases the type-safety of the program.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8" name="Picture 8" descr="https://gobyexample.com/play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gobyexample.com/play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7" name="Picture 7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This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ping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function only accepts a channel for sending values. It would be a compile-time error to try to receive on this channel.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ping(pings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pings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function accepts one channel for receives (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pings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) and a second for sends (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).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pong(pings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pings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pings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ping(pings,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"passed message"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pong(pings,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pongs)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lastRenderedPageBreak/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5"/>
        <w:gridCol w:w="5935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channel-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directions.go</w:t>
            </w:r>
            <w:proofErr w:type="spellEnd"/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passed message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15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Select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16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Select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6"/>
        <w:gridCol w:w="5884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Go’s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lets you wait on multiple channel operations. Combining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and channels with select is a powerful feature of Go.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10" name="Picture 10" descr="https://gobyexample.com/play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gobyexample.com/play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9" name="Picture 9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For our example we’ll select across two channels.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Each channel will receive a value after some amount of time, to simulate e.g. blocking RPC operations executing in concurrent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"one"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"two"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We’ll use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to await both of these values simultaneously, printing each one as it arrives.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0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&lt;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++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c1: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"received"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msg1)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c2: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"received"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msg2)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9"/>
        <w:gridCol w:w="5571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lastRenderedPageBreak/>
              <w:t>We receive the values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"one"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and then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"two"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as expected.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time go run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select.go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received 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received two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Note that the total execution time is only ~2 seconds since both the 1 and 2 second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Sleeps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execute concurrently.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real    0m2.245s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18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Timeouts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19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Timeouts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3"/>
        <w:gridCol w:w="5677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Timeouts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are important for programs that connect to external resources or that otherwise need to bound execution time. Implementing timeouts in Go is easy and elegant thanks to channels and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12" name="Picture 12" descr="https://gobyexample.com/play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gobyexample.com/play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1" name="Picture 11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For our example, suppose we’re executing an external call that returns its result on a channel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c1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after 2s. Note that the channel is buffered, so the send in the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is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nonblocking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. This is a common pattern to prevent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leaks in case the channel is never read.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"result 1"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Here’s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implementing a timeout. </w:t>
            </w:r>
            <w:proofErr w:type="gram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</w:t>
            </w:r>
            <w:proofErr w:type="gram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 xml:space="preserve"> := &lt;-c1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awaits the result and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&lt;-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time.After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awaits a value to be sent after the timeout of 1s. Since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proceeds with the first receive that’s ready, we’ll take the timeout case if the operation takes more than the allowed 1s.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c1: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(res)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time.After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"timeout 1"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If we allow a longer timeout of 3s, then </w:t>
            </w:r>
            <w:proofErr w:type="spellStart"/>
            <w:proofErr w:type="gram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receive</w:t>
            </w:r>
            <w:proofErr w:type="gram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from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c2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will succeed and we’ll print the result.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"result 2"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lastRenderedPageBreak/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c2: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(res)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time.After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3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"timeout 2"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8"/>
        <w:gridCol w:w="5762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Running this program shows the first operation timing out and the second succeeding.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timeouts.go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timeout 1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result 2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21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Non-Blocking Channel Operations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22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Non-Blocking Channel Operations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3"/>
        <w:gridCol w:w="5627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Basic sends and receives on channels are blocking. However, we can use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with a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default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clause to implement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non-blocking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sends, receives, and even non-blocking multi-way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14" name="Picture 14" descr="https://gobyexample.com/play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gobyexample.com/play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3" name="Picture 13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signals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bool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Here’s a non-blocking receive. If a value is available on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then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will take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&lt;-messages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with that value. If not it will immediately take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default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case.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"received message"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default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"no message received"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A non-blocking send works similarly. Here 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cannot be sent to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channel, because the channel has no buffer and there is no receiver. Therefore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default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case is selected.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"hi"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"sent message"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default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"no message sent"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lastRenderedPageBreak/>
              <w:t>We can use multiple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s above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default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clause to implement a multi-way non-blocking select. Here we attempt non-blocking receives on both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and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signals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messages: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"received message"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msg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sig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signals: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"received signal"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sig)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default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"no activity"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5"/>
        <w:gridCol w:w="5935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non-blocking-channel-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operations.go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no message received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no message sent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no activity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24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Closing Channels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25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Closing Channels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6"/>
        <w:gridCol w:w="5594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Closing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 channel indicates that no more values will be sent on it. This can be useful to communicate completion to the channel’s receivers.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16" name="Picture 16" descr="https://gobyexample.com/play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gobyexample.com/play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5" name="Picture 15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In this example we’ll use a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channel to communicate work to be done from the </w:t>
            </w:r>
            <w:proofErr w:type="gram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</w:t>
            </w:r>
            <w:proofErr w:type="gram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to a worker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When we have no more jobs for the worker we’ll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close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channel.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5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bool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Here’s the worker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It repeatedly receives from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with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 xml:space="preserve">j, </w:t>
            </w:r>
            <w:proofErr w:type="gram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more :=</w:t>
            </w:r>
            <w:proofErr w:type="gram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 xml:space="preserve"> &lt;-jobs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In this special 2-value form of receive,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more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value will be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false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if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has been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close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d and all values in the channel have already been received. We use this to notify on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when we’ve worked all our jobs.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more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if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more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"received job"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else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"received all jobs"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true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return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lastRenderedPageBreak/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lastRenderedPageBreak/>
              <w:t>This sends 3 jobs to the worker over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channel, then closes it.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3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++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"sent job"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close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(jobs)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"sent all jobs"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We await the worker using the </w:t>
            </w:r>
            <w:hyperlink r:id="rId27" w:history="1">
              <w:r w:rsidRPr="007550BC">
                <w:rPr>
                  <w:rFonts w:ascii="Georgia" w:eastAsia="Times New Roman" w:hAnsi="Georgia" w:cs="Times New Roman"/>
                  <w:color w:val="261A3B"/>
                  <w:sz w:val="24"/>
                  <w:szCs w:val="24"/>
                  <w:u w:val="single"/>
                  <w:bdr w:val="none" w:sz="0" w:space="0" w:color="auto" w:frame="1"/>
                </w:rPr>
                <w:t>synchronization</w:t>
              </w:r>
            </w:hyperlink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approach we saw earlier.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5633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closing-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channels.go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sent job 1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received job 1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sent job 2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received job 2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sent job 3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received job 3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sent all jobs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received all jobs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The idea of closed channels leads naturally to our next example: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range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over channels.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28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Range over Channels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29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Range over Channels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1"/>
        <w:gridCol w:w="5599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In a </w:t>
            </w:r>
            <w:hyperlink r:id="rId30" w:history="1">
              <w:r w:rsidRPr="007550BC">
                <w:rPr>
                  <w:rFonts w:ascii="Georgia" w:eastAsia="Times New Roman" w:hAnsi="Georgia" w:cs="Times New Roman"/>
                  <w:color w:val="261A3B"/>
                  <w:sz w:val="24"/>
                  <w:szCs w:val="24"/>
                  <w:u w:val="single"/>
                  <w:bdr w:val="none" w:sz="0" w:space="0" w:color="auto" w:frame="1"/>
                </w:rPr>
                <w:t>previous</w:t>
              </w:r>
            </w:hyperlink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example we saw how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and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range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provide iteration over basic data structures. We can also use this syntax to iterate over values received from a channel.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18" name="Picture 18" descr="https://gobyexample.com/play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gobyexample.com/play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7" name="Picture 17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We’ll iterate over 2 values in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queue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channel.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queue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string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queue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"one"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queue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"two"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close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(queue)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lastRenderedPageBreak/>
              <w:t>This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range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iterates over each element as it’s received from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queue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Because we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close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d the channel above, the iteration terminates after receiving the 2 elements.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elem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range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queue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elem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0"/>
        <w:gridCol w:w="5780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range-over-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channels.go</w:t>
            </w:r>
            <w:proofErr w:type="spellEnd"/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two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This example also showed that it’s possible to close a non-empty channel but still have the remaining values be received.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32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Timers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33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Timers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761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We often want to execute Go code at some point in the future, or repeatedly at some interval. Go’s built-in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timer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and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ticker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features make both of these tasks easy. We’ll look first at timers and then at </w:t>
            </w:r>
            <w:hyperlink r:id="rId34" w:history="1">
              <w:r w:rsidRPr="007550BC">
                <w:rPr>
                  <w:rFonts w:ascii="Georgia" w:eastAsia="Times New Roman" w:hAnsi="Georgia" w:cs="Times New Roman"/>
                  <w:color w:val="261A3B"/>
                  <w:sz w:val="24"/>
                  <w:szCs w:val="24"/>
                  <w:u w:val="single"/>
                  <w:bdr w:val="none" w:sz="0" w:space="0" w:color="auto" w:frame="1"/>
                </w:rPr>
                <w:t>tickers</w:t>
              </w:r>
            </w:hyperlink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20" name="Picture 20" descr="https://gobyexample.com/play.pn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gobyexample.com/play.pn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9" name="Picture 19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Timers represent a single event in the future. You tell the timer how long you want to wait, and it provides a channel that will be notified at that time. This timer will wait 2 seconds.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timer1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time.NewTimer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&lt;-timer1.C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blocks on the timer’s channel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until it sends a value indicating that the timer fired.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timer1.C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"Timer 1 fired"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If you just wanted to wait, you could have used 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One reason a timer may be useful is that you can cancel the timer before it fires. Here’s an example of that.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timer2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time.NewTimer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timer2.C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"Timer 2 fired"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stop2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timer2.Stop()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lastRenderedPageBreak/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if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stop2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"Timer 2 stopped"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lastRenderedPageBreak/>
              <w:t>Give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timer2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enough time to fire, if it ever was going to, to show it is in fact stopped.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5767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The first timer will fire ~2s after we start the program, but the second should be stopped before it has a chance to fire.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timers.go</w:t>
            </w:r>
            <w:proofErr w:type="spellEnd"/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Timer 1 fired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Timer 2 stopped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36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Tickers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37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Tickers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5790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hyperlink r:id="rId38" w:history="1">
              <w:r w:rsidRPr="007550BC">
                <w:rPr>
                  <w:rFonts w:ascii="Georgia" w:eastAsia="Times New Roman" w:hAnsi="Georgia" w:cs="Times New Roman"/>
                  <w:color w:val="261A3B"/>
                  <w:sz w:val="24"/>
                  <w:szCs w:val="24"/>
                  <w:u w:val="single"/>
                  <w:bdr w:val="none" w:sz="0" w:space="0" w:color="auto" w:frame="1"/>
                </w:rPr>
                <w:t>Timers</w:t>
              </w:r>
            </w:hyperlink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are for when you want to do something once in the future -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tickers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are for when you want to do something repeatedly at regular intervals. Here’s an example of a ticker that ticks periodically until we stop it.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22" name="Picture 22" descr="https://gobyexample.com/play.pn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gobyexample.com/play.pn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1" name="Picture 21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Tickers use a similar mechanism to timers: a channel that is sent values. Here we’ll use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builtin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on the channel to await the values as they arrive every 500ms.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ticker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time.NewTicker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500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time.Millisecond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bool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select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return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case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ticker.C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: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"Tick at"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lastRenderedPageBreak/>
              <w:t>Tickers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can be stopped like timers. Once a ticker is stopped it won’t receive any more values on its channel. We’ll stop ours after 1600ms.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1600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time.Millisecond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ticker.Stop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done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true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"Ticker stopped"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  <w:gridCol w:w="5858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When we run this program the ticker should tick 3 times before we stop it.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tickers.go</w:t>
            </w:r>
            <w:proofErr w:type="spellEnd"/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Tick at 2012-09-23 11:29:56.487625 -0700 PDT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Tick at 2012-09-23 11:29:56.988063 -0700 PDT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Tick at 2012-09-23 11:29:57.488076 -0700 PDT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Ticker stopped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40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Worker Pools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41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: Worker Pools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7"/>
        <w:gridCol w:w="5873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In this example we’ll look at how to implement a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worker pool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using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and channels.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24" name="Picture 24" descr="https://gobyexample.com/play.pn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gobyexample.com/play.pn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3" name="Picture 23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Here’s the worker, of which we’ll run several concurrent instances. These workers will receive work on the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channel and send the corresponding results on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results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 We’ll sleep a second per job to simulate an expensive task.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worker(id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results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range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"worker"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id,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"started  job"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fmt.Println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"worker"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id,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"finished job"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results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*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2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In order to use our pool of workers we need to send them work and collect their results. We make 2 channels for this.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numJobs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5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numJobs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results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make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chan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numJobs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lastRenderedPageBreak/>
              <w:t>This starts up 3 workers, initially blocked because there are no jobs yet.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3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++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worker(w,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results)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Here we send 5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and then 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close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that channel to indicate that’s all the work we have.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numJobs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++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jobs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j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close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(jobs)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Finally we collect all the results of the work. This also ensures that the worker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have finished. An alternative way to wait for multiple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is to use a 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begin"/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instrText xml:space="preserve"> HYPERLINK "https://gobyexample.com/waitgroups" </w:instrTex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separate"/>
            </w:r>
            <w:r w:rsidRPr="007550BC">
              <w:rPr>
                <w:rFonts w:ascii="Georgia" w:eastAsia="Times New Roman" w:hAnsi="Georgia" w:cs="Times New Roman"/>
                <w:color w:val="261A3B"/>
                <w:sz w:val="24"/>
                <w:szCs w:val="24"/>
                <w:u w:val="single"/>
                <w:bdr w:val="none" w:sz="0" w:space="0" w:color="auto" w:frame="1"/>
              </w:rPr>
              <w:t>WaitGroup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end"/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a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a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numJobs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a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++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&lt;-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results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5698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Our running program shows the 5 jobs being executed by various workers. The program only takes about 2 seconds despite doing about 5 seconds of total work because there are 3 workers operating concurrently.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time go run worker-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pools.go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1 started  job 1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2 started  job 2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3 started  job 3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1 finished job 1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1 started  job 4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2 finished job 2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2 started  job 5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3 finished job 3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1 finished job 4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2 finished job 5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Consolas" w:eastAsia="Times New Roman" w:hAnsi="Consolas" w:cs="Times New Roman"/>
                <w:color w:val="252519"/>
                <w:sz w:val="21"/>
                <w:szCs w:val="21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real    0m2.358s</w:t>
            </w: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proofErr w:type="spellStart"/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fldChar w:fldCharType="begin"/>
      </w: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instrText xml:space="preserve"> HYPERLINK "https://gobyexample.com/waitgroups" </w:instrText>
      </w: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fldChar w:fldCharType="separate"/>
      </w:r>
      <w:r w:rsidRPr="007550BC">
        <w:rPr>
          <w:rFonts w:ascii="Georgia" w:eastAsia="Times New Roman" w:hAnsi="Georgia" w:cs="Times New Roman"/>
          <w:color w:val="261A3B"/>
          <w:sz w:val="24"/>
          <w:szCs w:val="24"/>
          <w:u w:val="single"/>
          <w:bdr w:val="none" w:sz="0" w:space="0" w:color="auto" w:frame="1"/>
        </w:rPr>
        <w:t>WaitGroups</w:t>
      </w:r>
      <w:proofErr w:type="spellEnd"/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fldChar w:fldCharType="end"/>
      </w: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/>
    <w:p w:rsidR="007550BC" w:rsidRPr="007550BC" w:rsidRDefault="007550BC" w:rsidP="007550BC">
      <w:pPr>
        <w:spacing w:after="0" w:line="60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</w:pPr>
      <w:hyperlink r:id="rId43" w:history="1">
        <w:r w:rsidRPr="007550BC">
          <w:rPr>
            <w:rFonts w:ascii="Georgia" w:eastAsia="Times New Roman" w:hAnsi="Georgia" w:cs="Times New Roman"/>
            <w:b/>
            <w:bCs/>
            <w:color w:val="261A3B"/>
            <w:sz w:val="48"/>
            <w:szCs w:val="48"/>
            <w:u w:val="single"/>
            <w:bdr w:val="none" w:sz="0" w:space="0" w:color="auto" w:frame="1"/>
          </w:rPr>
          <w:t>Go by Example</w:t>
        </w:r>
      </w:hyperlink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 xml:space="preserve">: </w:t>
      </w:r>
      <w:proofErr w:type="spellStart"/>
      <w:r w:rsidRPr="007550BC">
        <w:rPr>
          <w:rFonts w:ascii="Georgia" w:eastAsia="Times New Roman" w:hAnsi="Georgia" w:cs="Times New Roman"/>
          <w:b/>
          <w:bCs/>
          <w:color w:val="252519"/>
          <w:sz w:val="48"/>
          <w:szCs w:val="48"/>
        </w:rPr>
        <w:t>WaitGroups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3"/>
        <w:gridCol w:w="5887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To wait for multiple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to finish, we can use a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wait group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noProof/>
                <w:color w:val="261A3B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56210" cy="144780"/>
                  <wp:effectExtent l="0" t="0" r="0" b="7620"/>
                  <wp:docPr id="26" name="Picture 26" descr="https://gobyexample.com/play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gobyexample.com/play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50BC">
              <w:rPr>
                <w:rFonts w:ascii="Georgia" w:eastAsia="Times New Roman" w:hAnsi="Georgia" w:cs="Times New Roman"/>
                <w:noProof/>
                <w:color w:val="252519"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5" name="Picture 25" descr="https://gobyexample.com/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gobyexample.com/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package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import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fmt</w:t>
            </w:r>
            <w:proofErr w:type="spellEnd"/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"sync"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"time"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This is the function we’ll run in every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worker(id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B0004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fmt.Printf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"Worker %d starting\n"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id)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Sleep to simulate an expensive task.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time.Sleep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time.Second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fmt.Printf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219161"/>
                <w:sz w:val="21"/>
                <w:szCs w:val="21"/>
                <w:bdr w:val="none" w:sz="0" w:space="0" w:color="auto" w:frame="1"/>
              </w:rPr>
              <w:t>"Worker %d done\n"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,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id)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main()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This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WaitGroup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is used to wait for all the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launched here to finish. Note: if a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WaitGroup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is explicitly passed into functions, it should be done </w:t>
            </w:r>
            <w:r w:rsidRPr="007550BC">
              <w:rPr>
                <w:rFonts w:ascii="inherit" w:eastAsia="Times New Roman" w:hAnsi="inherit" w:cs="Times New Roman"/>
                <w:i/>
                <w:iCs/>
                <w:color w:val="252519"/>
                <w:sz w:val="24"/>
                <w:szCs w:val="24"/>
                <w:bdr w:val="none" w:sz="0" w:space="0" w:color="auto" w:frame="1"/>
              </w:rPr>
              <w:t>by pointer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var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wg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sync.WaitGroup</w:t>
            </w:r>
            <w:proofErr w:type="spellEnd"/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Launch several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goroutines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and increment the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WaitGroup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counter for each.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for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&lt;=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5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;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++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wg.Add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1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Avoid re-use of the same 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 value in each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goroutine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closure. See </w:t>
            </w:r>
            <w:hyperlink r:id="rId45" w:anchor="closures_and_goroutines" w:history="1">
              <w:r w:rsidRPr="007550BC">
                <w:rPr>
                  <w:rFonts w:ascii="Georgia" w:eastAsia="Times New Roman" w:hAnsi="Georgia" w:cs="Times New Roman"/>
                  <w:color w:val="261A3B"/>
                  <w:sz w:val="24"/>
                  <w:szCs w:val="24"/>
                  <w:u w:val="single"/>
                  <w:bdr w:val="none" w:sz="0" w:space="0" w:color="auto" w:frame="1"/>
                </w:rPr>
                <w:t>the FAQ</w:t>
              </w:r>
            </w:hyperlink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 for more details.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666666"/>
                <w:sz w:val="21"/>
                <w:szCs w:val="21"/>
                <w:bdr w:val="none" w:sz="0" w:space="0" w:color="auto" w:frame="1"/>
              </w:rPr>
              <w:t>:=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Wrap the worker call in a closure that makes sure to tell the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WaitGroup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that this worker is done. This way the worker itself does not have to be aware of the concurrency primitives involved in its execution.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go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func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{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954121"/>
                <w:sz w:val="21"/>
                <w:szCs w:val="21"/>
                <w:bdr w:val="none" w:sz="0" w:space="0" w:color="auto" w:frame="1"/>
              </w:rPr>
              <w:t>defer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wg.Done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worker(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}()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Block until the 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WaitGroup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 xml:space="preserve"> counter goes back to 0; all the workers notified they’re done.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  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wg.Wait</w:t>
            </w:r>
            <w:proofErr w:type="spellEnd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()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Note that this approach has no straightforward way to propagate errors from workers. For more advanced use cases, consider using the </w:t>
            </w:r>
            <w:proofErr w:type="spellStart"/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begin"/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instrText xml:space="preserve"> HYPERLINK "https://pkg.go.dev/golang.org/x/sync/errgroup" </w:instrTex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separate"/>
            </w:r>
            <w:r w:rsidRPr="007550BC">
              <w:rPr>
                <w:rFonts w:ascii="Georgia" w:eastAsia="Times New Roman" w:hAnsi="Georgia" w:cs="Times New Roman"/>
                <w:color w:val="261A3B"/>
                <w:sz w:val="24"/>
                <w:szCs w:val="24"/>
                <w:u w:val="single"/>
                <w:bdr w:val="none" w:sz="0" w:space="0" w:color="auto" w:frame="1"/>
              </w:rPr>
              <w:t>errgroup</w:t>
            </w:r>
            <w:proofErr w:type="spellEnd"/>
            <w:r w:rsidRPr="007550BC">
              <w:rPr>
                <w:rFonts w:ascii="Georgia" w:eastAsia="Times New Roman" w:hAnsi="Georgia" w:cs="Times New Roman"/>
                <w:color w:val="261A3B"/>
                <w:sz w:val="24"/>
                <w:szCs w:val="24"/>
                <w:u w:val="single"/>
                <w:bdr w:val="none" w:sz="0" w:space="0" w:color="auto" w:frame="1"/>
              </w:rPr>
              <w:t xml:space="preserve"> package</w:t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fldChar w:fldCharType="end"/>
            </w: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  <w:bdr w:val="none" w:sz="0" w:space="0" w:color="auto" w:frame="1"/>
              </w:rPr>
              <w:t>}</w:t>
            </w:r>
          </w:p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4"/>
        <w:gridCol w:w="5796"/>
      </w:tblGrid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5" w:type="dxa"/>
              <w:left w:w="75" w:type="dxa"/>
              <w:bottom w:w="165" w:type="dxa"/>
              <w:right w:w="75" w:type="dxa"/>
            </w:tcMar>
            <w:hideMark/>
          </w:tcPr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inherit" w:eastAsia="Times New Roman" w:hAnsi="inherit" w:cs="Courier New"/>
                <w:b/>
                <w:bCs/>
                <w:color w:val="000080"/>
                <w:sz w:val="21"/>
                <w:szCs w:val="21"/>
                <w:bdr w:val="none" w:sz="0" w:space="0" w:color="auto" w:frame="1"/>
              </w:rPr>
              <w:t>$</w:t>
            </w:r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 xml:space="preserve"> go run </w:t>
            </w:r>
            <w:proofErr w:type="spellStart"/>
            <w:r w:rsidRPr="007550BC"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  <w:t>waitgroups.go</w:t>
            </w:r>
            <w:proofErr w:type="spellEnd"/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5 starting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3 starting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4 starting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1 starting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2 starting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4 done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1 done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2 done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5 done</w:t>
            </w:r>
          </w:p>
          <w:p w:rsidR="007550BC" w:rsidRPr="007550BC" w:rsidRDefault="007550BC" w:rsidP="007550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nsolas" w:eastAsia="Times New Roman" w:hAnsi="Consolas" w:cs="Courier New"/>
                <w:color w:val="252519"/>
                <w:sz w:val="21"/>
                <w:szCs w:val="21"/>
              </w:rPr>
            </w:pPr>
            <w:r w:rsidRPr="007550BC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</w:rPr>
              <w:t>Worker 3 done</w:t>
            </w:r>
          </w:p>
        </w:tc>
      </w:tr>
      <w:tr w:rsidR="007550BC" w:rsidRPr="007550BC" w:rsidTr="007550BC"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50BC" w:rsidRPr="007550BC" w:rsidRDefault="007550BC" w:rsidP="007550BC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  <w:r w:rsidRPr="007550BC"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  <w:t>The order of workers starting up and finishing is likely to be different for each invocation.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50BC" w:rsidRPr="007550BC" w:rsidRDefault="007550BC" w:rsidP="007550BC">
            <w:pPr>
              <w:spacing w:after="0" w:line="240" w:lineRule="auto"/>
              <w:rPr>
                <w:rFonts w:ascii="Georgia" w:eastAsia="Times New Roman" w:hAnsi="Georgia" w:cs="Times New Roman"/>
                <w:color w:val="252519"/>
                <w:sz w:val="24"/>
                <w:szCs w:val="24"/>
              </w:rPr>
            </w:pPr>
          </w:p>
        </w:tc>
      </w:tr>
    </w:tbl>
    <w:p w:rsidR="007550BC" w:rsidRPr="007550BC" w:rsidRDefault="007550BC" w:rsidP="00755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252519"/>
          <w:sz w:val="24"/>
          <w:szCs w:val="24"/>
        </w:rPr>
      </w:pPr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Next example: </w:t>
      </w:r>
      <w:hyperlink r:id="rId46" w:history="1">
        <w:r w:rsidRPr="007550BC">
          <w:rPr>
            <w:rFonts w:ascii="Georgia" w:eastAsia="Times New Roman" w:hAnsi="Georgia" w:cs="Times New Roman"/>
            <w:color w:val="261A3B"/>
            <w:sz w:val="24"/>
            <w:szCs w:val="24"/>
            <w:u w:val="single"/>
            <w:bdr w:val="none" w:sz="0" w:space="0" w:color="auto" w:frame="1"/>
          </w:rPr>
          <w:t>Rate Limiting</w:t>
        </w:r>
      </w:hyperlink>
      <w:r w:rsidRPr="007550BC">
        <w:rPr>
          <w:rFonts w:ascii="Georgia" w:eastAsia="Times New Roman" w:hAnsi="Georgia" w:cs="Times New Roman"/>
          <w:color w:val="252519"/>
          <w:sz w:val="24"/>
          <w:szCs w:val="24"/>
        </w:rPr>
        <w:t>.</w:t>
      </w:r>
    </w:p>
    <w:p w:rsidR="007550BC" w:rsidRDefault="007550BC">
      <w:bookmarkStart w:id="0" w:name="_GoBack"/>
      <w:bookmarkEnd w:id="0"/>
    </w:p>
    <w:sectPr w:rsidR="007550BC" w:rsidSect="00755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BC"/>
    <w:rsid w:val="00357A2D"/>
    <w:rsid w:val="005D4B01"/>
    <w:rsid w:val="006E6C99"/>
    <w:rsid w:val="0075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1F98"/>
  <w15:chartTrackingRefBased/>
  <w15:docId w15:val="{949D28E0-60BF-4A82-801E-31C8DFBF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0B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550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50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0B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550BC"/>
  </w:style>
  <w:style w:type="character" w:customStyle="1" w:styleId="nx">
    <w:name w:val="nx"/>
    <w:basedOn w:val="DefaultParagraphFont"/>
    <w:rsid w:val="007550BC"/>
  </w:style>
  <w:style w:type="character" w:customStyle="1" w:styleId="s">
    <w:name w:val="s"/>
    <w:basedOn w:val="DefaultParagraphFont"/>
    <w:rsid w:val="007550BC"/>
  </w:style>
  <w:style w:type="character" w:customStyle="1" w:styleId="kd">
    <w:name w:val="kd"/>
    <w:basedOn w:val="DefaultParagraphFont"/>
    <w:rsid w:val="007550BC"/>
  </w:style>
  <w:style w:type="character" w:customStyle="1" w:styleId="nf">
    <w:name w:val="nf"/>
    <w:basedOn w:val="DefaultParagraphFont"/>
    <w:rsid w:val="007550BC"/>
  </w:style>
  <w:style w:type="character" w:customStyle="1" w:styleId="p">
    <w:name w:val="p"/>
    <w:basedOn w:val="DefaultParagraphFont"/>
    <w:rsid w:val="007550BC"/>
  </w:style>
  <w:style w:type="character" w:styleId="HTMLCode">
    <w:name w:val="HTML Code"/>
    <w:basedOn w:val="DefaultParagraphFont"/>
    <w:uiPriority w:val="99"/>
    <w:semiHidden/>
    <w:unhideWhenUsed/>
    <w:rsid w:val="007550BC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550BC"/>
  </w:style>
  <w:style w:type="character" w:customStyle="1" w:styleId="nb">
    <w:name w:val="nb"/>
    <w:basedOn w:val="DefaultParagraphFont"/>
    <w:rsid w:val="007550BC"/>
  </w:style>
  <w:style w:type="character" w:customStyle="1" w:styleId="kt">
    <w:name w:val="kt"/>
    <w:basedOn w:val="DefaultParagraphFont"/>
    <w:rsid w:val="007550BC"/>
  </w:style>
  <w:style w:type="character" w:customStyle="1" w:styleId="k">
    <w:name w:val="k"/>
    <w:basedOn w:val="DefaultParagraphFont"/>
    <w:rsid w:val="007550BC"/>
  </w:style>
  <w:style w:type="character" w:customStyle="1" w:styleId="gp">
    <w:name w:val="gp"/>
    <w:basedOn w:val="DefaultParagraphFont"/>
    <w:rsid w:val="007550BC"/>
  </w:style>
  <w:style w:type="character" w:customStyle="1" w:styleId="go">
    <w:name w:val="go"/>
    <w:basedOn w:val="DefaultParagraphFont"/>
    <w:rsid w:val="007550BC"/>
  </w:style>
  <w:style w:type="paragraph" w:customStyle="1" w:styleId="next">
    <w:name w:val="next"/>
    <w:basedOn w:val="Normal"/>
    <w:rsid w:val="0075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550BC"/>
  </w:style>
  <w:style w:type="character" w:customStyle="1" w:styleId="kc">
    <w:name w:val="kc"/>
    <w:basedOn w:val="DefaultParagraphFont"/>
    <w:rsid w:val="0075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byexample.com/" TargetMode="External"/><Relationship Id="rId18" Type="http://schemas.openxmlformats.org/officeDocument/2006/relationships/hyperlink" Target="https://gobyexample.com/timeouts" TargetMode="External"/><Relationship Id="rId26" Type="http://schemas.openxmlformats.org/officeDocument/2006/relationships/hyperlink" Target="https://go.dev/play/p/vCvRjcMq7p3" TargetMode="External"/><Relationship Id="rId39" Type="http://schemas.openxmlformats.org/officeDocument/2006/relationships/hyperlink" Target="https://go.dev/play/p/gs6zoJP-Pl9" TargetMode="External"/><Relationship Id="rId21" Type="http://schemas.openxmlformats.org/officeDocument/2006/relationships/hyperlink" Target="https://gobyexample.com/non-blocking-channel-operations" TargetMode="External"/><Relationship Id="rId34" Type="http://schemas.openxmlformats.org/officeDocument/2006/relationships/hyperlink" Target="https://gobyexample.com/tickers" TargetMode="External"/><Relationship Id="rId42" Type="http://schemas.openxmlformats.org/officeDocument/2006/relationships/hyperlink" Target="https://go.dev/play/p/hiSJJsYZJK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obyexample.com/channel-buffe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byexample.com/" TargetMode="External"/><Relationship Id="rId29" Type="http://schemas.openxmlformats.org/officeDocument/2006/relationships/hyperlink" Target="https://gobyexample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obyexample.com/" TargetMode="External"/><Relationship Id="rId24" Type="http://schemas.openxmlformats.org/officeDocument/2006/relationships/hyperlink" Target="https://gobyexample.com/closing-channels" TargetMode="External"/><Relationship Id="rId32" Type="http://schemas.openxmlformats.org/officeDocument/2006/relationships/hyperlink" Target="https://gobyexample.com/timers" TargetMode="External"/><Relationship Id="rId37" Type="http://schemas.openxmlformats.org/officeDocument/2006/relationships/hyperlink" Target="https://gobyexample.com/" TargetMode="External"/><Relationship Id="rId40" Type="http://schemas.openxmlformats.org/officeDocument/2006/relationships/hyperlink" Target="https://gobyexample.com/worker-pools" TargetMode="External"/><Relationship Id="rId45" Type="http://schemas.openxmlformats.org/officeDocument/2006/relationships/hyperlink" Target="https://golang.org/doc/faq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obyexample.com/select" TargetMode="External"/><Relationship Id="rId23" Type="http://schemas.openxmlformats.org/officeDocument/2006/relationships/hyperlink" Target="https://go.dev/play/p/TFv6-7OVNVq" TargetMode="External"/><Relationship Id="rId28" Type="http://schemas.openxmlformats.org/officeDocument/2006/relationships/hyperlink" Target="https://gobyexample.com/range-over-channels" TargetMode="External"/><Relationship Id="rId36" Type="http://schemas.openxmlformats.org/officeDocument/2006/relationships/hyperlink" Target="https://gobyexample.com/tickers" TargetMode="External"/><Relationship Id="rId10" Type="http://schemas.openxmlformats.org/officeDocument/2006/relationships/hyperlink" Target="https://gobyexample.com/channel-synchronization" TargetMode="External"/><Relationship Id="rId19" Type="http://schemas.openxmlformats.org/officeDocument/2006/relationships/hyperlink" Target="https://gobyexample.com/" TargetMode="External"/><Relationship Id="rId31" Type="http://schemas.openxmlformats.org/officeDocument/2006/relationships/hyperlink" Target="https://go.dev/play/p/yQMclmwOYs9" TargetMode="External"/><Relationship Id="rId44" Type="http://schemas.openxmlformats.org/officeDocument/2006/relationships/hyperlink" Target="https://go.dev/play/p/S98GjeaGBX0" TargetMode="External"/><Relationship Id="rId4" Type="http://schemas.openxmlformats.org/officeDocument/2006/relationships/hyperlink" Target="https://go.dev/play/p/MaLY7AiAkHM" TargetMode="External"/><Relationship Id="rId9" Type="http://schemas.openxmlformats.org/officeDocument/2006/relationships/hyperlink" Target="https://go.dev/play/p/3BRCdRnRszb" TargetMode="External"/><Relationship Id="rId14" Type="http://schemas.openxmlformats.org/officeDocument/2006/relationships/hyperlink" Target="https://go.dev/play/p/mjNJDHwUH4R" TargetMode="External"/><Relationship Id="rId22" Type="http://schemas.openxmlformats.org/officeDocument/2006/relationships/hyperlink" Target="https://gobyexample.com/" TargetMode="External"/><Relationship Id="rId27" Type="http://schemas.openxmlformats.org/officeDocument/2006/relationships/hyperlink" Target="https://gobyexample.com/channel-synchronization" TargetMode="External"/><Relationship Id="rId30" Type="http://schemas.openxmlformats.org/officeDocument/2006/relationships/hyperlink" Target="https://gobyexample.com/range" TargetMode="External"/><Relationship Id="rId35" Type="http://schemas.openxmlformats.org/officeDocument/2006/relationships/hyperlink" Target="https://go.dev/play/p/gF7VLRz3URM" TargetMode="External"/><Relationship Id="rId43" Type="http://schemas.openxmlformats.org/officeDocument/2006/relationships/hyperlink" Target="https://gobyexample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obyexample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o.dev/play/p/Nw-1DzIGk5f" TargetMode="External"/><Relationship Id="rId17" Type="http://schemas.openxmlformats.org/officeDocument/2006/relationships/hyperlink" Target="https://go.dev/play/p/FzONhs4-tae" TargetMode="External"/><Relationship Id="rId25" Type="http://schemas.openxmlformats.org/officeDocument/2006/relationships/hyperlink" Target="https://gobyexample.com/" TargetMode="External"/><Relationship Id="rId33" Type="http://schemas.openxmlformats.org/officeDocument/2006/relationships/hyperlink" Target="https://gobyexample.com/" TargetMode="External"/><Relationship Id="rId38" Type="http://schemas.openxmlformats.org/officeDocument/2006/relationships/hyperlink" Target="https://gobyexample.com/timers" TargetMode="External"/><Relationship Id="rId46" Type="http://schemas.openxmlformats.org/officeDocument/2006/relationships/hyperlink" Target="https://gobyexample.com/rate-limiting" TargetMode="External"/><Relationship Id="rId20" Type="http://schemas.openxmlformats.org/officeDocument/2006/relationships/hyperlink" Target="https://go.dev/play/p/gyr0NbVKBVf" TargetMode="External"/><Relationship Id="rId41" Type="http://schemas.openxmlformats.org/officeDocument/2006/relationships/hyperlink" Target="https://goby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tabo</dc:creator>
  <cp:keywords/>
  <dc:description/>
  <cp:lastModifiedBy>Laurent tabo</cp:lastModifiedBy>
  <cp:revision>1</cp:revision>
  <dcterms:created xsi:type="dcterms:W3CDTF">2023-01-25T12:27:00Z</dcterms:created>
  <dcterms:modified xsi:type="dcterms:W3CDTF">2023-01-25T14:13:00Z</dcterms:modified>
</cp:coreProperties>
</file>