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333" w:rsidRPr="00BB50A7" w:rsidRDefault="007C0333" w:rsidP="007C0333">
      <w:pPr>
        <w:pStyle w:val="AppHeading1"/>
        <w:jc w:val="both"/>
        <w:rPr>
          <w:rStyle w:val="NewHeading1Char"/>
          <w:caps/>
          <w:color w:val="365F91"/>
          <w:lang w:val="fr-FR"/>
        </w:rPr>
      </w:pPr>
      <w:bookmarkStart w:id="0" w:name="_Toc357465975"/>
      <w:bookmarkStart w:id="1" w:name="_GoBack"/>
      <w:bookmarkEnd w:id="1"/>
      <w:r w:rsidRPr="00A83A38">
        <w:rPr>
          <w:rStyle w:val="NewHeading1Char"/>
          <w:caps/>
          <w:color w:val="365F91"/>
          <w:lang w:val="fr"/>
        </w:rPr>
        <w:t>Critères d’activation et de transition du COU</w:t>
      </w:r>
      <w:bookmarkEnd w:id="0"/>
    </w:p>
    <w:p w:rsidR="007C0333" w:rsidRPr="00BB50A7" w:rsidRDefault="007C0333" w:rsidP="007C0333">
      <w:pPr>
        <w:spacing w:line="360" w:lineRule="auto"/>
        <w:rPr>
          <w:lang w:val="fr-FR"/>
        </w:rPr>
      </w:pPr>
      <w:r w:rsidRPr="00C35140">
        <w:rPr>
          <w:lang w:val="fr"/>
        </w:rPr>
        <w:t xml:space="preserve">Le </w:t>
      </w:r>
      <w:r w:rsidR="003F1FC2">
        <w:rPr>
          <w:lang w:val="fr"/>
        </w:rPr>
        <w:t>COU</w:t>
      </w:r>
      <w:r w:rsidRPr="00C35140">
        <w:rPr>
          <w:lang w:val="fr"/>
        </w:rPr>
        <w:t xml:space="preserve"> sert d’installation centralisée pour coordonner les opérations d’intervention d’urgence en santé publique. </w:t>
      </w:r>
      <w:proofErr w:type="gramStart"/>
      <w:r w:rsidRPr="00C35140">
        <w:rPr>
          <w:lang w:val="fr"/>
        </w:rPr>
        <w:t>Pendant  l’activation</w:t>
      </w:r>
      <w:proofErr w:type="gramEnd"/>
      <w:r w:rsidRPr="00C35140">
        <w:rPr>
          <w:lang w:val="fr"/>
        </w:rPr>
        <w:t xml:space="preserve"> du COU, une structure de base quotidienne combinée à des PME scientifiques de diverses divisions </w:t>
      </w:r>
      <w:r w:rsidR="003F1FC2">
        <w:rPr>
          <w:lang w:val="fr"/>
        </w:rPr>
        <w:t>du ministère</w:t>
      </w:r>
      <w:r w:rsidRPr="00C35140">
        <w:rPr>
          <w:lang w:val="fr"/>
        </w:rPr>
        <w:t xml:space="preserve"> constitue le système de commandement des </w:t>
      </w:r>
      <w:r w:rsidR="003F1FC2">
        <w:rPr>
          <w:lang w:val="fr"/>
        </w:rPr>
        <w:t>interventions.</w:t>
      </w:r>
    </w:p>
    <w:p w:rsidR="007C0333" w:rsidRPr="00BB50A7" w:rsidRDefault="007C0333" w:rsidP="007C0333">
      <w:pPr>
        <w:pStyle w:val="BodyCopy"/>
        <w:spacing w:line="240" w:lineRule="auto"/>
        <w:ind w:left="1080"/>
        <w:rPr>
          <w:color w:val="auto"/>
          <w:highlight w:val="lightGray"/>
          <w:lang w:val="fr-FR"/>
        </w:rPr>
      </w:pPr>
    </w:p>
    <w:p w:rsidR="007C0333" w:rsidRPr="00BB50A7" w:rsidRDefault="007C0333" w:rsidP="007C0333">
      <w:pPr>
        <w:pStyle w:val="BodyCopy"/>
        <w:rPr>
          <w:color w:val="auto"/>
          <w:lang w:val="fr-FR"/>
        </w:rPr>
      </w:pPr>
      <w:r w:rsidRPr="00A139DF">
        <w:rPr>
          <w:color w:val="auto"/>
          <w:lang w:val="fr"/>
        </w:rPr>
        <w:t xml:space="preserve">Le directeur peut activer le </w:t>
      </w:r>
      <w:r w:rsidR="003F1FC2">
        <w:rPr>
          <w:color w:val="auto"/>
          <w:lang w:val="fr"/>
        </w:rPr>
        <w:t>COU</w:t>
      </w:r>
      <w:r>
        <w:rPr>
          <w:lang w:val="fr"/>
        </w:rPr>
        <w:t xml:space="preserve"> </w:t>
      </w:r>
      <w:proofErr w:type="gramStart"/>
      <w:r>
        <w:rPr>
          <w:lang w:val="fr"/>
        </w:rPr>
        <w:t xml:space="preserve">et </w:t>
      </w:r>
      <w:r w:rsidRPr="00A139DF">
        <w:rPr>
          <w:color w:val="auto"/>
          <w:lang w:val="fr"/>
        </w:rPr>
        <w:t xml:space="preserve"> mettre</w:t>
      </w:r>
      <w:proofErr w:type="gramEnd"/>
      <w:r w:rsidRPr="00A139DF">
        <w:rPr>
          <w:color w:val="auto"/>
          <w:lang w:val="fr"/>
        </w:rPr>
        <w:t xml:space="preserve"> en œuvre le </w:t>
      </w:r>
      <w:r>
        <w:rPr>
          <w:lang w:val="fr"/>
        </w:rPr>
        <w:t xml:space="preserve"> plan d’intervention pour </w:t>
      </w:r>
      <w:r w:rsidRPr="00A139DF">
        <w:rPr>
          <w:color w:val="auto"/>
          <w:lang w:val="fr"/>
        </w:rPr>
        <w:t xml:space="preserve">appuyer l’intervention d’un organisme en cas d’éclosion de maladie infectieuse en fonction de l’analyse de la situation et des recommandations des chefs de division pour l’éclosion en </w:t>
      </w:r>
      <w:r>
        <w:rPr>
          <w:color w:val="auto"/>
          <w:lang w:val="fr"/>
        </w:rPr>
        <w:t xml:space="preserve"> question. </w:t>
      </w:r>
      <w:r>
        <w:rPr>
          <w:lang w:val="fr"/>
        </w:rPr>
        <w:t xml:space="preserve"> </w:t>
      </w:r>
      <w:r w:rsidRPr="00A139DF">
        <w:rPr>
          <w:color w:val="auto"/>
          <w:lang w:val="fr"/>
        </w:rPr>
        <w:t xml:space="preserve">Une fois activé, </w:t>
      </w:r>
      <w:r>
        <w:rPr>
          <w:lang w:val="fr"/>
        </w:rPr>
        <w:t xml:space="preserve"> le </w:t>
      </w:r>
      <w:r w:rsidR="003F1FC2">
        <w:rPr>
          <w:color w:val="auto"/>
          <w:lang w:val="fr"/>
        </w:rPr>
        <w:t>COU</w:t>
      </w:r>
      <w:r w:rsidRPr="00A139DF">
        <w:rPr>
          <w:color w:val="auto"/>
          <w:lang w:val="fr"/>
        </w:rPr>
        <w:t xml:space="preserve"> utilisera</w:t>
      </w:r>
      <w:r w:rsidR="003F1FC2">
        <w:rPr>
          <w:color w:val="auto"/>
          <w:lang w:val="fr"/>
        </w:rPr>
        <w:t xml:space="preserve"> le système de commandement des interventions</w:t>
      </w:r>
      <w:r w:rsidRPr="00A139DF">
        <w:rPr>
          <w:color w:val="auto"/>
          <w:lang w:val="fr"/>
        </w:rPr>
        <w:t xml:space="preserve"> pour organiser la gestion et la coordination des activités de santé publique lors d’une </w:t>
      </w:r>
      <w:r>
        <w:rPr>
          <w:color w:val="auto"/>
          <w:lang w:val="fr"/>
        </w:rPr>
        <w:t xml:space="preserve">intervention en cas d’éclosion </w:t>
      </w:r>
      <w:r>
        <w:rPr>
          <w:lang w:val="fr"/>
        </w:rPr>
        <w:t xml:space="preserve"> de maladie infectieuse. </w:t>
      </w:r>
      <w:r w:rsidRPr="00A139DF">
        <w:rPr>
          <w:color w:val="auto"/>
          <w:lang w:val="fr"/>
        </w:rPr>
        <w:t xml:space="preserve">Le </w:t>
      </w:r>
      <w:r w:rsidR="003F1FC2">
        <w:rPr>
          <w:color w:val="auto"/>
          <w:lang w:val="fr"/>
        </w:rPr>
        <w:t>commandant</w:t>
      </w:r>
      <w:r>
        <w:rPr>
          <w:lang w:val="fr"/>
        </w:rPr>
        <w:t xml:space="preserve"> d’intervention est </w:t>
      </w:r>
      <w:r w:rsidRPr="00A139DF">
        <w:rPr>
          <w:color w:val="auto"/>
          <w:lang w:val="fr"/>
        </w:rPr>
        <w:t xml:space="preserve">chargé de veiller à ce que les activités d’intervention soient coordonnées à l’échelle de l’organisme et avec les </w:t>
      </w:r>
      <w:proofErr w:type="gramStart"/>
      <w:r w:rsidRPr="00A139DF">
        <w:rPr>
          <w:color w:val="auto"/>
          <w:lang w:val="fr"/>
        </w:rPr>
        <w:t>intervenants</w:t>
      </w:r>
      <w:r>
        <w:rPr>
          <w:lang w:val="fr"/>
        </w:rPr>
        <w:t xml:space="preserve">, </w:t>
      </w:r>
      <w:r>
        <w:rPr>
          <w:color w:val="auto"/>
          <w:lang w:val="fr"/>
        </w:rPr>
        <w:t xml:space="preserve"> y</w:t>
      </w:r>
      <w:proofErr w:type="gramEnd"/>
      <w:r>
        <w:rPr>
          <w:color w:val="auto"/>
          <w:lang w:val="fr"/>
        </w:rPr>
        <w:t xml:space="preserve"> compris </w:t>
      </w:r>
      <w:r w:rsidR="003F1FC2">
        <w:rPr>
          <w:color w:val="auto"/>
          <w:lang w:val="fr"/>
        </w:rPr>
        <w:t>tous les services de santé régionaux, de district ou provinciaux</w:t>
      </w:r>
      <w:r w:rsidRPr="00A139DF">
        <w:rPr>
          <w:color w:val="auto"/>
          <w:lang w:val="fr"/>
        </w:rPr>
        <w:t xml:space="preserve">. </w:t>
      </w:r>
    </w:p>
    <w:p w:rsidR="007C0333" w:rsidRPr="00BB50A7" w:rsidRDefault="007C0333" w:rsidP="007C0333">
      <w:pPr>
        <w:autoSpaceDE w:val="0"/>
        <w:autoSpaceDN w:val="0"/>
        <w:rPr>
          <w:highlight w:val="lightGray"/>
          <w:lang w:val="fr-FR"/>
        </w:rPr>
      </w:pPr>
    </w:p>
    <w:p w:rsidR="007C0333" w:rsidRPr="00BB50A7" w:rsidRDefault="007C0333" w:rsidP="007C0333">
      <w:pPr>
        <w:autoSpaceDE w:val="0"/>
        <w:autoSpaceDN w:val="0"/>
        <w:spacing w:line="360" w:lineRule="auto"/>
        <w:rPr>
          <w:b/>
          <w:lang w:val="fr-FR"/>
        </w:rPr>
      </w:pPr>
      <w:r>
        <w:rPr>
          <w:b/>
          <w:lang w:val="fr"/>
        </w:rPr>
        <w:t xml:space="preserve">Processus et séquence d’activation </w:t>
      </w:r>
    </w:p>
    <w:p w:rsidR="007C0333" w:rsidRPr="00BB50A7" w:rsidRDefault="007C0333" w:rsidP="007C0333">
      <w:pPr>
        <w:autoSpaceDE w:val="0"/>
        <w:autoSpaceDN w:val="0"/>
        <w:spacing w:line="360" w:lineRule="auto"/>
        <w:rPr>
          <w:lang w:val="fr-FR"/>
        </w:rPr>
      </w:pPr>
      <w:r>
        <w:rPr>
          <w:lang w:val="fr"/>
        </w:rPr>
        <w:t xml:space="preserve">L’activation du COU en cas d’urgence de santé publique peut se produire selon les directives du directeur du ministère de la Santé. </w:t>
      </w:r>
    </w:p>
    <w:p w:rsidR="007C0333" w:rsidRPr="00A139DF" w:rsidRDefault="003F1FC2" w:rsidP="007C0333">
      <w:pPr>
        <w:autoSpaceDE w:val="0"/>
        <w:autoSpaceDN w:val="0"/>
        <w:spacing w:line="360" w:lineRule="auto"/>
      </w:pPr>
      <w:r>
        <w:rPr>
          <w:lang w:val="fr"/>
        </w:rPr>
        <w:t xml:space="preserve">Le directeur du ministère de la Santé déterminera s’il y aura activation du COU. Les événements déclencheurs sont les suivants : </w:t>
      </w:r>
    </w:p>
    <w:p w:rsidR="007C0333" w:rsidRPr="00BB50A7" w:rsidRDefault="007C0333" w:rsidP="007C0333">
      <w:pPr>
        <w:pStyle w:val="ListParagraph"/>
        <w:numPr>
          <w:ilvl w:val="0"/>
          <w:numId w:val="6"/>
        </w:numPr>
        <w:autoSpaceDE w:val="0"/>
        <w:autoSpaceDN w:val="0"/>
        <w:spacing w:line="360" w:lineRule="auto"/>
        <w:ind w:left="1080" w:firstLine="0"/>
        <w:rPr>
          <w:lang w:val="fr-FR"/>
        </w:rPr>
      </w:pPr>
      <w:r w:rsidRPr="00A139DF">
        <w:rPr>
          <w:lang w:val="fr"/>
        </w:rPr>
        <w:t xml:space="preserve">Éclosion de maladies infectieuses à tendance épidémique </w:t>
      </w:r>
    </w:p>
    <w:p w:rsidR="007C0333" w:rsidRPr="00A139DF" w:rsidRDefault="007C0333" w:rsidP="007C0333">
      <w:pPr>
        <w:pStyle w:val="ListParagraph"/>
        <w:numPr>
          <w:ilvl w:val="0"/>
          <w:numId w:val="6"/>
        </w:numPr>
        <w:autoSpaceDE w:val="0"/>
        <w:autoSpaceDN w:val="0"/>
        <w:spacing w:line="360" w:lineRule="auto"/>
        <w:ind w:left="1080" w:firstLine="0"/>
      </w:pPr>
      <w:r w:rsidRPr="00A139DF">
        <w:rPr>
          <w:lang w:val="fr"/>
        </w:rPr>
        <w:t>Participation de plusieurs divisions</w:t>
      </w:r>
    </w:p>
    <w:p w:rsidR="007C0333" w:rsidRPr="00A139DF" w:rsidRDefault="007C0333" w:rsidP="007C0333">
      <w:pPr>
        <w:pStyle w:val="ListParagraph"/>
        <w:numPr>
          <w:ilvl w:val="0"/>
          <w:numId w:val="6"/>
        </w:numPr>
        <w:autoSpaceDE w:val="0"/>
        <w:autoSpaceDN w:val="0"/>
        <w:spacing w:line="360" w:lineRule="auto"/>
        <w:ind w:left="1080" w:firstLine="0"/>
      </w:pPr>
      <w:r w:rsidRPr="00A139DF">
        <w:rPr>
          <w:lang w:val="fr"/>
        </w:rPr>
        <w:t>Dépasse la capacité de l</w:t>
      </w:r>
      <w:r w:rsidR="003F1FC2">
        <w:rPr>
          <w:lang w:val="fr"/>
        </w:rPr>
        <w:t>'</w:t>
      </w:r>
      <w:r w:rsidRPr="00A139DF">
        <w:rPr>
          <w:lang w:val="fr"/>
        </w:rPr>
        <w:t xml:space="preserve">  </w:t>
      </w:r>
    </w:p>
    <w:p w:rsidR="007C0333" w:rsidRPr="00BB50A7" w:rsidRDefault="007C0333" w:rsidP="007C0333">
      <w:pPr>
        <w:pStyle w:val="ListParagraph"/>
        <w:numPr>
          <w:ilvl w:val="0"/>
          <w:numId w:val="6"/>
        </w:numPr>
        <w:autoSpaceDE w:val="0"/>
        <w:autoSpaceDN w:val="0"/>
        <w:adjustRightInd w:val="0"/>
        <w:spacing w:line="360" w:lineRule="auto"/>
        <w:ind w:left="1080" w:firstLine="0"/>
        <w:rPr>
          <w:rFonts w:eastAsia="SimSun"/>
          <w:b/>
          <w:bCs/>
          <w:lang w:val="fr-FR"/>
        </w:rPr>
      </w:pPr>
      <w:r w:rsidRPr="00A139DF">
        <w:rPr>
          <w:lang w:val="fr"/>
        </w:rPr>
        <w:t xml:space="preserve">Une éclosion touchant plusieurs </w:t>
      </w:r>
      <w:r w:rsidR="003F1FC2">
        <w:rPr>
          <w:lang w:val="fr"/>
        </w:rPr>
        <w:t>régions, districts ou provinces</w:t>
      </w:r>
    </w:p>
    <w:p w:rsidR="007C0333" w:rsidRPr="00A139DF" w:rsidRDefault="003F1FC2" w:rsidP="007C0333">
      <w:pPr>
        <w:pStyle w:val="ListParagraph"/>
        <w:numPr>
          <w:ilvl w:val="0"/>
          <w:numId w:val="6"/>
        </w:numPr>
        <w:autoSpaceDE w:val="0"/>
        <w:autoSpaceDN w:val="0"/>
        <w:adjustRightInd w:val="0"/>
        <w:spacing w:line="360" w:lineRule="auto"/>
        <w:ind w:left="1080" w:firstLine="0"/>
        <w:rPr>
          <w:rFonts w:eastAsia="SimSun"/>
          <w:b/>
          <w:bCs/>
        </w:rPr>
      </w:pPr>
      <w:r>
        <w:rPr>
          <w:lang w:val="fr"/>
        </w:rPr>
        <w:t>Demande du ministre</w:t>
      </w:r>
    </w:p>
    <w:p w:rsidR="007C0333" w:rsidRPr="00BB50A7" w:rsidRDefault="008C35D5" w:rsidP="007C0333">
      <w:pPr>
        <w:pStyle w:val="ListParagraph"/>
        <w:numPr>
          <w:ilvl w:val="0"/>
          <w:numId w:val="6"/>
        </w:numPr>
        <w:autoSpaceDE w:val="0"/>
        <w:autoSpaceDN w:val="0"/>
        <w:adjustRightInd w:val="0"/>
        <w:spacing w:line="360" w:lineRule="auto"/>
        <w:ind w:left="1080" w:firstLine="0"/>
        <w:rPr>
          <w:rFonts w:eastAsia="SimSun"/>
          <w:b/>
          <w:bCs/>
          <w:lang w:val="fr-FR"/>
        </w:rPr>
      </w:pPr>
      <w:r>
        <w:rPr>
          <w:lang w:val="fr"/>
        </w:rPr>
        <w:t>Urgence potentielle de santé publique de portée internationale (USPPI)</w:t>
      </w:r>
    </w:p>
    <w:p w:rsidR="007C0333" w:rsidRPr="00BB50A7" w:rsidRDefault="007C0333" w:rsidP="007C0333">
      <w:pPr>
        <w:autoSpaceDE w:val="0"/>
        <w:autoSpaceDN w:val="0"/>
        <w:adjustRightInd w:val="0"/>
        <w:ind w:left="1080"/>
        <w:rPr>
          <w:rFonts w:eastAsia="SimSun"/>
          <w:b/>
          <w:bCs/>
          <w:lang w:val="fr-FR"/>
        </w:rPr>
      </w:pPr>
    </w:p>
    <w:p w:rsidR="007C0333" w:rsidRPr="00BB50A7" w:rsidRDefault="007C0333" w:rsidP="007C0333">
      <w:pPr>
        <w:spacing w:line="360" w:lineRule="auto"/>
        <w:rPr>
          <w:color w:val="0070C0"/>
          <w:lang w:val="fr-FR"/>
        </w:rPr>
      </w:pPr>
      <w:r w:rsidRPr="00B42538">
        <w:rPr>
          <w:lang w:val="fr"/>
        </w:rPr>
        <w:t>Le directeur, ou IC, déterminera quand des progrès suffisants ont été réalisés dans le rétablissement de la fonctionnalité minimale dans les zones touchées et quand les infrastructures essentielles au maintien de la vie sont en mesure de soutenir la réintégration et le repeuplement. Le directeur, en</w:t>
      </w:r>
      <w:r w:rsidR="003F1FC2">
        <w:rPr>
          <w:lang w:val="fr"/>
        </w:rPr>
        <w:t xml:space="preserve"> consultation avec la division</w:t>
      </w:r>
      <w:r>
        <w:rPr>
          <w:lang w:val="fr"/>
        </w:rPr>
        <w:t xml:space="preserve">, </w:t>
      </w:r>
      <w:r w:rsidRPr="00B42538">
        <w:rPr>
          <w:lang w:val="fr"/>
        </w:rPr>
        <w:t>recommandera ensuite la démobilisation et la transition intervention/relèvement</w:t>
      </w:r>
      <w:r w:rsidRPr="00B42538">
        <w:rPr>
          <w:color w:val="0070C0"/>
          <w:lang w:val="fr"/>
        </w:rPr>
        <w:t xml:space="preserve">. </w:t>
      </w:r>
    </w:p>
    <w:p w:rsidR="007C0333" w:rsidRPr="00BB50A7" w:rsidRDefault="007C0333" w:rsidP="007C0333">
      <w:pPr>
        <w:spacing w:line="360" w:lineRule="auto"/>
        <w:ind w:left="1080"/>
        <w:rPr>
          <w:lang w:val="fr-FR"/>
        </w:rPr>
      </w:pPr>
    </w:p>
    <w:p w:rsidR="007C0333" w:rsidRPr="00BB50A7" w:rsidRDefault="007C0333" w:rsidP="007C0333">
      <w:pPr>
        <w:pStyle w:val="PlainText"/>
        <w:ind w:left="1080"/>
        <w:rPr>
          <w:rFonts w:ascii="Times New Roman" w:hAnsi="Times New Roman"/>
          <w:sz w:val="24"/>
          <w:szCs w:val="24"/>
          <w:lang w:val="fr-FR"/>
        </w:rPr>
      </w:pPr>
    </w:p>
    <w:p w:rsidR="007C0333" w:rsidRPr="00BB50A7" w:rsidRDefault="007C0333" w:rsidP="007C0333">
      <w:pPr>
        <w:pStyle w:val="PlainText"/>
        <w:spacing w:line="360" w:lineRule="auto"/>
        <w:rPr>
          <w:rFonts w:ascii="Times New Roman" w:hAnsi="Times New Roman"/>
          <w:b/>
          <w:sz w:val="24"/>
          <w:szCs w:val="24"/>
          <w:lang w:val="fr-FR"/>
        </w:rPr>
      </w:pPr>
      <w:r w:rsidRPr="00A139DF">
        <w:rPr>
          <w:b/>
          <w:sz w:val="24"/>
          <w:szCs w:val="24"/>
          <w:lang w:val="fr"/>
        </w:rPr>
        <w:t>Déclencheurs de transition</w:t>
      </w:r>
    </w:p>
    <w:p w:rsidR="007C0333" w:rsidRPr="00BB50A7" w:rsidRDefault="007C0333" w:rsidP="007C0333">
      <w:pPr>
        <w:pStyle w:val="PlainText"/>
        <w:tabs>
          <w:tab w:val="left" w:pos="2160"/>
        </w:tabs>
        <w:spacing w:line="360" w:lineRule="auto"/>
        <w:rPr>
          <w:rFonts w:ascii="Times New Roman" w:hAnsi="Times New Roman"/>
          <w:sz w:val="24"/>
          <w:szCs w:val="24"/>
          <w:lang w:val="fr-FR"/>
        </w:rPr>
      </w:pPr>
      <w:r>
        <w:rPr>
          <w:sz w:val="24"/>
          <w:szCs w:val="24"/>
          <w:lang w:val="fr"/>
        </w:rPr>
        <w:lastRenderedPageBreak/>
        <w:t xml:space="preserve">Le niveau d’effort requis </w:t>
      </w:r>
      <w:proofErr w:type="gramStart"/>
      <w:r>
        <w:rPr>
          <w:sz w:val="24"/>
          <w:szCs w:val="24"/>
          <w:lang w:val="fr"/>
        </w:rPr>
        <w:t>pendant  le</w:t>
      </w:r>
      <w:proofErr w:type="gramEnd"/>
      <w:r>
        <w:rPr>
          <w:sz w:val="24"/>
          <w:szCs w:val="24"/>
          <w:lang w:val="fr"/>
        </w:rPr>
        <w:t xml:space="preserve"> mode d’intervention du COU changera au fil du temps, ce qui entraînera soit un retour des activités d’intervention à la </w:t>
      </w:r>
      <w:r>
        <w:rPr>
          <w:lang w:val="fr"/>
        </w:rPr>
        <w:t xml:space="preserve"> gestion du </w:t>
      </w:r>
      <w:r>
        <w:rPr>
          <w:sz w:val="24"/>
          <w:szCs w:val="24"/>
          <w:lang w:val="fr"/>
        </w:rPr>
        <w:t xml:space="preserve">programme (et </w:t>
      </w:r>
      <w:r>
        <w:rPr>
          <w:lang w:val="fr"/>
        </w:rPr>
        <w:t xml:space="preserve"> la désactivation du </w:t>
      </w:r>
      <w:r w:rsidR="003F1FC2">
        <w:rPr>
          <w:sz w:val="24"/>
          <w:szCs w:val="24"/>
          <w:lang w:val="fr"/>
        </w:rPr>
        <w:t>COU</w:t>
      </w:r>
      <w:r>
        <w:rPr>
          <w:sz w:val="24"/>
          <w:szCs w:val="24"/>
          <w:lang w:val="fr"/>
        </w:rPr>
        <w:t>), soit un changement dans les niveaux d’activation.</w:t>
      </w:r>
      <w:r>
        <w:rPr>
          <w:lang w:val="fr"/>
        </w:rPr>
        <w:t xml:space="preserve"> </w:t>
      </w:r>
    </w:p>
    <w:p w:rsidR="007C0333" w:rsidRPr="00BB50A7" w:rsidRDefault="007C0333" w:rsidP="007C0333">
      <w:pPr>
        <w:pStyle w:val="PlainText"/>
        <w:tabs>
          <w:tab w:val="left" w:pos="2160"/>
        </w:tabs>
        <w:spacing w:line="360" w:lineRule="auto"/>
        <w:ind w:left="1080"/>
        <w:rPr>
          <w:rFonts w:ascii="Times New Roman" w:hAnsi="Times New Roman"/>
          <w:sz w:val="24"/>
          <w:szCs w:val="24"/>
          <w:lang w:val="fr-FR"/>
        </w:rPr>
      </w:pPr>
    </w:p>
    <w:p w:rsidR="007C0333" w:rsidRPr="00BB50A7" w:rsidRDefault="003F1FC2" w:rsidP="007C0333">
      <w:pPr>
        <w:pStyle w:val="PlainText"/>
        <w:tabs>
          <w:tab w:val="left" w:pos="2160"/>
        </w:tabs>
        <w:spacing w:line="360" w:lineRule="auto"/>
        <w:rPr>
          <w:rFonts w:ascii="Times New Roman" w:hAnsi="Times New Roman"/>
          <w:sz w:val="24"/>
          <w:szCs w:val="24"/>
          <w:lang w:val="fr-FR"/>
        </w:rPr>
      </w:pPr>
      <w:r>
        <w:rPr>
          <w:sz w:val="24"/>
          <w:szCs w:val="24"/>
          <w:lang w:val="fr"/>
        </w:rPr>
        <w:t>Les</w:t>
      </w:r>
      <w:r w:rsidR="007C0333">
        <w:rPr>
          <w:sz w:val="24"/>
          <w:szCs w:val="24"/>
          <w:lang w:val="fr"/>
        </w:rPr>
        <w:t xml:space="preserve"> niveaux d’activation du COU sont déterminés en fonction d’un niveau d’effort, et non strictement en fonction du nombre total d’employés participant à l’intervention.  Les principales distinctions dans les désignations de niveaux d’activation sont les suivantes :</w:t>
      </w:r>
    </w:p>
    <w:p w:rsidR="007C0333" w:rsidRPr="00BB50A7" w:rsidRDefault="007C0333" w:rsidP="007C0333">
      <w:pPr>
        <w:pStyle w:val="PlainText"/>
        <w:tabs>
          <w:tab w:val="left" w:pos="2160"/>
        </w:tabs>
        <w:spacing w:line="360" w:lineRule="auto"/>
        <w:rPr>
          <w:rFonts w:ascii="Times New Roman" w:hAnsi="Times New Roman"/>
          <w:sz w:val="24"/>
          <w:szCs w:val="24"/>
          <w:lang w:val="fr-FR"/>
        </w:rPr>
      </w:pPr>
    </w:p>
    <w:p w:rsidR="007C0333" w:rsidRPr="00BB50A7" w:rsidRDefault="007C0333" w:rsidP="007C0333">
      <w:pPr>
        <w:pStyle w:val="ListParagraph"/>
        <w:numPr>
          <w:ilvl w:val="0"/>
          <w:numId w:val="6"/>
        </w:numPr>
        <w:autoSpaceDE w:val="0"/>
        <w:autoSpaceDN w:val="0"/>
        <w:spacing w:line="360" w:lineRule="auto"/>
        <w:ind w:left="1080" w:firstLine="0"/>
        <w:rPr>
          <w:lang w:val="fr-FR"/>
        </w:rPr>
      </w:pPr>
      <w:r w:rsidRPr="00D818C6">
        <w:rPr>
          <w:lang w:val="fr"/>
        </w:rPr>
        <w:t xml:space="preserve">Niveau I – Le niveau d’activation le plus bas. Ce niveau est déclenché par défaut, sauf si un niveau supérieur est spécifié pendant le  processus d’activation </w:t>
      </w:r>
      <w:r>
        <w:rPr>
          <w:lang w:val="fr"/>
        </w:rPr>
        <w:t xml:space="preserve"> </w:t>
      </w:r>
      <w:r w:rsidR="003F1FC2">
        <w:rPr>
          <w:lang w:val="fr"/>
        </w:rPr>
        <w:t>EOC</w:t>
      </w:r>
      <w:r>
        <w:rPr>
          <w:lang w:val="fr"/>
        </w:rPr>
        <w:t xml:space="preserve">. </w:t>
      </w:r>
      <w:r w:rsidRPr="0064643B">
        <w:rPr>
          <w:lang w:val="fr"/>
        </w:rPr>
        <w:t xml:space="preserve">L’activation des ressources en dehors d’une seule division </w:t>
      </w:r>
      <w:r w:rsidR="003F1FC2">
        <w:rPr>
          <w:lang w:val="fr"/>
        </w:rPr>
        <w:t>conduit</w:t>
      </w:r>
      <w:r w:rsidRPr="0064643B">
        <w:rPr>
          <w:lang w:val="fr"/>
        </w:rPr>
        <w:t>à l’épuisement avec un besoin de soutien supplémentaire. En outre, l’activation se</w:t>
      </w:r>
      <w:r w:rsidR="00F94348">
        <w:rPr>
          <w:lang w:val="fr"/>
        </w:rPr>
        <w:t xml:space="preserve">produit lorsque la capacité du moniteur d’éclosion dans lescellules g est dépassée. L’activation à ce niveau est de huit heures par jour pendant sept jours. </w:t>
      </w:r>
    </w:p>
    <w:p w:rsidR="007C0333" w:rsidRPr="00BB50A7" w:rsidRDefault="007C0333" w:rsidP="007C0333">
      <w:pPr>
        <w:pStyle w:val="Default"/>
        <w:numPr>
          <w:ilvl w:val="0"/>
          <w:numId w:val="1"/>
        </w:numPr>
        <w:tabs>
          <w:tab w:val="clear" w:pos="3780"/>
          <w:tab w:val="left" w:pos="900"/>
          <w:tab w:val="left" w:pos="1080"/>
          <w:tab w:val="left" w:pos="1170"/>
        </w:tabs>
        <w:adjustRightInd/>
        <w:spacing w:line="360" w:lineRule="auto"/>
        <w:ind w:left="1080" w:firstLine="0"/>
        <w:rPr>
          <w:color w:val="auto"/>
          <w:lang w:val="fr-FR"/>
        </w:rPr>
      </w:pPr>
      <w:r w:rsidRPr="00D818C6">
        <w:rPr>
          <w:color w:val="auto"/>
          <w:lang w:val="fr"/>
        </w:rPr>
        <w:t xml:space="preserve">Niveau II – Ce niveau d’activation nécessite une augmentation importante du </w:t>
      </w:r>
      <w:proofErr w:type="spellStart"/>
      <w:r w:rsidRPr="00D818C6">
        <w:rPr>
          <w:color w:val="auto"/>
          <w:lang w:val="fr"/>
        </w:rPr>
        <w:t>personnel</w:t>
      </w:r>
      <w:r>
        <w:rPr>
          <w:color w:val="auto"/>
          <w:lang w:val="fr"/>
        </w:rPr>
        <w:t>du</w:t>
      </w:r>
      <w:proofErr w:type="spellEnd"/>
      <w:r>
        <w:rPr>
          <w:color w:val="auto"/>
          <w:lang w:val="fr"/>
        </w:rPr>
        <w:t xml:space="preserve"> programme de</w:t>
      </w:r>
      <w:r>
        <w:rPr>
          <w:lang w:val="fr"/>
        </w:rPr>
        <w:t xml:space="preserve"> </w:t>
      </w:r>
      <w:proofErr w:type="gramStart"/>
      <w:r>
        <w:rPr>
          <w:lang w:val="fr"/>
        </w:rPr>
        <w:t xml:space="preserve">base </w:t>
      </w:r>
      <w:r w:rsidRPr="00D818C6">
        <w:rPr>
          <w:color w:val="auto"/>
          <w:lang w:val="fr"/>
        </w:rPr>
        <w:t xml:space="preserve"> par</w:t>
      </w:r>
      <w:proofErr w:type="gramEnd"/>
      <w:r w:rsidRPr="00D818C6">
        <w:rPr>
          <w:color w:val="auto"/>
          <w:lang w:val="fr"/>
        </w:rPr>
        <w:t xml:space="preserve"> la division ou le ministère technique responsable pour répondre aux besoins techniques de l’intervention, et/ou une augmentation importante du personnel pour fournir des services de soutien au système de </w:t>
      </w:r>
      <w:r w:rsidR="00F94348">
        <w:rPr>
          <w:color w:val="auto"/>
          <w:lang w:val="fr"/>
        </w:rPr>
        <w:t>commandement des interventions</w:t>
      </w:r>
      <w:r w:rsidRPr="00D818C6">
        <w:rPr>
          <w:color w:val="auto"/>
          <w:lang w:val="fr"/>
        </w:rPr>
        <w:t xml:space="preserve">. </w:t>
      </w:r>
      <w:r>
        <w:rPr>
          <w:lang w:val="fr"/>
        </w:rPr>
        <w:t xml:space="preserve"> </w:t>
      </w:r>
      <w:r>
        <w:rPr>
          <w:color w:val="auto"/>
          <w:lang w:val="fr"/>
        </w:rPr>
        <w:t xml:space="preserve">Lorsque la participation de plus d’une division du </w:t>
      </w:r>
      <w:r w:rsidR="00F94348">
        <w:rPr>
          <w:color w:val="auto"/>
          <w:lang w:val="fr"/>
        </w:rPr>
        <w:t>Ministère</w:t>
      </w:r>
      <w:r>
        <w:rPr>
          <w:color w:val="auto"/>
          <w:lang w:val="fr"/>
        </w:rPr>
        <w:t xml:space="preserve"> ou d’un intervenant externe est requise. L’activation au niveau deux est de 14 </w:t>
      </w:r>
      <w:r w:rsidRPr="00D818C6">
        <w:rPr>
          <w:color w:val="auto"/>
          <w:lang w:val="fr"/>
        </w:rPr>
        <w:t>heures</w:t>
      </w:r>
      <w:r>
        <w:rPr>
          <w:color w:val="auto"/>
          <w:lang w:val="fr"/>
        </w:rPr>
        <w:t xml:space="preserve"> par jour pendant sept jours (c.-à-d. de 8 h à 22 h).</w:t>
      </w:r>
    </w:p>
    <w:p w:rsidR="007C0333" w:rsidRPr="00BB50A7" w:rsidRDefault="007C0333" w:rsidP="007C0333">
      <w:pPr>
        <w:pStyle w:val="Default"/>
        <w:numPr>
          <w:ilvl w:val="0"/>
          <w:numId w:val="1"/>
        </w:numPr>
        <w:tabs>
          <w:tab w:val="clear" w:pos="3780"/>
          <w:tab w:val="left" w:pos="900"/>
          <w:tab w:val="left" w:pos="1260"/>
        </w:tabs>
        <w:adjustRightInd/>
        <w:spacing w:line="360" w:lineRule="auto"/>
        <w:ind w:left="1080" w:firstLine="0"/>
        <w:rPr>
          <w:color w:val="auto"/>
          <w:lang w:val="fr-FR"/>
        </w:rPr>
      </w:pPr>
      <w:r w:rsidRPr="00D818C6">
        <w:rPr>
          <w:color w:val="auto"/>
          <w:lang w:val="fr"/>
        </w:rPr>
        <w:t>Niveau III – Le niveau d’activation le plus élevé, ce niveau est réservé aux</w:t>
      </w:r>
      <w:r>
        <w:rPr>
          <w:color w:val="auto"/>
          <w:lang w:val="fr"/>
        </w:rPr>
        <w:t xml:space="preserve">réponses à plus grande échelle </w:t>
      </w:r>
      <w:r w:rsidRPr="00D818C6">
        <w:rPr>
          <w:color w:val="auto"/>
          <w:lang w:val="fr"/>
        </w:rPr>
        <w:t xml:space="preserve">qui nécessitent un effort 24 heures sur 24, 7 jours sur 7. </w:t>
      </w:r>
    </w:p>
    <w:p w:rsidR="007C0333" w:rsidRPr="00BB50A7" w:rsidRDefault="007C0333" w:rsidP="007C0333">
      <w:pPr>
        <w:pStyle w:val="Default"/>
        <w:tabs>
          <w:tab w:val="left" w:pos="900"/>
          <w:tab w:val="left" w:pos="1260"/>
        </w:tabs>
        <w:adjustRightInd/>
        <w:spacing w:line="360" w:lineRule="auto"/>
        <w:ind w:left="1080"/>
        <w:rPr>
          <w:color w:val="auto"/>
          <w:lang w:val="fr-FR"/>
        </w:rPr>
      </w:pPr>
    </w:p>
    <w:p w:rsidR="007C0333" w:rsidRPr="00BB50A7" w:rsidRDefault="007C0333" w:rsidP="007C0333">
      <w:pPr>
        <w:pStyle w:val="PlainText"/>
        <w:tabs>
          <w:tab w:val="left" w:pos="2340"/>
        </w:tabs>
        <w:spacing w:line="360" w:lineRule="auto"/>
        <w:rPr>
          <w:rFonts w:ascii="Times New Roman" w:hAnsi="Times New Roman"/>
          <w:sz w:val="24"/>
          <w:szCs w:val="24"/>
          <w:lang w:val="fr-FR"/>
        </w:rPr>
      </w:pPr>
      <w:r>
        <w:rPr>
          <w:sz w:val="24"/>
          <w:szCs w:val="24"/>
          <w:lang w:val="fr"/>
        </w:rPr>
        <w:t xml:space="preserve">La transition d’un niveau d’activation du </w:t>
      </w:r>
      <w:r w:rsidR="003F1FC2">
        <w:rPr>
          <w:sz w:val="24"/>
          <w:szCs w:val="24"/>
          <w:lang w:val="fr"/>
        </w:rPr>
        <w:t>COU</w:t>
      </w:r>
      <w:r>
        <w:rPr>
          <w:sz w:val="24"/>
          <w:szCs w:val="24"/>
          <w:lang w:val="fr"/>
        </w:rPr>
        <w:t xml:space="preserve"> à un autre est déterminée par le commandant de </w:t>
      </w:r>
      <w:proofErr w:type="gramStart"/>
      <w:r>
        <w:rPr>
          <w:sz w:val="24"/>
          <w:szCs w:val="24"/>
          <w:lang w:val="fr"/>
        </w:rPr>
        <w:t>l’intervention  en</w:t>
      </w:r>
      <w:proofErr w:type="gramEnd"/>
      <w:r>
        <w:rPr>
          <w:sz w:val="24"/>
          <w:szCs w:val="24"/>
          <w:lang w:val="fr"/>
        </w:rPr>
        <w:t xml:space="preserve"> consultation avec </w:t>
      </w:r>
      <w:r>
        <w:rPr>
          <w:lang w:val="fr"/>
        </w:rPr>
        <w:t xml:space="preserve"> la direction de la </w:t>
      </w:r>
      <w:r w:rsidRPr="00B16A16">
        <w:rPr>
          <w:sz w:val="24"/>
          <w:szCs w:val="24"/>
          <w:lang w:val="fr"/>
        </w:rPr>
        <w:t>division technique</w:t>
      </w:r>
      <w:r>
        <w:rPr>
          <w:lang w:val="fr"/>
        </w:rPr>
        <w:t xml:space="preserve"> principale </w:t>
      </w:r>
      <w:r>
        <w:rPr>
          <w:sz w:val="24"/>
          <w:szCs w:val="24"/>
          <w:lang w:val="fr"/>
        </w:rPr>
        <w:t xml:space="preserve"> et les autres directions du </w:t>
      </w:r>
      <w:r w:rsidR="00F94348">
        <w:rPr>
          <w:sz w:val="24"/>
          <w:szCs w:val="24"/>
          <w:lang w:val="fr"/>
        </w:rPr>
        <w:t>commandement des interventions</w:t>
      </w:r>
      <w:r>
        <w:rPr>
          <w:sz w:val="24"/>
          <w:szCs w:val="24"/>
          <w:lang w:val="fr"/>
        </w:rPr>
        <w:t>.</w:t>
      </w:r>
      <w:r>
        <w:rPr>
          <w:lang w:val="fr"/>
        </w:rPr>
        <w:t xml:space="preserve"> </w:t>
      </w:r>
      <w:r w:rsidR="00F94348" w:rsidRPr="00F94348">
        <w:rPr>
          <w:sz w:val="24"/>
          <w:szCs w:val="24"/>
          <w:lang w:val="fr"/>
        </w:rPr>
        <w:t xml:space="preserve"> Le commandant de l’intervention</w:t>
      </w:r>
      <w:r w:rsidRPr="0064643B">
        <w:rPr>
          <w:sz w:val="24"/>
          <w:szCs w:val="24"/>
          <w:lang w:val="fr"/>
        </w:rPr>
        <w:t xml:space="preserve"> soumet un dossier de modification des niveaux de transition à l’approbation du directeur. </w:t>
      </w:r>
      <w:r>
        <w:rPr>
          <w:lang w:val="fr"/>
        </w:rPr>
        <w:t xml:space="preserve"> </w:t>
      </w:r>
      <w:r w:rsidR="00F94348">
        <w:rPr>
          <w:sz w:val="24"/>
          <w:szCs w:val="24"/>
          <w:lang w:val="fr"/>
        </w:rPr>
        <w:t xml:space="preserve">Le </w:t>
      </w:r>
      <w:proofErr w:type="gramStart"/>
      <w:r w:rsidRPr="0064643B">
        <w:rPr>
          <w:sz w:val="24"/>
          <w:szCs w:val="24"/>
          <w:lang w:val="fr"/>
        </w:rPr>
        <w:t xml:space="preserve">directeur </w:t>
      </w:r>
      <w:r>
        <w:rPr>
          <w:lang w:val="fr"/>
        </w:rPr>
        <w:t xml:space="preserve"> et</w:t>
      </w:r>
      <w:proofErr w:type="gramEnd"/>
      <w:r>
        <w:rPr>
          <w:lang w:val="fr"/>
        </w:rPr>
        <w:t xml:space="preserve"> </w:t>
      </w:r>
      <w:r w:rsidR="00F94348">
        <w:rPr>
          <w:sz w:val="24"/>
          <w:szCs w:val="24"/>
          <w:lang w:val="fr"/>
        </w:rPr>
        <w:t>le commandant de l’intervention</w:t>
      </w:r>
      <w:r w:rsidRPr="0064643B">
        <w:rPr>
          <w:sz w:val="24"/>
          <w:szCs w:val="24"/>
          <w:lang w:val="fr"/>
        </w:rPr>
        <w:t xml:space="preserve"> examinent le dossier dans les 24 heures suivant la soumission du dossier et sont consignés dans la liste de vérification de transition du </w:t>
      </w:r>
      <w:r w:rsidR="003F1FC2">
        <w:rPr>
          <w:sz w:val="24"/>
          <w:szCs w:val="24"/>
          <w:lang w:val="fr"/>
        </w:rPr>
        <w:t>COU</w:t>
      </w:r>
      <w:r w:rsidRPr="0064643B">
        <w:rPr>
          <w:sz w:val="24"/>
          <w:szCs w:val="24"/>
          <w:lang w:val="fr"/>
        </w:rPr>
        <w:t xml:space="preserve">. </w:t>
      </w:r>
    </w:p>
    <w:p w:rsidR="007C0333" w:rsidRPr="00BB50A7" w:rsidRDefault="007C0333" w:rsidP="007C0333">
      <w:pPr>
        <w:tabs>
          <w:tab w:val="left" w:pos="1170"/>
        </w:tabs>
        <w:ind w:left="1080"/>
        <w:rPr>
          <w:lang w:val="fr-FR"/>
        </w:rPr>
      </w:pPr>
    </w:p>
    <w:p w:rsidR="007C0333" w:rsidRPr="00BB50A7" w:rsidRDefault="007C0333" w:rsidP="007C0333">
      <w:pPr>
        <w:pStyle w:val="Heading2"/>
        <w:tabs>
          <w:tab w:val="left" w:pos="0"/>
          <w:tab w:val="left" w:pos="1440"/>
        </w:tabs>
        <w:rPr>
          <w:rStyle w:val="NewHeading1Char"/>
          <w:b w:val="0"/>
          <w:color w:val="365F91"/>
          <w:u w:val="none"/>
          <w:lang w:val="fr-FR"/>
        </w:rPr>
      </w:pPr>
      <w:bookmarkStart w:id="2" w:name="_Toc307317794"/>
      <w:bookmarkStart w:id="3" w:name="_Ref315868476"/>
      <w:bookmarkStart w:id="4" w:name="_Toc323814406"/>
      <w:bookmarkStart w:id="5" w:name="_Toc345934458"/>
      <w:bookmarkStart w:id="6" w:name="_Toc345352724"/>
      <w:bookmarkStart w:id="7" w:name="_Toc317070264"/>
      <w:r w:rsidRPr="0034555C">
        <w:rPr>
          <w:rStyle w:val="NewHeading1Char"/>
          <w:b w:val="0"/>
          <w:color w:val="365F91"/>
          <w:u w:val="none"/>
          <w:lang w:val="fr"/>
        </w:rPr>
        <w:t>Exigences en matière d’informations critiques à notifier à la plus haute autorité</w:t>
      </w:r>
      <w:bookmarkEnd w:id="2"/>
      <w:bookmarkEnd w:id="3"/>
      <w:bookmarkEnd w:id="4"/>
      <w:bookmarkEnd w:id="5"/>
    </w:p>
    <w:p w:rsidR="007C0333" w:rsidRPr="00BB50A7" w:rsidRDefault="007C0333" w:rsidP="007C0333">
      <w:pPr>
        <w:ind w:left="1080"/>
        <w:rPr>
          <w:lang w:val="fr-FR"/>
        </w:rPr>
      </w:pPr>
    </w:p>
    <w:p w:rsidR="007C0333" w:rsidRPr="00BB50A7" w:rsidRDefault="007C0333" w:rsidP="007C0333">
      <w:pPr>
        <w:pStyle w:val="BodyCopy"/>
        <w:rPr>
          <w:color w:val="auto"/>
          <w:lang w:val="fr-FR"/>
        </w:rPr>
      </w:pPr>
      <w:r w:rsidRPr="0034555C">
        <w:rPr>
          <w:color w:val="auto"/>
          <w:lang w:val="fr"/>
        </w:rPr>
        <w:t>Les exigences en matière d’information essentielle</w:t>
      </w:r>
      <w:r>
        <w:rPr>
          <w:color w:val="auto"/>
          <w:lang w:val="fr"/>
        </w:rPr>
        <w:t xml:space="preserve"> (CIR)</w:t>
      </w:r>
      <w:r w:rsidRPr="0034555C">
        <w:rPr>
          <w:color w:val="auto"/>
          <w:lang w:val="fr"/>
        </w:rPr>
        <w:t xml:space="preserve"> sont les éléments essentiels de l’information que le directeur a identifiés comme étant essentiels au processus décisionnel. </w:t>
      </w:r>
      <w:r>
        <w:rPr>
          <w:lang w:val="fr"/>
        </w:rPr>
        <w:t xml:space="preserve"> </w:t>
      </w:r>
      <w:r>
        <w:rPr>
          <w:color w:val="auto"/>
          <w:lang w:val="fr"/>
        </w:rPr>
        <w:t>Les CIR identifiés</w:t>
      </w:r>
      <w:r w:rsidRPr="0034555C">
        <w:rPr>
          <w:color w:val="auto"/>
          <w:lang w:val="fr"/>
        </w:rPr>
        <w:t>sont le produit d’une analyse minutieuse et continue des besoins en information</w:t>
      </w:r>
      <w:r>
        <w:rPr>
          <w:color w:val="auto"/>
          <w:lang w:val="fr"/>
        </w:rPr>
        <w:t xml:space="preserve"> par le personnel du </w:t>
      </w:r>
      <w:r w:rsidR="008C35D5">
        <w:rPr>
          <w:color w:val="auto"/>
          <w:lang w:val="fr"/>
        </w:rPr>
        <w:t>ministère</w:t>
      </w:r>
      <w:r>
        <w:rPr>
          <w:lang w:val="fr"/>
        </w:rPr>
        <w:t xml:space="preserve">. </w:t>
      </w:r>
      <w:r w:rsidRPr="0034555C">
        <w:rPr>
          <w:color w:val="auto"/>
          <w:lang w:val="fr"/>
        </w:rPr>
        <w:t xml:space="preserve">Le directeur ajoutera, rejettera, ajustera et mettra à jour </w:t>
      </w:r>
      <w:r>
        <w:rPr>
          <w:color w:val="auto"/>
          <w:lang w:val="fr"/>
        </w:rPr>
        <w:t xml:space="preserve">les CIR au fur et à mesure que l’événement progresse. </w:t>
      </w:r>
      <w:r>
        <w:rPr>
          <w:lang w:val="fr"/>
        </w:rPr>
        <w:t xml:space="preserve"> </w:t>
      </w:r>
      <w:r w:rsidRPr="0034555C">
        <w:rPr>
          <w:color w:val="auto"/>
          <w:lang w:val="fr"/>
        </w:rPr>
        <w:t xml:space="preserve">Tout au long d’une éclosion, d’autres </w:t>
      </w:r>
      <w:r>
        <w:rPr>
          <w:color w:val="auto"/>
          <w:lang w:val="fr"/>
        </w:rPr>
        <w:t>RID</w:t>
      </w:r>
      <w:r w:rsidRPr="0034555C">
        <w:rPr>
          <w:color w:val="auto"/>
          <w:lang w:val="fr"/>
        </w:rPr>
        <w:t xml:space="preserve"> seront identifiés pour aider à cibler les affectations de ressources et les efforts pendant que le directeur continue de prendre des décisions.  </w:t>
      </w:r>
    </w:p>
    <w:p w:rsidR="007C0333" w:rsidRPr="00BB50A7" w:rsidRDefault="007C0333" w:rsidP="007C0333">
      <w:pPr>
        <w:pStyle w:val="BodyCopy"/>
        <w:ind w:left="1080"/>
        <w:rPr>
          <w:color w:val="auto"/>
          <w:lang w:val="fr-FR"/>
        </w:rPr>
      </w:pPr>
    </w:p>
    <w:p w:rsidR="007C0333" w:rsidRPr="00BB50A7" w:rsidRDefault="007C0333" w:rsidP="007C0333">
      <w:pPr>
        <w:pStyle w:val="BodyCopy"/>
        <w:rPr>
          <w:color w:val="auto"/>
          <w:lang w:val="fr-FR"/>
        </w:rPr>
      </w:pPr>
      <w:r>
        <w:rPr>
          <w:color w:val="auto"/>
          <w:lang w:val="fr"/>
        </w:rPr>
        <w:t xml:space="preserve">La </w:t>
      </w:r>
      <w:r w:rsidR="008C35D5">
        <w:rPr>
          <w:color w:val="auto"/>
          <w:lang w:val="fr"/>
        </w:rPr>
        <w:t>section des opérations du commandement</w:t>
      </w:r>
      <w:r>
        <w:rPr>
          <w:lang w:val="fr"/>
        </w:rPr>
        <w:t xml:space="preserve"> des interventions est </w:t>
      </w:r>
      <w:proofErr w:type="gramStart"/>
      <w:r>
        <w:rPr>
          <w:lang w:val="fr"/>
        </w:rPr>
        <w:t xml:space="preserve">le </w:t>
      </w:r>
      <w:r w:rsidRPr="0034555C">
        <w:rPr>
          <w:color w:val="auto"/>
          <w:lang w:val="fr"/>
        </w:rPr>
        <w:t xml:space="preserve"> point</w:t>
      </w:r>
      <w:proofErr w:type="gramEnd"/>
      <w:r w:rsidRPr="0034555C">
        <w:rPr>
          <w:color w:val="auto"/>
          <w:lang w:val="fr"/>
        </w:rPr>
        <w:t xml:space="preserve"> focal </w:t>
      </w:r>
      <w:r>
        <w:rPr>
          <w:color w:val="auto"/>
          <w:lang w:val="fr"/>
        </w:rPr>
        <w:t xml:space="preserve"> </w:t>
      </w:r>
      <w:r>
        <w:rPr>
          <w:lang w:val="fr"/>
        </w:rPr>
        <w:t xml:space="preserve"> du CIR pour les </w:t>
      </w:r>
      <w:r w:rsidRPr="0034555C">
        <w:rPr>
          <w:color w:val="auto"/>
          <w:lang w:val="fr"/>
        </w:rPr>
        <w:t xml:space="preserve">maladies infectieuses à tendance épidémique et, conjointement avec </w:t>
      </w:r>
      <w:r>
        <w:rPr>
          <w:lang w:val="fr"/>
        </w:rPr>
        <w:t xml:space="preserve"> le commandant des interventions et le </w:t>
      </w:r>
      <w:r w:rsidR="008C35D5">
        <w:rPr>
          <w:color w:val="auto"/>
          <w:lang w:val="fr"/>
        </w:rPr>
        <w:t>commandement</w:t>
      </w:r>
      <w:r>
        <w:rPr>
          <w:lang w:val="fr"/>
        </w:rPr>
        <w:t xml:space="preserve"> des </w:t>
      </w:r>
      <w:r w:rsidR="008C35D5">
        <w:rPr>
          <w:color w:val="auto"/>
          <w:lang w:val="fr"/>
        </w:rPr>
        <w:t>interventions</w:t>
      </w:r>
      <w:r>
        <w:rPr>
          <w:lang w:val="fr"/>
        </w:rPr>
        <w:t xml:space="preserve">, </w:t>
      </w:r>
      <w:r w:rsidRPr="0034555C">
        <w:rPr>
          <w:color w:val="auto"/>
          <w:lang w:val="fr"/>
        </w:rPr>
        <w:t xml:space="preserve">est responsable du maintien du processus, </w:t>
      </w:r>
      <w:r>
        <w:rPr>
          <w:lang w:val="fr"/>
        </w:rPr>
        <w:t xml:space="preserve"> de la validation de la pertinence actuelle du </w:t>
      </w:r>
      <w:r>
        <w:rPr>
          <w:color w:val="auto"/>
          <w:lang w:val="fr"/>
        </w:rPr>
        <w:t>CIR</w:t>
      </w:r>
      <w:r w:rsidRPr="0034555C">
        <w:rPr>
          <w:color w:val="auto"/>
          <w:lang w:val="fr"/>
        </w:rPr>
        <w:t xml:space="preserve"> et </w:t>
      </w:r>
      <w:r>
        <w:rPr>
          <w:lang w:val="fr"/>
        </w:rPr>
        <w:t xml:space="preserve"> de </w:t>
      </w:r>
      <w:r w:rsidRPr="0034555C">
        <w:rPr>
          <w:color w:val="auto"/>
          <w:lang w:val="fr"/>
        </w:rPr>
        <w:t xml:space="preserve"> l’obtention de l’approbation du directeur pour  </w:t>
      </w:r>
      <w:r w:rsidR="008C35D5">
        <w:rPr>
          <w:color w:val="auto"/>
          <w:lang w:val="fr"/>
        </w:rPr>
        <w:t xml:space="preserve"> </w:t>
      </w:r>
      <w:r>
        <w:rPr>
          <w:color w:val="auto"/>
          <w:lang w:val="fr"/>
        </w:rPr>
        <w:t>les CIR</w:t>
      </w:r>
      <w:r>
        <w:rPr>
          <w:lang w:val="fr"/>
        </w:rPr>
        <w:t>.</w:t>
      </w:r>
      <w:r>
        <w:rPr>
          <w:color w:val="auto"/>
          <w:lang w:val="fr"/>
        </w:rPr>
        <w:t xml:space="preserve"> </w:t>
      </w:r>
      <w:r w:rsidRPr="0034555C">
        <w:rPr>
          <w:color w:val="auto"/>
          <w:lang w:val="fr"/>
        </w:rPr>
        <w:t xml:space="preserve"> </w:t>
      </w:r>
    </w:p>
    <w:p w:rsidR="007C0333" w:rsidRPr="00BB50A7" w:rsidRDefault="007C0333" w:rsidP="007C0333">
      <w:pPr>
        <w:pStyle w:val="BodyCopy"/>
        <w:ind w:left="1080"/>
        <w:rPr>
          <w:color w:val="auto"/>
          <w:lang w:val="fr-FR"/>
        </w:rPr>
      </w:pPr>
    </w:p>
    <w:p w:rsidR="007C0333" w:rsidRPr="00BB50A7" w:rsidRDefault="007C0333" w:rsidP="007C0333">
      <w:pPr>
        <w:pStyle w:val="BodyCopy"/>
        <w:rPr>
          <w:color w:val="auto"/>
          <w:lang w:val="fr-FR"/>
        </w:rPr>
      </w:pPr>
      <w:r w:rsidRPr="00086001">
        <w:rPr>
          <w:color w:val="auto"/>
          <w:lang w:val="fr"/>
        </w:rPr>
        <w:t>Les éléments suivants sont des CIR D spécifiques à l’éclosion avant</w:t>
      </w:r>
      <w:r>
        <w:rPr>
          <w:color w:val="auto"/>
          <w:lang w:val="fr"/>
        </w:rPr>
        <w:t xml:space="preserve"> </w:t>
      </w:r>
      <w:r w:rsidRPr="00086001">
        <w:rPr>
          <w:color w:val="auto"/>
          <w:lang w:val="fr"/>
        </w:rPr>
        <w:t>l’éclosion ou initiales :</w:t>
      </w:r>
    </w:p>
    <w:p w:rsidR="007C0333" w:rsidRPr="00BB50A7" w:rsidRDefault="007C0333" w:rsidP="007C0333">
      <w:pPr>
        <w:pStyle w:val="Default"/>
        <w:numPr>
          <w:ilvl w:val="0"/>
          <w:numId w:val="5"/>
        </w:numPr>
        <w:spacing w:line="360" w:lineRule="auto"/>
        <w:ind w:left="1080" w:firstLine="0"/>
        <w:rPr>
          <w:color w:val="auto"/>
          <w:lang w:val="fr-FR"/>
        </w:rPr>
      </w:pPr>
      <w:r>
        <w:rPr>
          <w:color w:val="auto"/>
          <w:lang w:val="fr"/>
        </w:rPr>
        <w:t>Maladie</w:t>
      </w:r>
      <w:r w:rsidRPr="006B3BA6">
        <w:rPr>
          <w:color w:val="auto"/>
          <w:lang w:val="fr"/>
        </w:rPr>
        <w:t xml:space="preserve">/blessure grave </w:t>
      </w:r>
      <w:r>
        <w:rPr>
          <w:color w:val="auto"/>
          <w:lang w:val="fr"/>
        </w:rPr>
        <w:t xml:space="preserve">ou décès </w:t>
      </w:r>
      <w:r w:rsidRPr="006B3BA6">
        <w:rPr>
          <w:color w:val="auto"/>
          <w:lang w:val="fr"/>
        </w:rPr>
        <w:t xml:space="preserve"> </w:t>
      </w:r>
      <w:r>
        <w:rPr>
          <w:lang w:val="fr"/>
        </w:rPr>
        <w:t xml:space="preserve"> </w:t>
      </w:r>
      <w:proofErr w:type="gramStart"/>
      <w:r>
        <w:rPr>
          <w:lang w:val="fr"/>
        </w:rPr>
        <w:t xml:space="preserve">du </w:t>
      </w:r>
      <w:r w:rsidRPr="006B3BA6">
        <w:rPr>
          <w:color w:val="auto"/>
          <w:lang w:val="fr"/>
        </w:rPr>
        <w:t xml:space="preserve"> personnel</w:t>
      </w:r>
      <w:proofErr w:type="gramEnd"/>
      <w:r>
        <w:rPr>
          <w:lang w:val="fr"/>
        </w:rPr>
        <w:t xml:space="preserve"> </w:t>
      </w:r>
      <w:r w:rsidR="008C35D5">
        <w:rPr>
          <w:color w:val="auto"/>
          <w:lang w:val="fr"/>
        </w:rPr>
        <w:t>du Ministère</w:t>
      </w:r>
      <w:r>
        <w:rPr>
          <w:color w:val="auto"/>
          <w:lang w:val="fr"/>
        </w:rPr>
        <w:t xml:space="preserve"> sur le terrain </w:t>
      </w:r>
    </w:p>
    <w:p w:rsidR="007C0333" w:rsidRPr="00BB50A7" w:rsidRDefault="007C0333" w:rsidP="007C0333">
      <w:pPr>
        <w:pStyle w:val="BodyCopy"/>
        <w:numPr>
          <w:ilvl w:val="0"/>
          <w:numId w:val="5"/>
        </w:numPr>
        <w:tabs>
          <w:tab w:val="left" w:pos="720"/>
        </w:tabs>
        <w:ind w:left="1080" w:firstLine="0"/>
        <w:rPr>
          <w:color w:val="auto"/>
          <w:kern w:val="24"/>
          <w:lang w:val="fr-FR"/>
        </w:rPr>
      </w:pPr>
      <w:r w:rsidRPr="00086001">
        <w:rPr>
          <w:color w:val="auto"/>
          <w:kern w:val="24"/>
          <w:lang w:val="fr"/>
        </w:rPr>
        <w:t xml:space="preserve">Cas suspect d’une maladie précédemment éradiquée dans </w:t>
      </w:r>
      <w:r w:rsidR="008C35D5">
        <w:rPr>
          <w:color w:val="auto"/>
          <w:kern w:val="24"/>
          <w:lang w:val="fr"/>
        </w:rPr>
        <w:t>le pays</w:t>
      </w:r>
    </w:p>
    <w:p w:rsidR="007C0333" w:rsidRPr="00BB50A7" w:rsidRDefault="007C0333" w:rsidP="007C0333">
      <w:pPr>
        <w:pStyle w:val="Default"/>
        <w:numPr>
          <w:ilvl w:val="0"/>
          <w:numId w:val="5"/>
        </w:numPr>
        <w:spacing w:line="360" w:lineRule="auto"/>
        <w:ind w:left="1080" w:firstLine="0"/>
        <w:rPr>
          <w:color w:val="auto"/>
          <w:lang w:val="fr-FR"/>
        </w:rPr>
      </w:pPr>
      <w:r>
        <w:rPr>
          <w:color w:val="auto"/>
          <w:lang w:val="fr"/>
        </w:rPr>
        <w:t xml:space="preserve">En tant que </w:t>
      </w:r>
      <w:r w:rsidRPr="006B7CB9">
        <w:rPr>
          <w:color w:val="auto"/>
          <w:lang w:val="fr"/>
        </w:rPr>
        <w:t>point focal</w:t>
      </w:r>
      <w:r>
        <w:rPr>
          <w:color w:val="auto"/>
          <w:lang w:val="fr"/>
        </w:rPr>
        <w:t xml:space="preserve"> national</w:t>
      </w:r>
      <w:r>
        <w:rPr>
          <w:lang w:val="fr"/>
        </w:rPr>
        <w:t xml:space="preserve"> </w:t>
      </w:r>
      <w:r w:rsidR="008C35D5">
        <w:rPr>
          <w:color w:val="auto"/>
          <w:lang w:val="fr"/>
        </w:rPr>
        <w:t>du Règlement sanitaire international</w:t>
      </w:r>
      <w:r>
        <w:rPr>
          <w:color w:val="auto"/>
          <w:lang w:val="fr"/>
        </w:rPr>
        <w:t>,</w:t>
      </w:r>
      <w:r w:rsidRPr="006B7CB9">
        <w:rPr>
          <w:color w:val="auto"/>
          <w:lang w:val="fr"/>
        </w:rPr>
        <w:t xml:space="preserve"> toute </w:t>
      </w:r>
      <w:r>
        <w:rPr>
          <w:color w:val="auto"/>
          <w:lang w:val="fr"/>
        </w:rPr>
        <w:t>USPPI</w:t>
      </w:r>
      <w:r>
        <w:rPr>
          <w:lang w:val="fr"/>
        </w:rPr>
        <w:t xml:space="preserve"> potentielle</w:t>
      </w:r>
    </w:p>
    <w:p w:rsidR="007C0333" w:rsidRPr="00BB50A7" w:rsidRDefault="007C0333" w:rsidP="007C0333">
      <w:pPr>
        <w:pStyle w:val="BodyCopy"/>
        <w:numPr>
          <w:ilvl w:val="0"/>
          <w:numId w:val="5"/>
        </w:numPr>
        <w:tabs>
          <w:tab w:val="left" w:pos="720"/>
        </w:tabs>
        <w:ind w:left="1080" w:firstLine="0"/>
        <w:rPr>
          <w:color w:val="auto"/>
          <w:kern w:val="24"/>
          <w:lang w:val="fr-FR"/>
        </w:rPr>
      </w:pPr>
      <w:r>
        <w:rPr>
          <w:color w:val="auto"/>
          <w:kern w:val="24"/>
          <w:lang w:val="fr"/>
        </w:rPr>
        <w:t>Toute présentation</w:t>
      </w:r>
      <w:r>
        <w:rPr>
          <w:color w:val="auto"/>
          <w:lang w:val="fr"/>
        </w:rPr>
        <w:t xml:space="preserve"> inhabituelle de la maladie dans n’importe quelle partie du pays</w:t>
      </w:r>
    </w:p>
    <w:p w:rsidR="007C0333" w:rsidRPr="00BB50A7" w:rsidRDefault="007C0333" w:rsidP="007C0333">
      <w:pPr>
        <w:spacing w:line="360" w:lineRule="auto"/>
        <w:ind w:left="1080"/>
        <w:rPr>
          <w:lang w:val="fr-FR"/>
        </w:rPr>
      </w:pPr>
    </w:p>
    <w:bookmarkEnd w:id="6"/>
    <w:bookmarkEnd w:id="7"/>
    <w:p w:rsidR="007C0333" w:rsidRPr="00BB50A7" w:rsidRDefault="007C0333" w:rsidP="007C0333">
      <w:pPr>
        <w:pStyle w:val="Default"/>
        <w:spacing w:line="360" w:lineRule="auto"/>
        <w:ind w:left="1080"/>
        <w:rPr>
          <w:color w:val="auto"/>
          <w:lang w:val="fr-FR"/>
        </w:rPr>
      </w:pPr>
    </w:p>
    <w:p w:rsidR="00DC57CC" w:rsidRPr="00BB50A7" w:rsidRDefault="00DC57CC">
      <w:pPr>
        <w:rPr>
          <w:lang w:val="fr-FR"/>
        </w:rPr>
      </w:pPr>
    </w:p>
    <w:sectPr w:rsidR="00DC57CC" w:rsidRPr="00BB50A7" w:rsidSect="00B5573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57CE"/>
    <w:multiLevelType w:val="hybridMultilevel"/>
    <w:tmpl w:val="753AC958"/>
    <w:lvl w:ilvl="0" w:tplc="D5A22D6C">
      <w:start w:val="1"/>
      <w:numFmt w:val="bullet"/>
      <w:lvlText w:val="•"/>
      <w:lvlJc w:val="left"/>
      <w:pPr>
        <w:tabs>
          <w:tab w:val="num" w:pos="720"/>
        </w:tabs>
        <w:ind w:left="720" w:hanging="360"/>
      </w:pPr>
      <w:rPr>
        <w:rFonts w:ascii="Arial" w:hAnsi="Arial" w:cs="Arial" w:hint="default"/>
      </w:rPr>
    </w:lvl>
    <w:lvl w:ilvl="1" w:tplc="EE34D3F6">
      <w:start w:val="1"/>
      <w:numFmt w:val="bullet"/>
      <w:lvlText w:val="•"/>
      <w:lvlJc w:val="left"/>
      <w:pPr>
        <w:tabs>
          <w:tab w:val="num" w:pos="1440"/>
        </w:tabs>
        <w:ind w:left="1440" w:hanging="360"/>
      </w:pPr>
      <w:rPr>
        <w:rFonts w:ascii="Arial" w:hAnsi="Arial" w:cs="Arial" w:hint="default"/>
      </w:rPr>
    </w:lvl>
    <w:lvl w:ilvl="2" w:tplc="21E48978">
      <w:start w:val="1"/>
      <w:numFmt w:val="bullet"/>
      <w:lvlText w:val="•"/>
      <w:lvlJc w:val="left"/>
      <w:pPr>
        <w:tabs>
          <w:tab w:val="num" w:pos="2160"/>
        </w:tabs>
        <w:ind w:left="2160" w:hanging="360"/>
      </w:pPr>
      <w:rPr>
        <w:rFonts w:ascii="Arial" w:hAnsi="Arial" w:cs="Arial" w:hint="default"/>
      </w:rPr>
    </w:lvl>
    <w:lvl w:ilvl="3" w:tplc="62A863B8">
      <w:start w:val="1"/>
      <w:numFmt w:val="bullet"/>
      <w:lvlText w:val="•"/>
      <w:lvlJc w:val="left"/>
      <w:pPr>
        <w:tabs>
          <w:tab w:val="num" w:pos="2880"/>
        </w:tabs>
        <w:ind w:left="2880" w:hanging="360"/>
      </w:pPr>
      <w:rPr>
        <w:rFonts w:ascii="Arial" w:hAnsi="Arial" w:cs="Arial" w:hint="default"/>
      </w:rPr>
    </w:lvl>
    <w:lvl w:ilvl="4" w:tplc="0EA41350">
      <w:start w:val="1"/>
      <w:numFmt w:val="bullet"/>
      <w:lvlText w:val="•"/>
      <w:lvlJc w:val="left"/>
      <w:pPr>
        <w:tabs>
          <w:tab w:val="num" w:pos="3600"/>
        </w:tabs>
        <w:ind w:left="3600" w:hanging="360"/>
      </w:pPr>
      <w:rPr>
        <w:rFonts w:ascii="Arial" w:hAnsi="Arial" w:cs="Arial" w:hint="default"/>
      </w:rPr>
    </w:lvl>
    <w:lvl w:ilvl="5" w:tplc="40901F34">
      <w:start w:val="1"/>
      <w:numFmt w:val="bullet"/>
      <w:lvlText w:val="•"/>
      <w:lvlJc w:val="left"/>
      <w:pPr>
        <w:tabs>
          <w:tab w:val="num" w:pos="4320"/>
        </w:tabs>
        <w:ind w:left="4320" w:hanging="360"/>
      </w:pPr>
      <w:rPr>
        <w:rFonts w:ascii="Arial" w:hAnsi="Arial" w:cs="Arial" w:hint="default"/>
      </w:rPr>
    </w:lvl>
    <w:lvl w:ilvl="6" w:tplc="742E8DD8">
      <w:start w:val="1"/>
      <w:numFmt w:val="bullet"/>
      <w:lvlText w:val="•"/>
      <w:lvlJc w:val="left"/>
      <w:pPr>
        <w:tabs>
          <w:tab w:val="num" w:pos="5040"/>
        </w:tabs>
        <w:ind w:left="5040" w:hanging="360"/>
      </w:pPr>
      <w:rPr>
        <w:rFonts w:ascii="Arial" w:hAnsi="Arial" w:cs="Arial" w:hint="default"/>
      </w:rPr>
    </w:lvl>
    <w:lvl w:ilvl="7" w:tplc="38A6C76C">
      <w:start w:val="1"/>
      <w:numFmt w:val="bullet"/>
      <w:lvlText w:val="•"/>
      <w:lvlJc w:val="left"/>
      <w:pPr>
        <w:tabs>
          <w:tab w:val="num" w:pos="5760"/>
        </w:tabs>
        <w:ind w:left="5760" w:hanging="360"/>
      </w:pPr>
      <w:rPr>
        <w:rFonts w:ascii="Arial" w:hAnsi="Arial" w:cs="Arial" w:hint="default"/>
      </w:rPr>
    </w:lvl>
    <w:lvl w:ilvl="8" w:tplc="1954EBFE">
      <w:start w:val="1"/>
      <w:numFmt w:val="bullet"/>
      <w:lvlText w:val="•"/>
      <w:lvlJc w:val="left"/>
      <w:pPr>
        <w:tabs>
          <w:tab w:val="num" w:pos="6480"/>
        </w:tabs>
        <w:ind w:left="6480" w:hanging="360"/>
      </w:pPr>
      <w:rPr>
        <w:rFonts w:ascii="Arial" w:hAnsi="Arial" w:cs="Arial" w:hint="default"/>
      </w:rPr>
    </w:lvl>
  </w:abstractNum>
  <w:abstractNum w:abstractNumId="1" w15:restartNumberingAfterBreak="0">
    <w:nsid w:val="2F36693C"/>
    <w:multiLevelType w:val="hybridMultilevel"/>
    <w:tmpl w:val="DB0CE6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763BC1"/>
    <w:multiLevelType w:val="hybridMultilevel"/>
    <w:tmpl w:val="49C46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D3FB1"/>
    <w:multiLevelType w:val="hybridMultilevel"/>
    <w:tmpl w:val="470632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FB1197A"/>
    <w:multiLevelType w:val="hybridMultilevel"/>
    <w:tmpl w:val="3B10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5979A1"/>
    <w:multiLevelType w:val="hybridMultilevel"/>
    <w:tmpl w:val="DAC445AA"/>
    <w:lvl w:ilvl="0" w:tplc="DA883A24">
      <w:start w:val="1"/>
      <w:numFmt w:val="lowerLetter"/>
      <w:lvlText w:val="%1)"/>
      <w:lvlJc w:val="left"/>
      <w:pPr>
        <w:tabs>
          <w:tab w:val="num" w:pos="3780"/>
        </w:tabs>
        <w:ind w:left="3780" w:hanging="360"/>
      </w:pPr>
      <w:rPr>
        <w:rFonts w:cs="Times New Roman"/>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33"/>
    <w:rsid w:val="00122692"/>
    <w:rsid w:val="003207B3"/>
    <w:rsid w:val="003D0E1E"/>
    <w:rsid w:val="003F1FC2"/>
    <w:rsid w:val="007C0333"/>
    <w:rsid w:val="008C35D5"/>
    <w:rsid w:val="00B55735"/>
    <w:rsid w:val="00BB50A7"/>
    <w:rsid w:val="00DC57CC"/>
    <w:rsid w:val="00F94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2D4AAE-0C7C-41F9-8547-D8F54CEA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33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C03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C0333"/>
    <w:pPr>
      <w:keepNext/>
      <w:jc w:val="both"/>
      <w:outlineLvl w:val="1"/>
    </w:pPr>
    <w:rPr>
      <w:b/>
      <w:color w:val="00000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C0333"/>
    <w:rPr>
      <w:rFonts w:ascii="Times New Roman" w:eastAsia="Times New Roman" w:hAnsi="Times New Roman" w:cs="Times New Roman"/>
      <w:b/>
      <w:color w:val="000000"/>
      <w:sz w:val="24"/>
      <w:szCs w:val="20"/>
      <w:u w:val="single"/>
    </w:rPr>
  </w:style>
  <w:style w:type="paragraph" w:customStyle="1" w:styleId="NewHeading1">
    <w:name w:val="New Heading 1"/>
    <w:basedOn w:val="Normal"/>
    <w:link w:val="NewHeading1Char"/>
    <w:uiPriority w:val="99"/>
    <w:rsid w:val="007C0333"/>
    <w:pPr>
      <w:spacing w:line="360" w:lineRule="auto"/>
      <w:ind w:left="360"/>
    </w:pPr>
    <w:rPr>
      <w:rFonts w:ascii="Copperplate Gothic Bold" w:hAnsi="Copperplate Gothic Bold"/>
      <w:color w:val="0B3D91"/>
    </w:rPr>
  </w:style>
  <w:style w:type="character" w:customStyle="1" w:styleId="NewHeading1Char">
    <w:name w:val="New Heading 1 Char"/>
    <w:basedOn w:val="DefaultParagraphFont"/>
    <w:link w:val="NewHeading1"/>
    <w:uiPriority w:val="99"/>
    <w:locked/>
    <w:rsid w:val="007C0333"/>
    <w:rPr>
      <w:rFonts w:ascii="Copperplate Gothic Bold" w:eastAsia="Times New Roman" w:hAnsi="Copperplate Gothic Bold" w:cs="Times New Roman"/>
      <w:color w:val="0B3D91"/>
      <w:sz w:val="24"/>
      <w:szCs w:val="24"/>
    </w:rPr>
  </w:style>
  <w:style w:type="paragraph" w:customStyle="1" w:styleId="BodyCopy">
    <w:name w:val="Body Copy"/>
    <w:basedOn w:val="Normal"/>
    <w:link w:val="BodyCopyChar"/>
    <w:rsid w:val="007C0333"/>
    <w:pPr>
      <w:spacing w:line="360" w:lineRule="auto"/>
    </w:pPr>
    <w:rPr>
      <w:color w:val="000000"/>
    </w:rPr>
  </w:style>
  <w:style w:type="character" w:customStyle="1" w:styleId="BodyCopyChar">
    <w:name w:val="Body Copy Char"/>
    <w:basedOn w:val="DefaultParagraphFont"/>
    <w:link w:val="BodyCopy"/>
    <w:locked/>
    <w:rsid w:val="007C0333"/>
    <w:rPr>
      <w:rFonts w:ascii="Times New Roman" w:eastAsia="Times New Roman" w:hAnsi="Times New Roman" w:cs="Times New Roman"/>
      <w:color w:val="000000"/>
      <w:sz w:val="24"/>
      <w:szCs w:val="24"/>
    </w:rPr>
  </w:style>
  <w:style w:type="paragraph" w:customStyle="1" w:styleId="Default">
    <w:name w:val="Default"/>
    <w:link w:val="DefaultChar"/>
    <w:rsid w:val="007C033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AppHeading1">
    <w:name w:val="App Heading 1"/>
    <w:basedOn w:val="Heading1"/>
    <w:uiPriority w:val="99"/>
    <w:rsid w:val="007C0333"/>
    <w:pPr>
      <w:keepNext w:val="0"/>
      <w:keepLines w:val="0"/>
      <w:spacing w:before="0" w:line="360" w:lineRule="auto"/>
      <w:ind w:left="360" w:hanging="360"/>
    </w:pPr>
    <w:rPr>
      <w:rFonts w:ascii="Copperplate Gothic Bold" w:eastAsia="Times New Roman" w:hAnsi="Copperplate Gothic Bold" w:cs="Times New Roman"/>
      <w:b w:val="0"/>
      <w:bCs w:val="0"/>
      <w:color w:val="0B3D91"/>
      <w:sz w:val="24"/>
      <w:szCs w:val="22"/>
    </w:rPr>
  </w:style>
  <w:style w:type="paragraph" w:styleId="PlainText">
    <w:name w:val="Plain Text"/>
    <w:basedOn w:val="Normal"/>
    <w:link w:val="PlainTextChar"/>
    <w:uiPriority w:val="99"/>
    <w:rsid w:val="007C0333"/>
    <w:rPr>
      <w:rFonts w:ascii="Courier New" w:hAnsi="Courier New" w:cs="Courier New"/>
      <w:sz w:val="20"/>
      <w:szCs w:val="20"/>
    </w:rPr>
  </w:style>
  <w:style w:type="character" w:customStyle="1" w:styleId="PlainTextChar">
    <w:name w:val="Plain Text Char"/>
    <w:basedOn w:val="DefaultParagraphFont"/>
    <w:link w:val="PlainText"/>
    <w:uiPriority w:val="99"/>
    <w:rsid w:val="007C0333"/>
    <w:rPr>
      <w:rFonts w:ascii="Courier New" w:eastAsia="Times New Roman" w:hAnsi="Courier New" w:cs="Courier New"/>
      <w:sz w:val="20"/>
      <w:szCs w:val="20"/>
    </w:rPr>
  </w:style>
  <w:style w:type="paragraph" w:styleId="ListParagraph">
    <w:name w:val="List Paragraph"/>
    <w:basedOn w:val="Normal"/>
    <w:uiPriority w:val="34"/>
    <w:qFormat/>
    <w:rsid w:val="007C0333"/>
    <w:pPr>
      <w:ind w:left="720"/>
      <w:contextualSpacing/>
    </w:pPr>
  </w:style>
  <w:style w:type="character" w:customStyle="1" w:styleId="DefaultChar">
    <w:name w:val="Default Char"/>
    <w:basedOn w:val="DefaultParagraphFont"/>
    <w:link w:val="Default"/>
    <w:rsid w:val="007C0333"/>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7C0333"/>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BB50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 User</dc:creator>
  <dc:description/>
  <cp:lastModifiedBy>Claire Standley</cp:lastModifiedBy>
  <cp:revision>1</cp:revision>
  <dcterms:created xsi:type="dcterms:W3CDTF">2014-02-11T13:37:00Z</dcterms:created>
  <dcterms:modified xsi:type="dcterms:W3CDTF">2023-05-15T09:36:00Z</dcterms:modified>
  <cp:category/>
</cp:coreProperties>
</file>