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0" w:type="auto"/>
        <w:tblLook w:val="04A0" w:firstRow="1" w:lastRow="0" w:firstColumn="1" w:lastColumn="0" w:noHBand="0" w:noVBand="1"/>
      </w:tblPr>
      <w:tblGrid>
        <w:gridCol w:w="4508"/>
        <w:gridCol w:w="4508"/>
      </w:tblGrid>
      <w:tr w:rsidR="00F851D1" w:rsidRPr="00F851D1" w14:paraId="550F1801" w14:textId="77777777" w:rsidTr="00DE6533">
        <w:tc>
          <w:tcPr>
            <w:tcW w:w="4508" w:type="dxa"/>
            <w:tcBorders>
              <w:top w:val="nil"/>
              <w:left w:val="nil"/>
              <w:bottom w:val="nil"/>
              <w:right w:val="nil"/>
            </w:tcBorders>
          </w:tcPr>
          <w:p w14:paraId="3BA4E33D" w14:textId="429A7838" w:rsidR="00F851D1" w:rsidRPr="00F851D1" w:rsidRDefault="00F851D1" w:rsidP="00DE6533">
            <w:pPr>
              <w:keepNext/>
              <w:keepLines/>
              <w:spacing w:after="360"/>
              <w:rPr>
                <w:rFonts w:ascii="Arial Narrow" w:hAnsi="Arial Narrow"/>
                <w:b/>
                <w:bCs/>
                <w:lang w:val="fr-FR"/>
              </w:rPr>
            </w:pPr>
            <w:bookmarkStart w:id="0" w:name="_GoBack"/>
            <w:bookmarkEnd w:id="0"/>
            <w:r w:rsidRPr="00F851D1">
              <w:rPr>
                <w:rFonts w:ascii="Arial Narrow" w:hAnsi="Arial Narrow"/>
                <w:b/>
                <w:bCs/>
                <w:lang w:val="fr-FR"/>
              </w:rPr>
              <w:t>R</w:t>
            </w:r>
            <w:r w:rsidR="00F713FB" w:rsidRPr="00F851D1">
              <w:rPr>
                <w:rFonts w:ascii="Arial Narrow" w:hAnsi="Arial Narrow"/>
                <w:b/>
                <w:bCs/>
                <w:lang w:val="fr-FR"/>
              </w:rPr>
              <w:t>evue intra-action</w:t>
            </w:r>
            <w:r w:rsidRPr="00F851D1">
              <w:rPr>
                <w:rFonts w:ascii="Arial Narrow" w:hAnsi="Arial Narrow"/>
                <w:b/>
                <w:bCs/>
                <w:lang w:val="fr-FR"/>
              </w:rPr>
              <w:t xml:space="preserve"> (RIA) </w:t>
            </w:r>
            <w:r w:rsidR="00F713FB" w:rsidRPr="00F851D1">
              <w:rPr>
                <w:rFonts w:ascii="Arial Narrow" w:hAnsi="Arial Narrow"/>
                <w:b/>
                <w:bCs/>
                <w:lang w:val="fr-FR"/>
              </w:rPr>
              <w:t>de la</w:t>
            </w:r>
            <w:r w:rsidRPr="00F851D1">
              <w:rPr>
                <w:rFonts w:ascii="Arial Narrow" w:hAnsi="Arial Narrow"/>
                <w:b/>
                <w:bCs/>
                <w:lang w:val="fr-FR"/>
              </w:rPr>
              <w:t xml:space="preserve"> COVID-19</w:t>
            </w:r>
          </w:p>
          <w:p w14:paraId="3FAE663D" w14:textId="1E1F9131" w:rsidR="00F851D1" w:rsidRPr="00F851D1" w:rsidRDefault="00F851D1" w:rsidP="00F851D1">
            <w:pPr>
              <w:keepNext/>
              <w:keepLines/>
              <w:spacing w:after="120"/>
              <w:rPr>
                <w:rFonts w:ascii="Arial Narrow" w:hAnsi="Arial Narrow"/>
                <w:b/>
                <w:bCs/>
                <w:lang w:val="fr-FR"/>
              </w:rPr>
            </w:pPr>
            <w:r w:rsidRPr="00F851D1">
              <w:rPr>
                <w:rFonts w:ascii="Arial Narrow" w:hAnsi="Arial Narrow"/>
                <w:b/>
                <w:bCs/>
                <w:lang w:val="fr-FR"/>
              </w:rPr>
              <w:t>Modèle de note conceptuelle</w:t>
            </w:r>
          </w:p>
          <w:p w14:paraId="20950C27" w14:textId="34AD93D7" w:rsidR="00F851D1" w:rsidRPr="00F851D1" w:rsidRDefault="00F851D1" w:rsidP="00DE6533">
            <w:pPr>
              <w:keepNext/>
              <w:keepLines/>
              <w:rPr>
                <w:rFonts w:ascii="Arial Narrow" w:hAnsi="Arial Narrow"/>
                <w:b/>
                <w:bCs/>
                <w:lang w:val="fr-FR"/>
              </w:rPr>
            </w:pPr>
            <w:r w:rsidRPr="00F851D1">
              <w:rPr>
                <w:rFonts w:ascii="Arial Narrow" w:hAnsi="Arial Narrow"/>
                <w:b/>
                <w:bCs/>
                <w:lang w:val="fr-FR"/>
              </w:rPr>
              <w:t>23 juillet 2020</w:t>
            </w:r>
          </w:p>
          <w:p w14:paraId="10FFED6B" w14:textId="77777777" w:rsidR="00F851D1" w:rsidRPr="00F851D1" w:rsidRDefault="00F851D1" w:rsidP="00DE6533">
            <w:pPr>
              <w:keepNext/>
              <w:keepLines/>
              <w:rPr>
                <w:rFonts w:ascii="Arial Narrow" w:hAnsi="Arial Narrow"/>
                <w:b/>
                <w:bCs/>
                <w:lang w:val="fr-FR"/>
              </w:rPr>
            </w:pPr>
          </w:p>
        </w:tc>
        <w:tc>
          <w:tcPr>
            <w:tcW w:w="4508" w:type="dxa"/>
            <w:tcBorders>
              <w:top w:val="nil"/>
              <w:left w:val="nil"/>
              <w:bottom w:val="nil"/>
              <w:right w:val="nil"/>
            </w:tcBorders>
          </w:tcPr>
          <w:p w14:paraId="4543CCA8" w14:textId="77777777" w:rsidR="00F851D1" w:rsidRPr="00F851D1" w:rsidRDefault="00F851D1" w:rsidP="00DE6533">
            <w:pPr>
              <w:keepNext/>
              <w:keepLines/>
              <w:jc w:val="right"/>
              <w:rPr>
                <w:rFonts w:asciiTheme="minorHAnsi" w:hAnsiTheme="minorHAnsi"/>
                <w:b/>
                <w:lang w:val="fr-FR"/>
              </w:rPr>
            </w:pPr>
            <w:r w:rsidRPr="00F851D1">
              <w:rPr>
                <w:rFonts w:asciiTheme="minorHAnsi" w:hAnsiTheme="minorHAnsi"/>
                <w:b/>
                <w:noProof/>
                <w:lang w:val="fr-FR"/>
              </w:rPr>
              <w:drawing>
                <wp:inline distT="0" distB="0" distL="0" distR="0" wp14:anchorId="3F18C970" wp14:editId="6818359B">
                  <wp:extent cx="1850525" cy="468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1852808" cy="469208"/>
                          </a:xfrm>
                          <a:prstGeom prst="rect">
                            <a:avLst/>
                          </a:prstGeom>
                        </pic:spPr>
                      </pic:pic>
                    </a:graphicData>
                  </a:graphic>
                </wp:inline>
              </w:drawing>
            </w:r>
          </w:p>
        </w:tc>
      </w:tr>
    </w:tbl>
    <w:p w14:paraId="1EDC2841" w14:textId="77777777" w:rsidR="002A0814" w:rsidRPr="002A0814" w:rsidRDefault="002A0814" w:rsidP="002A0814">
      <w:pPr>
        <w:pStyle w:val="Heading2"/>
        <w:spacing w:before="0"/>
        <w:rPr>
          <w:rFonts w:asciiTheme="minorHAnsi" w:hAnsiTheme="minorHAnsi" w:cstheme="minorHAnsi"/>
          <w:b w:val="0"/>
          <w:bCs/>
          <w:color w:val="auto"/>
          <w:sz w:val="28"/>
          <w:szCs w:val="28"/>
          <w:lang w:val="fr-FR"/>
        </w:rPr>
      </w:pPr>
    </w:p>
    <w:p w14:paraId="290B8E20" w14:textId="76549283" w:rsidR="00CC5BD7" w:rsidRPr="002A0814" w:rsidRDefault="002A0814" w:rsidP="002A0814">
      <w:pPr>
        <w:pBdr>
          <w:bottom w:val="single" w:sz="6" w:space="1" w:color="auto"/>
        </w:pBdr>
        <w:spacing w:after="0"/>
        <w:jc w:val="both"/>
        <w:rPr>
          <w:rFonts w:eastAsiaTheme="minorEastAsia"/>
          <w:i/>
          <w:iCs/>
          <w:color w:val="365F91" w:themeColor="accent1" w:themeShade="BF"/>
          <w:lang w:val="fr-FR"/>
        </w:rPr>
      </w:pPr>
      <w:r w:rsidRPr="002A0814">
        <w:rPr>
          <w:rFonts w:eastAsiaTheme="minorEastAsia"/>
          <w:b/>
          <w:i/>
          <w:iCs/>
          <w:color w:val="365F91" w:themeColor="accent1" w:themeShade="BF"/>
          <w:lang w:val="fr-FR"/>
        </w:rPr>
        <w:t>Cette note conceptuelle d</w:t>
      </w:r>
      <w:r>
        <w:rPr>
          <w:rFonts w:eastAsiaTheme="minorEastAsia"/>
          <w:b/>
          <w:i/>
          <w:iCs/>
          <w:color w:val="365F91" w:themeColor="accent1" w:themeShade="BF"/>
          <w:lang w:val="fr-FR"/>
        </w:rPr>
        <w:t>e la revue int</w:t>
      </w:r>
      <w:r w:rsidR="00CC5BD7">
        <w:rPr>
          <w:rFonts w:eastAsiaTheme="minorEastAsia"/>
          <w:b/>
          <w:i/>
          <w:iCs/>
          <w:color w:val="365F91" w:themeColor="accent1" w:themeShade="BF"/>
          <w:lang w:val="fr-FR"/>
        </w:rPr>
        <w:t>ra</w:t>
      </w:r>
      <w:r>
        <w:rPr>
          <w:rFonts w:eastAsiaTheme="minorEastAsia"/>
          <w:b/>
          <w:i/>
          <w:iCs/>
          <w:color w:val="365F91" w:themeColor="accent1" w:themeShade="BF"/>
          <w:lang w:val="fr-FR"/>
        </w:rPr>
        <w:t>-</w:t>
      </w:r>
      <w:r w:rsidRPr="002A0814">
        <w:rPr>
          <w:rFonts w:eastAsiaTheme="minorEastAsia"/>
          <w:b/>
          <w:i/>
          <w:iCs/>
          <w:color w:val="365F91" w:themeColor="accent1" w:themeShade="BF"/>
          <w:lang w:val="fr-FR"/>
        </w:rPr>
        <w:t>action</w:t>
      </w:r>
      <w:r w:rsidRPr="002A0814">
        <w:rPr>
          <w:rFonts w:eastAsiaTheme="minorEastAsia"/>
          <w:i/>
          <w:iCs/>
          <w:color w:val="365F91" w:themeColor="accent1" w:themeShade="BF"/>
          <w:lang w:val="fr-FR"/>
        </w:rPr>
        <w:t xml:space="preserve"> est un document qui définit clairement le projet tel qu'il a été convenu par toutes les parties prenantes. L'objectif de la note conceptuelle est de </w:t>
      </w:r>
      <w:r w:rsidR="00CC5BD7">
        <w:rPr>
          <w:rFonts w:eastAsiaTheme="minorEastAsia"/>
          <w:i/>
          <w:iCs/>
          <w:color w:val="365F91" w:themeColor="accent1" w:themeShade="BF"/>
          <w:lang w:val="fr-FR"/>
        </w:rPr>
        <w:t>présenter le</w:t>
      </w:r>
      <w:r w:rsidRPr="002A0814">
        <w:rPr>
          <w:rFonts w:eastAsiaTheme="minorEastAsia"/>
          <w:i/>
          <w:iCs/>
          <w:color w:val="365F91" w:themeColor="accent1" w:themeShade="BF"/>
          <w:lang w:val="fr-FR"/>
        </w:rPr>
        <w:t>s éléments clés de l</w:t>
      </w:r>
      <w:r>
        <w:rPr>
          <w:rFonts w:eastAsiaTheme="minorEastAsia"/>
          <w:i/>
          <w:iCs/>
          <w:color w:val="365F91" w:themeColor="accent1" w:themeShade="BF"/>
          <w:lang w:val="fr-FR"/>
        </w:rPr>
        <w:t>a revue intr</w:t>
      </w:r>
      <w:r w:rsidR="00CC5BD7">
        <w:rPr>
          <w:rFonts w:eastAsiaTheme="minorEastAsia"/>
          <w:i/>
          <w:iCs/>
          <w:color w:val="365F91" w:themeColor="accent1" w:themeShade="BF"/>
          <w:lang w:val="fr-FR"/>
        </w:rPr>
        <w:t>a</w:t>
      </w:r>
      <w:r>
        <w:rPr>
          <w:rFonts w:eastAsiaTheme="minorEastAsia"/>
          <w:i/>
          <w:iCs/>
          <w:color w:val="365F91" w:themeColor="accent1" w:themeShade="BF"/>
          <w:lang w:val="fr-FR"/>
        </w:rPr>
        <w:t>-action</w:t>
      </w:r>
      <w:r w:rsidRPr="002A0814">
        <w:rPr>
          <w:rFonts w:eastAsiaTheme="minorEastAsia"/>
          <w:i/>
          <w:iCs/>
          <w:color w:val="365F91" w:themeColor="accent1" w:themeShade="BF"/>
          <w:lang w:val="fr-FR"/>
        </w:rPr>
        <w:t xml:space="preserve"> </w:t>
      </w:r>
      <w:r w:rsidR="00CC5BD7">
        <w:rPr>
          <w:rFonts w:eastAsiaTheme="minorEastAsia"/>
          <w:i/>
          <w:iCs/>
          <w:color w:val="365F91" w:themeColor="accent1" w:themeShade="BF"/>
          <w:lang w:val="fr-FR"/>
        </w:rPr>
        <w:t>de sa p</w:t>
      </w:r>
      <w:r w:rsidRPr="002A0814">
        <w:rPr>
          <w:rFonts w:eastAsiaTheme="minorEastAsia"/>
          <w:i/>
          <w:iCs/>
          <w:color w:val="365F91" w:themeColor="accent1" w:themeShade="BF"/>
          <w:lang w:val="fr-FR"/>
        </w:rPr>
        <w:t>répar</w:t>
      </w:r>
      <w:r w:rsidR="00CC5BD7">
        <w:rPr>
          <w:rFonts w:eastAsiaTheme="minorEastAsia"/>
          <w:i/>
          <w:iCs/>
          <w:color w:val="365F91" w:themeColor="accent1" w:themeShade="BF"/>
          <w:lang w:val="fr-FR"/>
        </w:rPr>
        <w:t>ation et de sa conduite</w:t>
      </w:r>
      <w:r w:rsidRPr="002A0814">
        <w:rPr>
          <w:rFonts w:eastAsiaTheme="minorEastAsia"/>
          <w:i/>
          <w:iCs/>
          <w:color w:val="365F91" w:themeColor="accent1" w:themeShade="BF"/>
          <w:lang w:val="fr-FR"/>
        </w:rPr>
        <w:t xml:space="preserve">. </w:t>
      </w:r>
      <w:r w:rsidR="00CC5BD7" w:rsidRPr="00CC5BD7">
        <w:rPr>
          <w:rFonts w:eastAsiaTheme="minorEastAsia"/>
          <w:i/>
          <w:iCs/>
          <w:color w:val="365F91" w:themeColor="accent1" w:themeShade="BF"/>
          <w:lang w:val="fr-FR"/>
        </w:rPr>
        <w:t>Dans la note concept</w:t>
      </w:r>
      <w:r w:rsidR="00CC5BD7">
        <w:rPr>
          <w:rFonts w:eastAsiaTheme="minorEastAsia"/>
          <w:i/>
          <w:iCs/>
          <w:color w:val="365F91" w:themeColor="accent1" w:themeShade="BF"/>
          <w:lang w:val="fr-FR"/>
        </w:rPr>
        <w:t>uelle</w:t>
      </w:r>
      <w:r w:rsidR="00CC5BD7" w:rsidRPr="00CC5BD7">
        <w:rPr>
          <w:rFonts w:eastAsiaTheme="minorEastAsia"/>
          <w:i/>
          <w:iCs/>
          <w:color w:val="365F91" w:themeColor="accent1" w:themeShade="BF"/>
          <w:lang w:val="fr-FR"/>
        </w:rPr>
        <w:t xml:space="preserve">, la portée, les objectifs et la date de </w:t>
      </w:r>
      <w:r w:rsidR="00CC5BD7">
        <w:rPr>
          <w:rFonts w:eastAsiaTheme="minorEastAsia"/>
          <w:i/>
          <w:iCs/>
          <w:color w:val="365F91" w:themeColor="accent1" w:themeShade="BF"/>
          <w:lang w:val="fr-FR"/>
        </w:rPr>
        <w:t>la revue</w:t>
      </w:r>
      <w:r w:rsidR="00CC5BD7" w:rsidRPr="00CC5BD7">
        <w:rPr>
          <w:rFonts w:eastAsiaTheme="minorEastAsia"/>
          <w:i/>
          <w:iCs/>
          <w:color w:val="365F91" w:themeColor="accent1" w:themeShade="BF"/>
          <w:lang w:val="fr-FR"/>
        </w:rPr>
        <w:t xml:space="preserve"> doivent être clairement définis. La note </w:t>
      </w:r>
      <w:r w:rsidR="00CC5BD7">
        <w:rPr>
          <w:rFonts w:eastAsiaTheme="minorEastAsia"/>
          <w:i/>
          <w:iCs/>
          <w:color w:val="365F91" w:themeColor="accent1" w:themeShade="BF"/>
          <w:lang w:val="fr-FR"/>
        </w:rPr>
        <w:t>c</w:t>
      </w:r>
      <w:r w:rsidR="00CC5BD7" w:rsidRPr="00CC5BD7">
        <w:rPr>
          <w:rFonts w:eastAsiaTheme="minorEastAsia"/>
          <w:i/>
          <w:iCs/>
          <w:color w:val="365F91" w:themeColor="accent1" w:themeShade="BF"/>
          <w:lang w:val="fr-FR"/>
        </w:rPr>
        <w:t>oncept</w:t>
      </w:r>
      <w:r w:rsidR="00CC5BD7">
        <w:rPr>
          <w:rFonts w:eastAsiaTheme="minorEastAsia"/>
          <w:i/>
          <w:iCs/>
          <w:color w:val="365F91" w:themeColor="accent1" w:themeShade="BF"/>
          <w:lang w:val="fr-FR"/>
        </w:rPr>
        <w:t>uelle</w:t>
      </w:r>
      <w:r w:rsidR="00CC5BD7" w:rsidRPr="00CC5BD7">
        <w:rPr>
          <w:rFonts w:eastAsiaTheme="minorEastAsia"/>
          <w:i/>
          <w:iCs/>
          <w:color w:val="365F91" w:themeColor="accent1" w:themeShade="BF"/>
          <w:lang w:val="fr-FR"/>
        </w:rPr>
        <w:t xml:space="preserve"> doit également donner un aperçu des principaux participants, des méthodologies, du budget proposé, et définir les rôles et responsabilités de l'équip</w:t>
      </w:r>
      <w:r w:rsidR="00CC5BD7">
        <w:rPr>
          <w:rFonts w:eastAsiaTheme="minorEastAsia"/>
          <w:i/>
          <w:iCs/>
          <w:color w:val="365F91" w:themeColor="accent1" w:themeShade="BF"/>
          <w:lang w:val="fr-FR"/>
        </w:rPr>
        <w:t>e</w:t>
      </w:r>
      <w:r w:rsidR="00CC5BD7" w:rsidRPr="00CC5BD7">
        <w:rPr>
          <w:rFonts w:eastAsiaTheme="minorEastAsia"/>
          <w:i/>
          <w:iCs/>
          <w:color w:val="365F91" w:themeColor="accent1" w:themeShade="BF"/>
          <w:lang w:val="fr-FR"/>
        </w:rPr>
        <w:t>. La note concept</w:t>
      </w:r>
      <w:r w:rsidR="00CC5BD7">
        <w:rPr>
          <w:rFonts w:eastAsiaTheme="minorEastAsia"/>
          <w:i/>
          <w:iCs/>
          <w:color w:val="365F91" w:themeColor="accent1" w:themeShade="BF"/>
          <w:lang w:val="fr-FR"/>
        </w:rPr>
        <w:t>uelle</w:t>
      </w:r>
      <w:r w:rsidR="00CC5BD7" w:rsidRPr="00CC5BD7">
        <w:rPr>
          <w:rFonts w:eastAsiaTheme="minorEastAsia"/>
          <w:i/>
          <w:iCs/>
          <w:color w:val="365F91" w:themeColor="accent1" w:themeShade="BF"/>
          <w:lang w:val="fr-FR"/>
        </w:rPr>
        <w:t xml:space="preserve"> est </w:t>
      </w:r>
      <w:r w:rsidR="00CC5BD7">
        <w:rPr>
          <w:rFonts w:eastAsiaTheme="minorEastAsia"/>
          <w:i/>
          <w:iCs/>
          <w:color w:val="365F91" w:themeColor="accent1" w:themeShade="BF"/>
          <w:lang w:val="fr-FR"/>
        </w:rPr>
        <w:t xml:space="preserve">ainsi </w:t>
      </w:r>
      <w:r w:rsidR="00CC5BD7" w:rsidRPr="00CC5BD7">
        <w:rPr>
          <w:rFonts w:eastAsiaTheme="minorEastAsia"/>
          <w:i/>
          <w:iCs/>
          <w:color w:val="365F91" w:themeColor="accent1" w:themeShade="BF"/>
          <w:lang w:val="fr-FR"/>
        </w:rPr>
        <w:t xml:space="preserve">utilisée comme le document de référence clé pendant toutes les phases du projet, de la planification, </w:t>
      </w:r>
      <w:r w:rsidR="00CC5BD7">
        <w:rPr>
          <w:rFonts w:eastAsiaTheme="minorEastAsia"/>
          <w:i/>
          <w:iCs/>
          <w:color w:val="365F91" w:themeColor="accent1" w:themeShade="BF"/>
          <w:lang w:val="fr-FR"/>
        </w:rPr>
        <w:t>a</w:t>
      </w:r>
      <w:r w:rsidR="00CC5BD7" w:rsidRPr="00CC5BD7">
        <w:rPr>
          <w:rFonts w:eastAsiaTheme="minorEastAsia"/>
          <w:i/>
          <w:iCs/>
          <w:color w:val="365F91" w:themeColor="accent1" w:themeShade="BF"/>
          <w:lang w:val="fr-FR"/>
        </w:rPr>
        <w:t xml:space="preserve">u développement du matériel </w:t>
      </w:r>
      <w:r w:rsidR="00CC5BD7">
        <w:rPr>
          <w:rFonts w:eastAsiaTheme="minorEastAsia"/>
          <w:i/>
          <w:iCs/>
          <w:color w:val="365F91" w:themeColor="accent1" w:themeShade="BF"/>
          <w:lang w:val="fr-FR"/>
        </w:rPr>
        <w:t>jusqu’</w:t>
      </w:r>
      <w:r w:rsidR="00CC5BD7" w:rsidRPr="00CC5BD7">
        <w:rPr>
          <w:rFonts w:eastAsiaTheme="minorEastAsia"/>
          <w:i/>
          <w:iCs/>
          <w:color w:val="365F91" w:themeColor="accent1" w:themeShade="BF"/>
          <w:lang w:val="fr-FR"/>
        </w:rPr>
        <w:t xml:space="preserve">à </w:t>
      </w:r>
      <w:r w:rsidR="00CC5BD7">
        <w:rPr>
          <w:rFonts w:eastAsiaTheme="minorEastAsia"/>
          <w:i/>
          <w:iCs/>
          <w:color w:val="365F91" w:themeColor="accent1" w:themeShade="BF"/>
          <w:lang w:val="fr-FR"/>
        </w:rPr>
        <w:t xml:space="preserve">son </w:t>
      </w:r>
      <w:r w:rsidR="00CC5BD7" w:rsidRPr="00CC5BD7">
        <w:rPr>
          <w:rFonts w:eastAsiaTheme="minorEastAsia"/>
          <w:i/>
          <w:iCs/>
          <w:color w:val="365F91" w:themeColor="accent1" w:themeShade="BF"/>
          <w:lang w:val="fr-FR"/>
        </w:rPr>
        <w:t>évaluation.</w:t>
      </w:r>
    </w:p>
    <w:p w14:paraId="65A27F08" w14:textId="77777777" w:rsidR="002A0814" w:rsidRPr="002A0814" w:rsidRDefault="002A0814" w:rsidP="002A0814">
      <w:pPr>
        <w:pBdr>
          <w:bottom w:val="single" w:sz="6" w:space="1" w:color="auto"/>
        </w:pBdr>
        <w:spacing w:after="0"/>
        <w:jc w:val="both"/>
        <w:rPr>
          <w:rFonts w:eastAsiaTheme="minorEastAsia"/>
          <w:i/>
          <w:iCs/>
          <w:color w:val="1F497D" w:themeColor="text2"/>
          <w:lang w:val="fr-FR"/>
        </w:rPr>
      </w:pPr>
    </w:p>
    <w:p w14:paraId="25F03F08" w14:textId="77777777" w:rsidR="002A0814" w:rsidRPr="002A0814" w:rsidRDefault="002A0814" w:rsidP="002A0814">
      <w:pPr>
        <w:rPr>
          <w:i/>
          <w:color w:val="4F81BD" w:themeColor="accent1"/>
          <w:lang w:val="fr-FR"/>
        </w:rPr>
      </w:pPr>
    </w:p>
    <w:p w14:paraId="0CAEE9AE" w14:textId="5D1D8346" w:rsidR="002A0814" w:rsidRPr="002A0814" w:rsidRDefault="002A0814" w:rsidP="002A0814">
      <w:pPr>
        <w:keepNext/>
        <w:keepLines/>
        <w:spacing w:after="0" w:line="240" w:lineRule="auto"/>
        <w:outlineLvl w:val="1"/>
        <w:rPr>
          <w:b/>
          <w:sz w:val="36"/>
          <w:szCs w:val="36"/>
          <w:lang w:val="fr-FR"/>
        </w:rPr>
      </w:pPr>
    </w:p>
    <w:p w14:paraId="2D476E89" w14:textId="574BF88B" w:rsidR="002A0814" w:rsidRPr="002A0814" w:rsidRDefault="002A0814" w:rsidP="002A0814">
      <w:pPr>
        <w:jc w:val="center"/>
        <w:rPr>
          <w:lang w:val="fr-FR"/>
        </w:rPr>
      </w:pPr>
      <w:r w:rsidRPr="002A0814">
        <w:rPr>
          <w:sz w:val="28"/>
          <w:szCs w:val="28"/>
          <w:lang w:val="fr-FR"/>
        </w:rPr>
        <w:t>Titre : Note conceptuelle pour l</w:t>
      </w:r>
      <w:r w:rsidR="003F552D">
        <w:rPr>
          <w:sz w:val="28"/>
          <w:szCs w:val="28"/>
          <w:lang w:val="fr-FR"/>
        </w:rPr>
        <w:t>a Revue Intr</w:t>
      </w:r>
      <w:r w:rsidR="00CC5BD7">
        <w:rPr>
          <w:sz w:val="28"/>
          <w:szCs w:val="28"/>
          <w:lang w:val="fr-FR"/>
        </w:rPr>
        <w:t>a</w:t>
      </w:r>
      <w:r w:rsidR="003F552D">
        <w:rPr>
          <w:sz w:val="28"/>
          <w:szCs w:val="28"/>
          <w:lang w:val="fr-FR"/>
        </w:rPr>
        <w:t>-Action (RIA)</w:t>
      </w:r>
      <w:r w:rsidRPr="002A0814">
        <w:rPr>
          <w:sz w:val="28"/>
          <w:szCs w:val="28"/>
          <w:lang w:val="fr-FR"/>
        </w:rPr>
        <w:t xml:space="preserve"> COVID-19 </w:t>
      </w:r>
    </w:p>
    <w:p w14:paraId="28684BB2" w14:textId="77777777" w:rsidR="002A0814" w:rsidRPr="002A0814" w:rsidRDefault="002A0814" w:rsidP="002A0814">
      <w:pPr>
        <w:jc w:val="center"/>
        <w:rPr>
          <w:lang w:val="fr-FR"/>
        </w:rPr>
      </w:pPr>
      <w:r w:rsidRPr="002A0814">
        <w:rPr>
          <w:sz w:val="28"/>
          <w:szCs w:val="28"/>
          <w:highlight w:val="yellow"/>
          <w:lang w:val="fr-FR"/>
        </w:rPr>
        <w:t>[</w:t>
      </w:r>
      <w:r w:rsidRPr="002A0814">
        <w:rPr>
          <w:b/>
          <w:color w:val="1F497D" w:themeColor="text2"/>
          <w:sz w:val="28"/>
          <w:szCs w:val="28"/>
          <w:highlight w:val="yellow"/>
          <w:lang w:val="fr-FR"/>
        </w:rPr>
        <w:t>PAYS</w:t>
      </w:r>
      <w:r w:rsidRPr="002A0814">
        <w:rPr>
          <w:sz w:val="28"/>
          <w:szCs w:val="28"/>
          <w:highlight w:val="yellow"/>
          <w:lang w:val="fr-FR"/>
        </w:rPr>
        <w:t>]</w:t>
      </w:r>
    </w:p>
    <w:p w14:paraId="442CC1E8" w14:textId="13364521" w:rsidR="002A0814" w:rsidRPr="005C471A" w:rsidRDefault="002A0814" w:rsidP="002A0814">
      <w:pPr>
        <w:spacing w:after="120" w:line="240" w:lineRule="auto"/>
        <w:jc w:val="center"/>
        <w:rPr>
          <w:lang w:val="en-US"/>
        </w:rPr>
      </w:pPr>
      <w:r w:rsidRPr="005C471A">
        <w:rPr>
          <w:sz w:val="28"/>
          <w:szCs w:val="28"/>
          <w:lang w:val="en-US"/>
        </w:rPr>
        <w:t>Date</w:t>
      </w:r>
      <w:r w:rsidR="00CC5BD7" w:rsidRPr="005C471A">
        <w:rPr>
          <w:sz w:val="28"/>
          <w:szCs w:val="28"/>
          <w:lang w:val="en-US"/>
        </w:rPr>
        <w:t>(s)</w:t>
      </w:r>
      <w:r w:rsidRPr="005C471A">
        <w:rPr>
          <w:sz w:val="28"/>
          <w:szCs w:val="28"/>
          <w:lang w:val="en-US"/>
        </w:rPr>
        <w:t xml:space="preserve">: </w:t>
      </w:r>
      <w:r w:rsidRPr="005C471A">
        <w:rPr>
          <w:sz w:val="28"/>
          <w:szCs w:val="28"/>
          <w:highlight w:val="yellow"/>
          <w:lang w:val="en-US"/>
        </w:rPr>
        <w:t>[</w:t>
      </w:r>
      <w:r w:rsidRPr="005C471A">
        <w:rPr>
          <w:b/>
          <w:color w:val="1F497D" w:themeColor="text2"/>
          <w:sz w:val="28"/>
          <w:szCs w:val="28"/>
          <w:highlight w:val="yellow"/>
          <w:lang w:val="en-US"/>
        </w:rPr>
        <w:t>JJ/MM/AAAA</w:t>
      </w:r>
      <w:r w:rsidRPr="005C471A">
        <w:rPr>
          <w:sz w:val="28"/>
          <w:szCs w:val="28"/>
          <w:highlight w:val="yellow"/>
          <w:lang w:val="en-US"/>
        </w:rPr>
        <w:t>]</w:t>
      </w:r>
    </w:p>
    <w:p w14:paraId="0417BDBF" w14:textId="77777777" w:rsidR="002A0814" w:rsidRPr="005C471A" w:rsidRDefault="002A0814" w:rsidP="002A0814">
      <w:pPr>
        <w:pStyle w:val="Heading2"/>
        <w:spacing w:before="0"/>
        <w:rPr>
          <w:rFonts w:asciiTheme="minorHAnsi" w:hAnsiTheme="minorHAnsi" w:cstheme="minorHAnsi"/>
          <w:lang w:val="en-US"/>
        </w:rPr>
      </w:pPr>
    </w:p>
    <w:p w14:paraId="1DD70169" w14:textId="77777777" w:rsidR="002A0814" w:rsidRPr="005E4AFC" w:rsidRDefault="002A0814" w:rsidP="005E4AFC">
      <w:pPr>
        <w:pStyle w:val="Heading2"/>
        <w:numPr>
          <w:ilvl w:val="0"/>
          <w:numId w:val="14"/>
        </w:numPr>
        <w:spacing w:before="0"/>
        <w:rPr>
          <w:rFonts w:asciiTheme="minorHAnsi" w:eastAsia="Calibri" w:hAnsiTheme="minorHAnsi" w:cstheme="minorHAnsi"/>
          <w:color w:val="auto"/>
          <w:sz w:val="28"/>
          <w:szCs w:val="28"/>
        </w:rPr>
      </w:pPr>
      <w:r w:rsidRPr="005E4AFC">
        <w:rPr>
          <w:rFonts w:asciiTheme="minorHAnsi" w:eastAsia="Calibri" w:hAnsiTheme="minorHAnsi" w:cstheme="minorHAnsi"/>
          <w:color w:val="auto"/>
          <w:sz w:val="28"/>
          <w:szCs w:val="28"/>
        </w:rPr>
        <w:t>Introduction</w:t>
      </w:r>
    </w:p>
    <w:p w14:paraId="5C5DD563" w14:textId="77777777" w:rsidR="002A0814" w:rsidRPr="005D211A" w:rsidRDefault="002A0814" w:rsidP="002A0814">
      <w:pPr>
        <w:spacing w:after="0"/>
        <w:rPr>
          <w:rFonts w:cstheme="minorHAnsi"/>
          <w:b/>
        </w:rPr>
      </w:pPr>
      <w:proofErr w:type="spellStart"/>
      <w:r>
        <w:rPr>
          <w:rFonts w:cstheme="minorHAnsi"/>
          <w:b/>
        </w:rPr>
        <w:t>Informations</w:t>
      </w:r>
      <w:proofErr w:type="spellEnd"/>
      <w:r w:rsidRPr="005D211A">
        <w:rPr>
          <w:rFonts w:cstheme="minorHAnsi"/>
          <w:b/>
        </w:rPr>
        <w:t xml:space="preserve"> </w:t>
      </w:r>
      <w:proofErr w:type="spellStart"/>
      <w:r w:rsidRPr="005D211A">
        <w:rPr>
          <w:rFonts w:cstheme="minorHAnsi"/>
          <w:b/>
        </w:rPr>
        <w:t>générales</w:t>
      </w:r>
      <w:proofErr w:type="spellEnd"/>
      <w:r w:rsidRPr="005D211A">
        <w:rPr>
          <w:rFonts w:cstheme="minorHAnsi"/>
          <w:b/>
        </w:rPr>
        <w:t xml:space="preserve"> </w:t>
      </w:r>
      <w:r>
        <w:rPr>
          <w:rFonts w:cstheme="minorHAnsi"/>
          <w:b/>
        </w:rPr>
        <w:t xml:space="preserve">sur </w:t>
      </w:r>
      <w:proofErr w:type="spellStart"/>
      <w:r>
        <w:rPr>
          <w:rFonts w:cstheme="minorHAnsi"/>
          <w:b/>
        </w:rPr>
        <w:t>l'événement</w:t>
      </w:r>
      <w:proofErr w:type="spellEnd"/>
    </w:p>
    <w:p w14:paraId="16D0124E" w14:textId="3DEF71CF" w:rsidR="002A0814" w:rsidRPr="002A0814" w:rsidRDefault="002A0814" w:rsidP="002A0814">
      <w:pPr>
        <w:contextualSpacing/>
        <w:rPr>
          <w:lang w:val="fr-FR"/>
        </w:rPr>
      </w:pPr>
      <w:r w:rsidRPr="002A0814">
        <w:rPr>
          <w:lang w:val="fr-FR"/>
        </w:rPr>
        <w:t>Fournissez quelques informations générales sur l</w:t>
      </w:r>
      <w:r w:rsidR="003F552D">
        <w:rPr>
          <w:lang w:val="fr-FR"/>
        </w:rPr>
        <w:t>a chronologie</w:t>
      </w:r>
      <w:r w:rsidRPr="002A0814">
        <w:rPr>
          <w:lang w:val="fr-FR"/>
        </w:rPr>
        <w:t xml:space="preserve"> de la pandémie </w:t>
      </w:r>
      <w:r w:rsidR="005E4AFC">
        <w:rPr>
          <w:lang w:val="fr-FR"/>
        </w:rPr>
        <w:t xml:space="preserve">de </w:t>
      </w:r>
      <w:r w:rsidRPr="002A0814">
        <w:rPr>
          <w:lang w:val="fr-FR"/>
        </w:rPr>
        <w:t xml:space="preserve">COVID-19 dans votre pays ainsi que sur l'étendue de </w:t>
      </w:r>
      <w:r w:rsidR="003F552D">
        <w:rPr>
          <w:lang w:val="fr-FR"/>
        </w:rPr>
        <w:t xml:space="preserve">son </w:t>
      </w:r>
      <w:r w:rsidRPr="002A0814">
        <w:rPr>
          <w:lang w:val="fr-FR"/>
        </w:rPr>
        <w:t>impact sur la santé et les possibilités d'apprentissage</w:t>
      </w:r>
      <w:r w:rsidR="003F552D">
        <w:rPr>
          <w:lang w:val="fr-FR"/>
        </w:rPr>
        <w:t xml:space="preserve"> attenantes</w:t>
      </w:r>
      <w:r w:rsidRPr="002A0814">
        <w:rPr>
          <w:lang w:val="fr-FR"/>
        </w:rPr>
        <w:t xml:space="preserve">. </w:t>
      </w:r>
    </w:p>
    <w:p w14:paraId="475AFDEC" w14:textId="77777777" w:rsidR="002A0814" w:rsidRPr="002A0814" w:rsidRDefault="002A0814" w:rsidP="002A0814">
      <w:pPr>
        <w:spacing w:after="120"/>
        <w:rPr>
          <w:lang w:val="fr-FR"/>
        </w:rPr>
      </w:pPr>
    </w:p>
    <w:p w14:paraId="08CC1A6F" w14:textId="77777777" w:rsidR="002A0814" w:rsidRPr="00FD6983" w:rsidRDefault="002A0814" w:rsidP="002A0814">
      <w:pPr>
        <w:pStyle w:val="Heading2"/>
        <w:numPr>
          <w:ilvl w:val="0"/>
          <w:numId w:val="14"/>
        </w:numPr>
        <w:spacing w:before="0"/>
        <w:rPr>
          <w:rFonts w:asciiTheme="minorHAnsi" w:hAnsiTheme="minorHAnsi" w:cstheme="minorHAnsi"/>
          <w:color w:val="auto"/>
          <w:sz w:val="28"/>
          <w:szCs w:val="28"/>
        </w:rPr>
      </w:pPr>
      <w:proofErr w:type="spellStart"/>
      <w:r>
        <w:rPr>
          <w:rFonts w:asciiTheme="minorHAnsi" w:eastAsia="Calibri" w:hAnsiTheme="minorHAnsi" w:cstheme="minorHAnsi"/>
          <w:color w:val="auto"/>
          <w:sz w:val="28"/>
          <w:szCs w:val="28"/>
        </w:rPr>
        <w:t>Objectifs</w:t>
      </w:r>
      <w:proofErr w:type="spellEnd"/>
    </w:p>
    <w:p w14:paraId="191EC3AE" w14:textId="77777777" w:rsidR="002A0814" w:rsidRPr="002A0814" w:rsidRDefault="002A0814" w:rsidP="002A0814">
      <w:pPr>
        <w:spacing w:after="0"/>
        <w:rPr>
          <w:rFonts w:cstheme="minorHAnsi"/>
          <w:lang w:val="fr-FR"/>
        </w:rPr>
      </w:pPr>
      <w:r w:rsidRPr="002A0814">
        <w:rPr>
          <w:rFonts w:cstheme="minorHAnsi"/>
          <w:lang w:val="fr-FR"/>
        </w:rPr>
        <w:t>Indiquer la portée et les objectifs généraux.</w:t>
      </w:r>
    </w:p>
    <w:p w14:paraId="4C45BC42" w14:textId="77777777" w:rsidR="002A0814" w:rsidRPr="002A0814" w:rsidRDefault="002A0814" w:rsidP="002A0814">
      <w:pPr>
        <w:spacing w:after="0"/>
        <w:rPr>
          <w:rFonts w:cstheme="minorHAnsi"/>
          <w:lang w:val="fr-FR"/>
        </w:rPr>
      </w:pPr>
    </w:p>
    <w:p w14:paraId="2A5405D9" w14:textId="77777777" w:rsidR="002A0814" w:rsidRPr="002A0814" w:rsidRDefault="002A0814" w:rsidP="002A0814">
      <w:pPr>
        <w:spacing w:after="0"/>
        <w:rPr>
          <w:rFonts w:cstheme="minorHAnsi"/>
          <w:b/>
          <w:lang w:val="fr-FR"/>
        </w:rPr>
      </w:pPr>
      <w:r w:rsidRPr="002A0814">
        <w:rPr>
          <w:rFonts w:cstheme="minorHAnsi"/>
          <w:b/>
          <w:lang w:val="fr-FR"/>
        </w:rPr>
        <w:t>Objectif général</w:t>
      </w:r>
    </w:p>
    <w:p w14:paraId="74710F73" w14:textId="77777777" w:rsidR="002A0814" w:rsidRPr="002A0814" w:rsidRDefault="002A0814" w:rsidP="002A0814">
      <w:pPr>
        <w:spacing w:after="0"/>
        <w:rPr>
          <w:rFonts w:cstheme="minorHAnsi"/>
          <w:lang w:val="fr-FR"/>
        </w:rPr>
      </w:pPr>
    </w:p>
    <w:p w14:paraId="306AA2C5" w14:textId="77777777" w:rsidR="002A0814" w:rsidRPr="002A0814" w:rsidRDefault="002A0814" w:rsidP="002A0814">
      <w:pPr>
        <w:pBdr>
          <w:top w:val="single" w:sz="4" w:space="1" w:color="auto"/>
          <w:left w:val="single" w:sz="4" w:space="1" w:color="auto"/>
          <w:bottom w:val="single" w:sz="4" w:space="1" w:color="auto"/>
          <w:right w:val="single" w:sz="4" w:space="1" w:color="auto"/>
        </w:pBdr>
        <w:spacing w:after="0"/>
        <w:rPr>
          <w:i/>
          <w:iCs/>
          <w:color w:val="1F497D" w:themeColor="text2"/>
          <w:u w:val="single"/>
          <w:lang w:val="fr-FR"/>
        </w:rPr>
      </w:pPr>
      <w:r w:rsidRPr="002A0814">
        <w:rPr>
          <w:i/>
          <w:iCs/>
          <w:color w:val="1F497D" w:themeColor="text2"/>
          <w:u w:val="single"/>
          <w:lang w:val="fr-FR"/>
        </w:rPr>
        <w:t xml:space="preserve">Contenu suggéré (à adapter au contexte du pays) : </w:t>
      </w:r>
    </w:p>
    <w:p w14:paraId="05F319F0" w14:textId="77777777" w:rsidR="002A0814" w:rsidRPr="002A0814" w:rsidRDefault="002A0814" w:rsidP="002A0814">
      <w:pPr>
        <w:pBdr>
          <w:top w:val="single" w:sz="4" w:space="1" w:color="auto"/>
          <w:left w:val="single" w:sz="4" w:space="1" w:color="auto"/>
          <w:bottom w:val="single" w:sz="4" w:space="1" w:color="auto"/>
          <w:right w:val="single" w:sz="4" w:space="1" w:color="auto"/>
        </w:pBdr>
        <w:spacing w:after="0"/>
        <w:rPr>
          <w:i/>
          <w:iCs/>
          <w:color w:val="1F497D" w:themeColor="text2"/>
          <w:u w:val="single"/>
          <w:lang w:val="fr-FR"/>
        </w:rPr>
      </w:pPr>
    </w:p>
    <w:p w14:paraId="26292B2F" w14:textId="04EAEBB1" w:rsidR="0032648D" w:rsidRDefault="002A0814" w:rsidP="002A0814">
      <w:pPr>
        <w:pBdr>
          <w:top w:val="single" w:sz="4" w:space="1" w:color="auto"/>
          <w:left w:val="single" w:sz="4" w:space="1" w:color="auto"/>
          <w:bottom w:val="single" w:sz="4" w:space="1" w:color="auto"/>
          <w:right w:val="single" w:sz="4" w:space="1" w:color="auto"/>
        </w:pBdr>
        <w:spacing w:after="0"/>
        <w:rPr>
          <w:bCs/>
          <w:i/>
          <w:color w:val="1F497D" w:themeColor="text2"/>
          <w:lang w:val="fr-FR"/>
        </w:rPr>
      </w:pPr>
      <w:r w:rsidRPr="002A0814">
        <w:rPr>
          <w:bCs/>
          <w:i/>
          <w:color w:val="1F497D" w:themeColor="text2"/>
          <w:lang w:val="fr-FR"/>
        </w:rPr>
        <w:t>L</w:t>
      </w:r>
      <w:r w:rsidR="0032648D">
        <w:rPr>
          <w:bCs/>
          <w:i/>
          <w:color w:val="1F497D" w:themeColor="text2"/>
          <w:lang w:val="fr-FR"/>
        </w:rPr>
        <w:t xml:space="preserve">es </w:t>
      </w:r>
      <w:r w:rsidRPr="002A0814">
        <w:rPr>
          <w:bCs/>
          <w:i/>
          <w:color w:val="1F497D" w:themeColor="text2"/>
          <w:lang w:val="fr-FR"/>
        </w:rPr>
        <w:t>objectif</w:t>
      </w:r>
      <w:r w:rsidR="0032648D">
        <w:rPr>
          <w:bCs/>
          <w:i/>
          <w:color w:val="1F497D" w:themeColor="text2"/>
          <w:lang w:val="fr-FR"/>
        </w:rPr>
        <w:t>s</w:t>
      </w:r>
      <w:r w:rsidRPr="002A0814">
        <w:rPr>
          <w:bCs/>
          <w:i/>
          <w:color w:val="1F497D" w:themeColor="text2"/>
          <w:lang w:val="fr-FR"/>
        </w:rPr>
        <w:t xml:space="preserve"> de l</w:t>
      </w:r>
      <w:r w:rsidR="003F552D">
        <w:rPr>
          <w:bCs/>
          <w:i/>
          <w:color w:val="1F497D" w:themeColor="text2"/>
          <w:lang w:val="fr-FR"/>
        </w:rPr>
        <w:t>a RI</w:t>
      </w:r>
      <w:r w:rsidRPr="002A0814">
        <w:rPr>
          <w:bCs/>
          <w:i/>
          <w:color w:val="1F497D" w:themeColor="text2"/>
          <w:lang w:val="fr-FR"/>
        </w:rPr>
        <w:t>A</w:t>
      </w:r>
      <w:r w:rsidR="00DC10BE">
        <w:rPr>
          <w:bCs/>
          <w:i/>
          <w:color w:val="1F497D" w:themeColor="text2"/>
          <w:lang w:val="fr-FR"/>
        </w:rPr>
        <w:t xml:space="preserve"> de la</w:t>
      </w:r>
      <w:r w:rsidRPr="002A0814">
        <w:rPr>
          <w:bCs/>
          <w:i/>
          <w:color w:val="1F497D" w:themeColor="text2"/>
          <w:lang w:val="fr-FR"/>
        </w:rPr>
        <w:t xml:space="preserve"> COVID-19 </w:t>
      </w:r>
      <w:r w:rsidR="0032648D">
        <w:rPr>
          <w:bCs/>
          <w:i/>
          <w:color w:val="1F497D" w:themeColor="text2"/>
          <w:lang w:val="fr-FR"/>
        </w:rPr>
        <w:t>sont les suivants :</w:t>
      </w:r>
    </w:p>
    <w:p w14:paraId="56CA8C5E" w14:textId="34126F8F" w:rsidR="0032648D" w:rsidRPr="0032648D" w:rsidRDefault="0032648D" w:rsidP="0032648D">
      <w:pPr>
        <w:pBdr>
          <w:top w:val="single" w:sz="4" w:space="1" w:color="auto"/>
          <w:left w:val="single" w:sz="4" w:space="1" w:color="auto"/>
          <w:bottom w:val="single" w:sz="4" w:space="1" w:color="auto"/>
          <w:right w:val="single" w:sz="4" w:space="1" w:color="auto"/>
        </w:pBdr>
        <w:spacing w:after="0"/>
        <w:rPr>
          <w:bCs/>
          <w:i/>
          <w:color w:val="1F497D" w:themeColor="text2"/>
          <w:lang w:val="fr-FR"/>
        </w:rPr>
      </w:pPr>
      <w:r w:rsidRPr="0032648D">
        <w:rPr>
          <w:bCs/>
          <w:i/>
          <w:color w:val="1F497D" w:themeColor="text2"/>
          <w:lang w:val="fr-FR"/>
        </w:rPr>
        <w:t xml:space="preserve">- fournir une opportunité de partager </w:t>
      </w:r>
      <w:r w:rsidR="00DC6B7B">
        <w:rPr>
          <w:bCs/>
          <w:i/>
          <w:color w:val="1F497D" w:themeColor="text2"/>
          <w:lang w:val="fr-FR"/>
        </w:rPr>
        <w:t>l</w:t>
      </w:r>
      <w:r w:rsidRPr="0032648D">
        <w:rPr>
          <w:bCs/>
          <w:i/>
          <w:color w:val="1F497D" w:themeColor="text2"/>
          <w:lang w:val="fr-FR"/>
        </w:rPr>
        <w:t xml:space="preserve">es expériences et d'analyser collectivement la réponse en cours dans le pays </w:t>
      </w:r>
      <w:r w:rsidR="00DC6B7B">
        <w:rPr>
          <w:bCs/>
          <w:i/>
          <w:color w:val="1F497D" w:themeColor="text2"/>
          <w:lang w:val="fr-FR"/>
        </w:rPr>
        <w:t>à l’épidémie de</w:t>
      </w:r>
      <w:r w:rsidRPr="0032648D">
        <w:rPr>
          <w:bCs/>
          <w:i/>
          <w:color w:val="1F497D" w:themeColor="text2"/>
          <w:lang w:val="fr-FR"/>
        </w:rPr>
        <w:t xml:space="preserve"> COVID-19 </w:t>
      </w:r>
      <w:r w:rsidR="00DC6B7B">
        <w:rPr>
          <w:bCs/>
          <w:i/>
          <w:color w:val="1F497D" w:themeColor="text2"/>
          <w:lang w:val="fr-FR"/>
        </w:rPr>
        <w:t xml:space="preserve">et ce, </w:t>
      </w:r>
      <w:r w:rsidRPr="0032648D">
        <w:rPr>
          <w:bCs/>
          <w:i/>
          <w:color w:val="1F497D" w:themeColor="text2"/>
          <w:lang w:val="fr-FR"/>
        </w:rPr>
        <w:t>en identifiant les défis et les pratiques</w:t>
      </w:r>
      <w:r w:rsidR="00DC6B7B">
        <w:rPr>
          <w:bCs/>
          <w:i/>
          <w:color w:val="1F497D" w:themeColor="text2"/>
          <w:lang w:val="fr-FR"/>
        </w:rPr>
        <w:t xml:space="preserve"> exemplaires</w:t>
      </w:r>
      <w:r w:rsidRPr="0032648D">
        <w:rPr>
          <w:bCs/>
          <w:i/>
          <w:color w:val="1F497D" w:themeColor="text2"/>
          <w:lang w:val="fr-FR"/>
        </w:rPr>
        <w:t xml:space="preserve"> ; </w:t>
      </w:r>
    </w:p>
    <w:p w14:paraId="3377D7C1" w14:textId="6DDBB4FC" w:rsidR="0032648D" w:rsidRPr="0032648D" w:rsidRDefault="0032648D" w:rsidP="0032648D">
      <w:pPr>
        <w:pBdr>
          <w:top w:val="single" w:sz="4" w:space="1" w:color="auto"/>
          <w:left w:val="single" w:sz="4" w:space="1" w:color="auto"/>
          <w:bottom w:val="single" w:sz="4" w:space="1" w:color="auto"/>
          <w:right w:val="single" w:sz="4" w:space="1" w:color="auto"/>
        </w:pBdr>
        <w:spacing w:after="0"/>
        <w:rPr>
          <w:bCs/>
          <w:i/>
          <w:color w:val="1F497D" w:themeColor="text2"/>
          <w:lang w:val="fr-FR"/>
        </w:rPr>
      </w:pPr>
      <w:r w:rsidRPr="0032648D">
        <w:rPr>
          <w:bCs/>
          <w:i/>
          <w:color w:val="1F497D" w:themeColor="text2"/>
          <w:lang w:val="fr-FR"/>
        </w:rPr>
        <w:t xml:space="preserve">- faciliter l'établissement d'un consensus entre les différentes parties prenantes et la compilation des enseignements tirés par celles-ci au cours de la réponse afin d'améliorer la réponse actuelle </w:t>
      </w:r>
      <w:r w:rsidR="00DC6B7B">
        <w:rPr>
          <w:bCs/>
          <w:i/>
          <w:color w:val="1F497D" w:themeColor="text2"/>
          <w:lang w:val="fr-FR"/>
        </w:rPr>
        <w:t xml:space="preserve">et ce, </w:t>
      </w:r>
      <w:r w:rsidRPr="0032648D">
        <w:rPr>
          <w:bCs/>
          <w:i/>
          <w:color w:val="1F497D" w:themeColor="text2"/>
          <w:lang w:val="fr-FR"/>
        </w:rPr>
        <w:t xml:space="preserve">en soutenant les pratiques </w:t>
      </w:r>
      <w:r w:rsidR="00DC6B7B">
        <w:rPr>
          <w:bCs/>
          <w:i/>
          <w:color w:val="1F497D" w:themeColor="text2"/>
          <w:lang w:val="fr-FR"/>
        </w:rPr>
        <w:t xml:space="preserve">exemplaires </w:t>
      </w:r>
      <w:r w:rsidRPr="0032648D">
        <w:rPr>
          <w:bCs/>
          <w:i/>
          <w:color w:val="1F497D" w:themeColor="text2"/>
          <w:lang w:val="fr-FR"/>
        </w:rPr>
        <w:t xml:space="preserve">qui ont fait leurs preuves </w:t>
      </w:r>
      <w:r w:rsidR="00DC6B7B">
        <w:rPr>
          <w:bCs/>
          <w:i/>
          <w:color w:val="1F497D" w:themeColor="text2"/>
          <w:lang w:val="fr-FR"/>
        </w:rPr>
        <w:t>tout</w:t>
      </w:r>
      <w:r w:rsidRPr="0032648D">
        <w:rPr>
          <w:bCs/>
          <w:i/>
          <w:color w:val="1F497D" w:themeColor="text2"/>
          <w:lang w:val="fr-FR"/>
        </w:rPr>
        <w:t xml:space="preserve"> en prévenant les erreurs récurrentes ;</w:t>
      </w:r>
    </w:p>
    <w:p w14:paraId="179CC648" w14:textId="162A60BA" w:rsidR="0032648D" w:rsidRPr="0032648D" w:rsidRDefault="0032648D" w:rsidP="0032648D">
      <w:pPr>
        <w:pBdr>
          <w:top w:val="single" w:sz="4" w:space="1" w:color="auto"/>
          <w:left w:val="single" w:sz="4" w:space="1" w:color="auto"/>
          <w:bottom w:val="single" w:sz="4" w:space="1" w:color="auto"/>
          <w:right w:val="single" w:sz="4" w:space="1" w:color="auto"/>
        </w:pBdr>
        <w:spacing w:after="0"/>
        <w:rPr>
          <w:bCs/>
          <w:i/>
          <w:color w:val="1F497D" w:themeColor="text2"/>
          <w:lang w:val="fr-FR"/>
        </w:rPr>
      </w:pPr>
      <w:r w:rsidRPr="0032648D">
        <w:rPr>
          <w:bCs/>
          <w:i/>
          <w:color w:val="1F497D" w:themeColor="text2"/>
          <w:lang w:val="fr-FR"/>
        </w:rPr>
        <w:lastRenderedPageBreak/>
        <w:t xml:space="preserve">- documenter et appliquer les leçons tirées de </w:t>
      </w:r>
      <w:r w:rsidR="00DC6B7B">
        <w:rPr>
          <w:bCs/>
          <w:i/>
          <w:color w:val="1F497D" w:themeColor="text2"/>
          <w:lang w:val="fr-FR"/>
        </w:rPr>
        <w:t xml:space="preserve">la </w:t>
      </w:r>
      <w:r w:rsidRPr="0032648D">
        <w:rPr>
          <w:bCs/>
          <w:i/>
          <w:color w:val="1F497D" w:themeColor="text2"/>
          <w:lang w:val="fr-FR"/>
        </w:rPr>
        <w:t xml:space="preserve">réponse </w:t>
      </w:r>
      <w:r w:rsidR="00DC6B7B">
        <w:rPr>
          <w:bCs/>
          <w:i/>
          <w:color w:val="1F497D" w:themeColor="text2"/>
          <w:lang w:val="fr-FR"/>
        </w:rPr>
        <w:t xml:space="preserve">jusqu’à </w:t>
      </w:r>
      <w:r w:rsidRPr="0032648D">
        <w:rPr>
          <w:bCs/>
          <w:i/>
          <w:color w:val="1F497D" w:themeColor="text2"/>
          <w:lang w:val="fr-FR"/>
        </w:rPr>
        <w:t xml:space="preserve">ce jour </w:t>
      </w:r>
      <w:r w:rsidR="00DC6B7B">
        <w:rPr>
          <w:bCs/>
          <w:i/>
          <w:color w:val="1F497D" w:themeColor="text2"/>
          <w:lang w:val="fr-FR"/>
        </w:rPr>
        <w:t>afin de</w:t>
      </w:r>
      <w:r w:rsidRPr="0032648D">
        <w:rPr>
          <w:bCs/>
          <w:i/>
          <w:color w:val="1F497D" w:themeColor="text2"/>
          <w:lang w:val="fr-FR"/>
        </w:rPr>
        <w:t xml:space="preserve"> permettre le renforcement des systèmes de santé ;</w:t>
      </w:r>
    </w:p>
    <w:p w14:paraId="5A36D2C5" w14:textId="19EC778F" w:rsidR="002A0814" w:rsidRPr="002A0814" w:rsidRDefault="0032648D" w:rsidP="0032648D">
      <w:pPr>
        <w:pBdr>
          <w:top w:val="single" w:sz="4" w:space="1" w:color="auto"/>
          <w:left w:val="single" w:sz="4" w:space="1" w:color="auto"/>
          <w:bottom w:val="single" w:sz="4" w:space="1" w:color="auto"/>
          <w:right w:val="single" w:sz="4" w:space="1" w:color="auto"/>
        </w:pBdr>
        <w:spacing w:after="0"/>
        <w:rPr>
          <w:bCs/>
          <w:i/>
          <w:color w:val="1F497D" w:themeColor="text2"/>
          <w:lang w:val="fr-FR"/>
        </w:rPr>
      </w:pPr>
      <w:r w:rsidRPr="0032648D">
        <w:rPr>
          <w:bCs/>
          <w:i/>
          <w:color w:val="1F497D" w:themeColor="text2"/>
          <w:lang w:val="fr-FR"/>
        </w:rPr>
        <w:t>- fournir une base pour valider et mettre à jour le plan stratégique national de préparation et de réponse COVID-19 et autres plans stratégiques.</w:t>
      </w:r>
      <w:r w:rsidR="002A0814" w:rsidRPr="002A0814">
        <w:rPr>
          <w:bCs/>
          <w:i/>
          <w:color w:val="1F497D" w:themeColor="text2"/>
          <w:lang w:val="fr-FR"/>
        </w:rPr>
        <w:t xml:space="preserve"> </w:t>
      </w:r>
    </w:p>
    <w:p w14:paraId="229AB595" w14:textId="77777777" w:rsidR="002A0814" w:rsidRPr="002A0814" w:rsidRDefault="002A0814" w:rsidP="005E4AFC">
      <w:pPr>
        <w:spacing w:after="160" w:line="259" w:lineRule="auto"/>
        <w:jc w:val="both"/>
        <w:rPr>
          <w:rFonts w:asciiTheme="minorHAnsi" w:eastAsia="Calibri" w:hAnsiTheme="minorHAnsi" w:cstheme="minorHAnsi"/>
          <w:color w:val="auto"/>
          <w:sz w:val="28"/>
          <w:szCs w:val="28"/>
          <w:lang w:val="fr-FR"/>
        </w:rPr>
      </w:pPr>
    </w:p>
    <w:p w14:paraId="2434E288" w14:textId="77777777" w:rsidR="002A0814" w:rsidRPr="002A0814" w:rsidRDefault="002A0814" w:rsidP="002A0814">
      <w:pPr>
        <w:pStyle w:val="Heading2"/>
        <w:numPr>
          <w:ilvl w:val="0"/>
          <w:numId w:val="14"/>
        </w:numPr>
        <w:spacing w:before="0"/>
        <w:rPr>
          <w:rFonts w:asciiTheme="minorHAnsi" w:eastAsia="Calibri" w:hAnsiTheme="minorHAnsi" w:cstheme="minorHAnsi"/>
          <w:color w:val="auto"/>
          <w:sz w:val="28"/>
          <w:szCs w:val="28"/>
          <w:lang w:val="fr-FR"/>
        </w:rPr>
      </w:pPr>
      <w:r w:rsidRPr="002A0814">
        <w:rPr>
          <w:rFonts w:asciiTheme="minorHAnsi" w:eastAsia="Calibri" w:hAnsiTheme="minorHAnsi" w:cstheme="minorHAnsi"/>
          <w:color w:val="auto"/>
          <w:sz w:val="28"/>
          <w:szCs w:val="28"/>
          <w:lang w:val="fr-FR"/>
        </w:rPr>
        <w:t xml:space="preserve">Champ d'application : Fonction(s) examinée(s) </w:t>
      </w:r>
    </w:p>
    <w:p w14:paraId="5DDDDB5A" w14:textId="77777777" w:rsidR="008A3010" w:rsidRDefault="008A3010" w:rsidP="002A0814">
      <w:pPr>
        <w:spacing w:after="0" w:line="240" w:lineRule="auto"/>
        <w:jc w:val="both"/>
        <w:rPr>
          <w:lang w:val="fr-FR"/>
        </w:rPr>
      </w:pPr>
    </w:p>
    <w:p w14:paraId="70F28B10" w14:textId="13D7724A" w:rsidR="008A3010" w:rsidRDefault="00466899" w:rsidP="002A0814">
      <w:pPr>
        <w:spacing w:after="0" w:line="240" w:lineRule="auto"/>
        <w:jc w:val="both"/>
        <w:rPr>
          <w:lang w:val="fr-FR"/>
        </w:rPr>
      </w:pPr>
      <w:r>
        <w:rPr>
          <w:lang w:val="fr-FR"/>
        </w:rPr>
        <w:t>Concernant</w:t>
      </w:r>
      <w:r w:rsidR="008A3010" w:rsidRPr="008A3010">
        <w:rPr>
          <w:lang w:val="fr-FR"/>
        </w:rPr>
        <w:t xml:space="preserve"> les piliers de la réponse </w:t>
      </w:r>
      <w:r w:rsidR="005E4AFC">
        <w:rPr>
          <w:lang w:val="fr-FR"/>
        </w:rPr>
        <w:t>à la</w:t>
      </w:r>
      <w:r>
        <w:rPr>
          <w:lang w:val="fr-FR"/>
        </w:rPr>
        <w:t xml:space="preserve"> </w:t>
      </w:r>
      <w:r w:rsidR="008A3010" w:rsidRPr="008A3010">
        <w:rPr>
          <w:lang w:val="fr-FR"/>
        </w:rPr>
        <w:t>COVID-19, il appartient à chaque gouvernement de décider s'il convient de revoir un seul pilier ou de procéder à un examen transversal des différents piliers. Par exemple, les pays peuvent envisager les piliers suivants qui ont été mis en évidence dans la mise à jour de la stratégie COVID-19 de l'OMS, le 14 avril 2020</w:t>
      </w:r>
      <w:r w:rsidR="00A25009" w:rsidRPr="00A25009">
        <w:rPr>
          <w:rStyle w:val="FootnoteReference"/>
          <w:lang w:val="fr-FR"/>
        </w:rPr>
        <w:footnoteReference w:id="1"/>
      </w:r>
      <w:r w:rsidR="00A25009" w:rsidRPr="002A0814">
        <w:rPr>
          <w:lang w:val="fr-FR"/>
        </w:rPr>
        <w:t xml:space="preserve"> </w:t>
      </w:r>
      <w:r w:rsidR="008A3010" w:rsidRPr="008A3010">
        <w:rPr>
          <w:lang w:val="fr-FR"/>
        </w:rPr>
        <w:t xml:space="preserve">- </w:t>
      </w:r>
      <w:r>
        <w:rPr>
          <w:lang w:val="fr-FR"/>
        </w:rPr>
        <w:t>p</w:t>
      </w:r>
      <w:r w:rsidR="008A3010" w:rsidRPr="008A3010">
        <w:rPr>
          <w:lang w:val="fr-FR"/>
        </w:rPr>
        <w:t>lan stratégique de préparation et d'intervention :</w:t>
      </w:r>
    </w:p>
    <w:p w14:paraId="28C42B12" w14:textId="77777777" w:rsidR="008A3010" w:rsidRDefault="008A3010" w:rsidP="002A0814">
      <w:pPr>
        <w:spacing w:after="0" w:line="240" w:lineRule="auto"/>
        <w:jc w:val="both"/>
        <w:rPr>
          <w:lang w:val="fr-FR"/>
        </w:rPr>
      </w:pPr>
    </w:p>
    <w:p w14:paraId="79309BBD" w14:textId="7D14A9CF" w:rsidR="002A0814" w:rsidRPr="002A0814" w:rsidRDefault="002A0814" w:rsidP="002A0814">
      <w:pPr>
        <w:pStyle w:val="ListParagraph"/>
        <w:numPr>
          <w:ilvl w:val="0"/>
          <w:numId w:val="24"/>
        </w:numPr>
        <w:spacing w:after="160" w:line="259" w:lineRule="auto"/>
        <w:jc w:val="both"/>
        <w:rPr>
          <w:lang w:val="fr-FR"/>
        </w:rPr>
      </w:pPr>
      <w:r w:rsidRPr="002A0814">
        <w:rPr>
          <w:lang w:val="fr-FR"/>
        </w:rPr>
        <w:t xml:space="preserve">Coordination, planification et suivi au niveau </w:t>
      </w:r>
      <w:r w:rsidR="003F2D4F">
        <w:rPr>
          <w:lang w:val="fr-FR"/>
        </w:rPr>
        <w:t xml:space="preserve">du pays </w:t>
      </w:r>
    </w:p>
    <w:p w14:paraId="58D3A4C9" w14:textId="77777777" w:rsidR="002A0814" w:rsidRPr="002A0814" w:rsidRDefault="002A0814" w:rsidP="002A0814">
      <w:pPr>
        <w:pStyle w:val="ListParagraph"/>
        <w:numPr>
          <w:ilvl w:val="0"/>
          <w:numId w:val="24"/>
        </w:numPr>
        <w:spacing w:after="160" w:line="259" w:lineRule="auto"/>
        <w:jc w:val="both"/>
        <w:rPr>
          <w:lang w:val="fr-FR"/>
        </w:rPr>
      </w:pPr>
      <w:r w:rsidRPr="002A0814">
        <w:rPr>
          <w:lang w:val="fr-FR"/>
        </w:rPr>
        <w:t xml:space="preserve">Communication sur les risques et engagement communautaire </w:t>
      </w:r>
    </w:p>
    <w:p w14:paraId="4A658810" w14:textId="5D44A97A" w:rsidR="002A0814" w:rsidRPr="002A0814" w:rsidRDefault="002A0814" w:rsidP="002A0814">
      <w:pPr>
        <w:pStyle w:val="ListParagraph"/>
        <w:numPr>
          <w:ilvl w:val="0"/>
          <w:numId w:val="24"/>
        </w:numPr>
        <w:spacing w:after="160" w:line="259" w:lineRule="auto"/>
        <w:jc w:val="both"/>
        <w:rPr>
          <w:lang w:val="fr-FR"/>
        </w:rPr>
      </w:pPr>
      <w:r w:rsidRPr="002A0814">
        <w:rPr>
          <w:lang w:val="fr-FR"/>
        </w:rPr>
        <w:t xml:space="preserve">Surveillance, </w:t>
      </w:r>
      <w:r w:rsidR="005D4394">
        <w:rPr>
          <w:lang w:val="fr-FR"/>
        </w:rPr>
        <w:t>investigation des cas</w:t>
      </w:r>
      <w:r w:rsidRPr="002A0814">
        <w:rPr>
          <w:lang w:val="fr-FR"/>
        </w:rPr>
        <w:t xml:space="preserve"> et contact</w:t>
      </w:r>
      <w:r w:rsidR="00124DFC">
        <w:rPr>
          <w:lang w:val="fr-FR"/>
        </w:rPr>
        <w:t>-tracing</w:t>
      </w:r>
    </w:p>
    <w:p w14:paraId="3421ADDF" w14:textId="77777777" w:rsidR="002A0814" w:rsidRPr="008A077A" w:rsidRDefault="002A0814" w:rsidP="002A0814">
      <w:pPr>
        <w:pStyle w:val="ListParagraph"/>
        <w:numPr>
          <w:ilvl w:val="0"/>
          <w:numId w:val="24"/>
        </w:numPr>
        <w:spacing w:after="160" w:line="259" w:lineRule="auto"/>
        <w:jc w:val="both"/>
      </w:pPr>
      <w:r w:rsidRPr="008A077A">
        <w:t xml:space="preserve">Points </w:t>
      </w:r>
      <w:proofErr w:type="spellStart"/>
      <w:r w:rsidRPr="008A077A">
        <w:t>d'entrée</w:t>
      </w:r>
      <w:proofErr w:type="spellEnd"/>
    </w:p>
    <w:p w14:paraId="0B18189C" w14:textId="3C10698B" w:rsidR="002A0814" w:rsidRPr="002A0814" w:rsidRDefault="00124DFC" w:rsidP="002A0814">
      <w:pPr>
        <w:pStyle w:val="ListParagraph"/>
        <w:numPr>
          <w:ilvl w:val="0"/>
          <w:numId w:val="24"/>
        </w:numPr>
        <w:spacing w:after="160" w:line="259" w:lineRule="auto"/>
        <w:jc w:val="both"/>
        <w:rPr>
          <w:lang w:val="fr-FR"/>
        </w:rPr>
      </w:pPr>
      <w:bookmarkStart w:id="1" w:name="_Hlk40264067"/>
      <w:r>
        <w:rPr>
          <w:lang w:val="fr-FR"/>
        </w:rPr>
        <w:t>Système</w:t>
      </w:r>
      <w:r w:rsidR="00820815">
        <w:rPr>
          <w:lang w:val="fr-FR"/>
        </w:rPr>
        <w:t xml:space="preserve"> national des laboratoires</w:t>
      </w:r>
    </w:p>
    <w:bookmarkEnd w:id="1"/>
    <w:p w14:paraId="3674CEEC" w14:textId="77777777" w:rsidR="002A0814" w:rsidRPr="00820815" w:rsidRDefault="002A0814" w:rsidP="002A0814">
      <w:pPr>
        <w:pStyle w:val="ListParagraph"/>
        <w:numPr>
          <w:ilvl w:val="0"/>
          <w:numId w:val="24"/>
        </w:numPr>
        <w:spacing w:after="160" w:line="259" w:lineRule="auto"/>
        <w:jc w:val="both"/>
        <w:rPr>
          <w:lang w:val="fr-FR"/>
        </w:rPr>
      </w:pPr>
      <w:r w:rsidRPr="00820815">
        <w:rPr>
          <w:lang w:val="fr-FR"/>
        </w:rPr>
        <w:t>Prévention et contrôle des infections</w:t>
      </w:r>
    </w:p>
    <w:p w14:paraId="3A32FAB1" w14:textId="77777777" w:rsidR="002A0814" w:rsidRPr="002A0814" w:rsidRDefault="002A0814" w:rsidP="002A0814">
      <w:pPr>
        <w:pStyle w:val="ListParagraph"/>
        <w:numPr>
          <w:ilvl w:val="0"/>
          <w:numId w:val="24"/>
        </w:numPr>
        <w:spacing w:after="160" w:line="259" w:lineRule="auto"/>
        <w:jc w:val="both"/>
        <w:rPr>
          <w:lang w:val="fr-FR"/>
        </w:rPr>
      </w:pPr>
      <w:r w:rsidRPr="002A0814">
        <w:rPr>
          <w:lang w:val="fr-FR"/>
        </w:rPr>
        <w:t>Gestion de cas et partage des connaissances sur les dernières innovations et recherches</w:t>
      </w:r>
    </w:p>
    <w:p w14:paraId="50C832AA" w14:textId="77777777" w:rsidR="002A0814" w:rsidRPr="002A0814" w:rsidRDefault="002A0814" w:rsidP="002A0814">
      <w:pPr>
        <w:pStyle w:val="ListParagraph"/>
        <w:numPr>
          <w:ilvl w:val="0"/>
          <w:numId w:val="24"/>
        </w:numPr>
        <w:spacing w:after="160" w:line="259" w:lineRule="auto"/>
        <w:jc w:val="both"/>
        <w:rPr>
          <w:lang w:val="fr-FR"/>
        </w:rPr>
      </w:pPr>
      <w:r w:rsidRPr="002A0814">
        <w:rPr>
          <w:lang w:val="fr-FR"/>
        </w:rPr>
        <w:t>Soutien opérationnel et logistique dans la gestion de la chaîne d'approvisionnement et de la main-d'œuvre</w:t>
      </w:r>
    </w:p>
    <w:p w14:paraId="2B4C7FD9" w14:textId="0701E317" w:rsidR="002A0814" w:rsidRDefault="002A0814" w:rsidP="002A0814">
      <w:pPr>
        <w:pStyle w:val="ListParagraph"/>
        <w:numPr>
          <w:ilvl w:val="0"/>
          <w:numId w:val="24"/>
        </w:numPr>
        <w:spacing w:after="160" w:line="259" w:lineRule="auto"/>
        <w:jc w:val="both"/>
        <w:rPr>
          <w:lang w:val="fr-FR"/>
        </w:rPr>
      </w:pPr>
      <w:r w:rsidRPr="002A0814">
        <w:rPr>
          <w:lang w:val="fr-FR"/>
        </w:rPr>
        <w:t xml:space="preserve">Maintien des services de santé essentiels pendant l'épidémie de COVID-19 </w:t>
      </w:r>
    </w:p>
    <w:p w14:paraId="6E719D5A" w14:textId="77777777" w:rsidR="00BB55B7" w:rsidRPr="00BB55B7" w:rsidRDefault="00BB55B7" w:rsidP="00BB55B7">
      <w:pPr>
        <w:spacing w:after="160" w:line="259" w:lineRule="auto"/>
        <w:jc w:val="both"/>
        <w:rPr>
          <w:lang w:val="fr-FR"/>
        </w:rPr>
      </w:pPr>
    </w:p>
    <w:p w14:paraId="4A067B30" w14:textId="5F33817F" w:rsidR="00BB55B7" w:rsidRDefault="00BB55B7" w:rsidP="00BB55B7">
      <w:pPr>
        <w:spacing w:after="0" w:line="240" w:lineRule="auto"/>
        <w:jc w:val="both"/>
        <w:rPr>
          <w:lang w:val="fr-FR"/>
        </w:rPr>
      </w:pPr>
      <w:r w:rsidRPr="00BB55B7">
        <w:rPr>
          <w:lang w:val="fr-FR"/>
        </w:rPr>
        <w:t xml:space="preserve">La liste des piliers ci-dessus est </w:t>
      </w:r>
      <w:r>
        <w:rPr>
          <w:lang w:val="fr-FR"/>
        </w:rPr>
        <w:t>indicativ</w:t>
      </w:r>
      <w:r w:rsidRPr="00BB55B7">
        <w:rPr>
          <w:lang w:val="fr-FR"/>
        </w:rPr>
        <w:t>e et peut être révisée ou adaptée en fonction des besoins et des priorités du pays.</w:t>
      </w:r>
    </w:p>
    <w:p w14:paraId="55FBC33F" w14:textId="77777777" w:rsidR="00BB55B7" w:rsidRPr="00BB55B7" w:rsidRDefault="00BB55B7" w:rsidP="00BB55B7">
      <w:pPr>
        <w:spacing w:after="0" w:line="240" w:lineRule="auto"/>
        <w:jc w:val="both"/>
        <w:rPr>
          <w:lang w:val="fr-FR"/>
        </w:rPr>
      </w:pPr>
    </w:p>
    <w:p w14:paraId="75B0ACF0" w14:textId="0927131D" w:rsidR="00BB55B7" w:rsidRDefault="00BB55B7" w:rsidP="00BB55B7">
      <w:pPr>
        <w:spacing w:after="0" w:line="240" w:lineRule="auto"/>
        <w:jc w:val="both"/>
        <w:rPr>
          <w:lang w:val="fr-FR"/>
        </w:rPr>
      </w:pPr>
      <w:r w:rsidRPr="00BB55B7">
        <w:rPr>
          <w:lang w:val="fr-FR"/>
        </w:rPr>
        <w:t>D'autres sujets ou questions transversales peuvent également être envisagés au cours de l</w:t>
      </w:r>
      <w:r>
        <w:rPr>
          <w:lang w:val="fr-FR"/>
        </w:rPr>
        <w:t>a RIA</w:t>
      </w:r>
      <w:r w:rsidRPr="00BB55B7">
        <w:rPr>
          <w:lang w:val="fr-FR"/>
        </w:rPr>
        <w:t xml:space="preserve"> au-delà des piliers mentionnés ci-dessus, en fonction </w:t>
      </w:r>
      <w:r>
        <w:rPr>
          <w:lang w:val="fr-FR"/>
        </w:rPr>
        <w:t xml:space="preserve">des </w:t>
      </w:r>
      <w:r w:rsidRPr="00BB55B7">
        <w:rPr>
          <w:lang w:val="fr-FR"/>
        </w:rPr>
        <w:t xml:space="preserve">contextes. Les pays peuvent également envisager de revoir leurs mesures sociales </w:t>
      </w:r>
      <w:r w:rsidR="001606FF" w:rsidRPr="00BB55B7">
        <w:rPr>
          <w:lang w:val="fr-FR"/>
        </w:rPr>
        <w:t xml:space="preserve">non pharmaceutiques </w:t>
      </w:r>
      <w:r w:rsidRPr="00BB55B7">
        <w:rPr>
          <w:lang w:val="fr-FR"/>
        </w:rPr>
        <w:t xml:space="preserve">et </w:t>
      </w:r>
      <w:r w:rsidR="00D10A56">
        <w:rPr>
          <w:lang w:val="fr-FR"/>
        </w:rPr>
        <w:t xml:space="preserve">celles </w:t>
      </w:r>
      <w:r w:rsidRPr="00BB55B7">
        <w:rPr>
          <w:lang w:val="fr-FR"/>
        </w:rPr>
        <w:t xml:space="preserve">de santé publique, </w:t>
      </w:r>
      <w:r w:rsidR="001606FF">
        <w:rPr>
          <w:lang w:val="fr-FR"/>
        </w:rPr>
        <w:t>incluant</w:t>
      </w:r>
      <w:r w:rsidRPr="00BB55B7">
        <w:rPr>
          <w:lang w:val="fr-FR"/>
        </w:rPr>
        <w:t xml:space="preserve"> les mesures d'éloignement physique, les restrictions de mouvement, les fermetures d'entreprises ou d'écoles, ce que sera la </w:t>
      </w:r>
      <w:r w:rsidR="00594485">
        <w:rPr>
          <w:lang w:val="fr-FR"/>
        </w:rPr>
        <w:t>« </w:t>
      </w:r>
      <w:r w:rsidRPr="00BB55B7">
        <w:rPr>
          <w:lang w:val="fr-FR"/>
        </w:rPr>
        <w:t>nouvelle norme</w:t>
      </w:r>
      <w:r w:rsidR="00594485">
        <w:rPr>
          <w:lang w:val="fr-FR"/>
        </w:rPr>
        <w:t> »</w:t>
      </w:r>
      <w:r w:rsidRPr="00BB55B7">
        <w:rPr>
          <w:lang w:val="fr-FR"/>
        </w:rPr>
        <w:t xml:space="preserve"> lors de la réouverture, les plans de continuité des activités et la recherche et le développement. En outre, les pays peuvent utiliser un</w:t>
      </w:r>
      <w:r w:rsidR="00594485">
        <w:rPr>
          <w:lang w:val="fr-FR"/>
        </w:rPr>
        <w:t>e</w:t>
      </w:r>
      <w:r w:rsidRPr="00BB55B7">
        <w:rPr>
          <w:lang w:val="fr-FR"/>
        </w:rPr>
        <w:t xml:space="preserve"> R</w:t>
      </w:r>
      <w:r w:rsidR="00594485">
        <w:rPr>
          <w:lang w:val="fr-FR"/>
        </w:rPr>
        <w:t>I</w:t>
      </w:r>
      <w:r w:rsidRPr="00BB55B7">
        <w:rPr>
          <w:lang w:val="fr-FR"/>
        </w:rPr>
        <w:t xml:space="preserve">A pour examiner comment ils ont traduit leur plan national d'intervention </w:t>
      </w:r>
      <w:r w:rsidR="00594485">
        <w:rPr>
          <w:lang w:val="fr-FR"/>
        </w:rPr>
        <w:t xml:space="preserve">d’urgence </w:t>
      </w:r>
      <w:r w:rsidRPr="00BB55B7">
        <w:rPr>
          <w:lang w:val="fr-FR"/>
        </w:rPr>
        <w:t>en cas de pandémie de grippe en un plan d</w:t>
      </w:r>
      <w:r w:rsidR="00D21E3F">
        <w:rPr>
          <w:lang w:val="fr-FR"/>
        </w:rPr>
        <w:t xml:space="preserve">e réponse </w:t>
      </w:r>
      <w:r w:rsidRPr="00BB55B7">
        <w:rPr>
          <w:lang w:val="fr-FR"/>
        </w:rPr>
        <w:t xml:space="preserve">COVID-19. </w:t>
      </w:r>
    </w:p>
    <w:p w14:paraId="20AFA4EF" w14:textId="77777777" w:rsidR="00BB55B7" w:rsidRPr="00BB55B7" w:rsidRDefault="00BB55B7" w:rsidP="00BB55B7">
      <w:pPr>
        <w:spacing w:after="0" w:line="240" w:lineRule="auto"/>
        <w:jc w:val="both"/>
        <w:rPr>
          <w:lang w:val="fr-FR"/>
        </w:rPr>
      </w:pPr>
    </w:p>
    <w:p w14:paraId="5D10C05F" w14:textId="556EC83E" w:rsidR="00BB55B7" w:rsidRDefault="00BB55B7" w:rsidP="00BB55B7">
      <w:pPr>
        <w:spacing w:after="0" w:line="240" w:lineRule="auto"/>
        <w:jc w:val="both"/>
        <w:rPr>
          <w:lang w:val="fr-FR"/>
        </w:rPr>
      </w:pPr>
      <w:r w:rsidRPr="00BB55B7">
        <w:rPr>
          <w:lang w:val="fr-FR"/>
        </w:rPr>
        <w:t>Le champ d'application doit également préciser la période de réponse couverte par l</w:t>
      </w:r>
      <w:r w:rsidR="00D21E3F">
        <w:rPr>
          <w:lang w:val="fr-FR"/>
        </w:rPr>
        <w:t>a RIA</w:t>
      </w:r>
      <w:r w:rsidRPr="00BB55B7">
        <w:rPr>
          <w:lang w:val="fr-FR"/>
        </w:rPr>
        <w:t>. Vous pouvez envisager de commencer à partir du moment où les activités de préparation à</w:t>
      </w:r>
      <w:r w:rsidR="005E4AFC">
        <w:rPr>
          <w:lang w:val="fr-FR"/>
        </w:rPr>
        <w:t xml:space="preserve"> la</w:t>
      </w:r>
      <w:r w:rsidRPr="00BB55B7">
        <w:rPr>
          <w:lang w:val="fr-FR"/>
        </w:rPr>
        <w:t xml:space="preserve"> COVID-19 ont été lancées dans votre pays jusqu'à aujourd'hui. Étant donné que les pays peuvent mener plusieurs R</w:t>
      </w:r>
      <w:r w:rsidR="00D21E3F">
        <w:rPr>
          <w:lang w:val="fr-FR"/>
        </w:rPr>
        <w:t>IA</w:t>
      </w:r>
      <w:r w:rsidRPr="00BB55B7">
        <w:rPr>
          <w:lang w:val="fr-FR"/>
        </w:rPr>
        <w:t xml:space="preserve"> à mesure que la pandémie COVID-19 se prolonge, la période de l</w:t>
      </w:r>
      <w:r w:rsidR="00D21E3F">
        <w:rPr>
          <w:lang w:val="fr-FR"/>
        </w:rPr>
        <w:t>a revue</w:t>
      </w:r>
      <w:r w:rsidRPr="00BB55B7">
        <w:rPr>
          <w:lang w:val="fr-FR"/>
        </w:rPr>
        <w:t xml:space="preserve"> peut également être la période intermédiaire depuis l</w:t>
      </w:r>
      <w:r w:rsidR="00D21E3F">
        <w:rPr>
          <w:lang w:val="fr-FR"/>
        </w:rPr>
        <w:t>a</w:t>
      </w:r>
      <w:r w:rsidRPr="00BB55B7">
        <w:rPr>
          <w:lang w:val="fr-FR"/>
        </w:rPr>
        <w:t xml:space="preserve"> derni</w:t>
      </w:r>
      <w:r w:rsidR="00D21E3F">
        <w:rPr>
          <w:lang w:val="fr-FR"/>
        </w:rPr>
        <w:t>è</w:t>
      </w:r>
      <w:r w:rsidRPr="00BB55B7">
        <w:rPr>
          <w:lang w:val="fr-FR"/>
        </w:rPr>
        <w:t>r</w:t>
      </w:r>
      <w:r w:rsidR="00D21E3F">
        <w:rPr>
          <w:lang w:val="fr-FR"/>
        </w:rPr>
        <w:t>e</w:t>
      </w:r>
      <w:r w:rsidRPr="00BB55B7">
        <w:rPr>
          <w:lang w:val="fr-FR"/>
        </w:rPr>
        <w:t xml:space="preserve"> R</w:t>
      </w:r>
      <w:r w:rsidR="00D21E3F">
        <w:rPr>
          <w:lang w:val="fr-FR"/>
        </w:rPr>
        <w:t>IA</w:t>
      </w:r>
      <w:r w:rsidRPr="00BB55B7">
        <w:rPr>
          <w:lang w:val="fr-FR"/>
        </w:rPr>
        <w:t xml:space="preserve">. </w:t>
      </w:r>
    </w:p>
    <w:p w14:paraId="19665BE1" w14:textId="77777777" w:rsidR="00D21E3F" w:rsidRPr="002A0814" w:rsidRDefault="00D21E3F" w:rsidP="002A0814">
      <w:pPr>
        <w:rPr>
          <w:rFonts w:cstheme="minorHAnsi"/>
          <w:lang w:val="fr-FR"/>
        </w:rPr>
      </w:pPr>
    </w:p>
    <w:p w14:paraId="52682E95" w14:textId="77777777" w:rsidR="002A0814" w:rsidRDefault="002A0814" w:rsidP="002A0814">
      <w:pPr>
        <w:pStyle w:val="Heading2"/>
        <w:numPr>
          <w:ilvl w:val="0"/>
          <w:numId w:val="14"/>
        </w:numPr>
        <w:spacing w:before="0"/>
        <w:rPr>
          <w:rFonts w:asciiTheme="minorHAnsi" w:eastAsia="Calibri" w:hAnsiTheme="minorHAnsi" w:cstheme="minorHAnsi"/>
          <w:color w:val="auto"/>
          <w:sz w:val="28"/>
          <w:szCs w:val="28"/>
        </w:rPr>
      </w:pPr>
      <w:proofErr w:type="spellStart"/>
      <w:r>
        <w:rPr>
          <w:rFonts w:asciiTheme="minorHAnsi" w:eastAsia="Calibri" w:hAnsiTheme="minorHAnsi" w:cstheme="minorHAnsi"/>
          <w:color w:val="auto"/>
          <w:sz w:val="28"/>
          <w:szCs w:val="28"/>
        </w:rPr>
        <w:t>Méthodologie</w:t>
      </w:r>
      <w:proofErr w:type="spellEnd"/>
    </w:p>
    <w:p w14:paraId="01CFF49B" w14:textId="77777777" w:rsidR="002A0814" w:rsidRPr="00820815" w:rsidRDefault="002A0814" w:rsidP="002A0814">
      <w:pPr>
        <w:rPr>
          <w:lang w:val="fr-FR"/>
        </w:rPr>
      </w:pPr>
      <w:r w:rsidRPr="00820815">
        <w:rPr>
          <w:lang w:val="fr-FR"/>
        </w:rPr>
        <w:t xml:space="preserve">Contenu suggéré : </w:t>
      </w:r>
    </w:p>
    <w:p w14:paraId="21E7960F" w14:textId="77777777" w:rsidR="002A0814" w:rsidRPr="00820815" w:rsidRDefault="002A0814" w:rsidP="002A081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val="fr-FR" w:eastAsia="ja-JP"/>
        </w:rPr>
      </w:pPr>
      <w:r w:rsidRPr="00820815">
        <w:rPr>
          <w:b/>
          <w:color w:val="1F497D" w:themeColor="text2"/>
          <w:lang w:val="fr-FR"/>
        </w:rPr>
        <w:lastRenderedPageBreak/>
        <w:t>Exemple de description méthodologique :</w:t>
      </w:r>
    </w:p>
    <w:p w14:paraId="4C747652" w14:textId="77777777" w:rsidR="002A0814" w:rsidRPr="00820815" w:rsidRDefault="002A0814" w:rsidP="002A081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val="fr-FR" w:eastAsia="ja-JP"/>
        </w:rPr>
      </w:pPr>
    </w:p>
    <w:p w14:paraId="567E777E" w14:textId="212F30A7" w:rsidR="00787205" w:rsidRDefault="00D21E3F" w:rsidP="00D21E3F">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val="fr-FR" w:eastAsia="ja-JP"/>
        </w:rPr>
      </w:pPr>
      <w:r w:rsidRPr="00884485">
        <w:rPr>
          <w:rFonts w:eastAsia="MS Mincho" w:cstheme="minorHAnsi"/>
          <w:color w:val="1F497D" w:themeColor="text2"/>
          <w:lang w:val="fr-FR" w:eastAsia="ja-JP"/>
        </w:rPr>
        <w:t xml:space="preserve">La Revue Intra-Action impliquera une méthodologie interactive et structurée utilisant des matériaux conviviaux et des techniques de facilitation interactives. La RIA n'est pas une évaluation de la performance du pays, de ses institutions, ni des individus impliqués dans la réponse </w:t>
      </w:r>
      <w:r w:rsidR="005E4AFC">
        <w:rPr>
          <w:rFonts w:eastAsia="MS Mincho" w:cstheme="minorHAnsi"/>
          <w:color w:val="1F497D" w:themeColor="text2"/>
          <w:lang w:val="fr-FR" w:eastAsia="ja-JP"/>
        </w:rPr>
        <w:t xml:space="preserve">à la </w:t>
      </w:r>
      <w:r w:rsidRPr="00884485">
        <w:rPr>
          <w:rFonts w:eastAsia="MS Mincho" w:cstheme="minorHAnsi"/>
          <w:color w:val="1F497D" w:themeColor="text2"/>
          <w:lang w:val="fr-FR" w:eastAsia="ja-JP"/>
        </w:rPr>
        <w:t xml:space="preserve">COVID-19. </w:t>
      </w:r>
    </w:p>
    <w:p w14:paraId="5E447C8B" w14:textId="5FF5099B" w:rsidR="00D21E3F" w:rsidRPr="00884485" w:rsidRDefault="00D21E3F" w:rsidP="00D21E3F">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val="fr-FR" w:eastAsia="ja-JP"/>
        </w:rPr>
      </w:pPr>
      <w:r w:rsidRPr="00884485">
        <w:rPr>
          <w:rFonts w:eastAsia="MS Mincho" w:cstheme="minorHAnsi"/>
          <w:color w:val="1F497D" w:themeColor="text2"/>
          <w:lang w:val="fr-FR" w:eastAsia="ja-JP"/>
        </w:rPr>
        <w:t>Au contraire, c'est une occasion pour des derniers de réfléchir au travail effectué et d'identifier les domaines d'amélioration afin de renforcer davantage la réponse.</w:t>
      </w:r>
    </w:p>
    <w:p w14:paraId="046ACC8C" w14:textId="77777777" w:rsidR="00D21E3F" w:rsidRPr="00884485" w:rsidRDefault="00D21E3F" w:rsidP="00D21E3F">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val="fr-FR" w:eastAsia="ja-JP"/>
        </w:rPr>
      </w:pPr>
    </w:p>
    <w:p w14:paraId="201FB2FB" w14:textId="48D8B3C5" w:rsidR="00D21E3F" w:rsidRPr="002A0814" w:rsidRDefault="00D21E3F" w:rsidP="00D21E3F">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val="fr-FR" w:eastAsia="ja-JP"/>
        </w:rPr>
      </w:pPr>
      <w:r w:rsidRPr="00884485">
        <w:rPr>
          <w:rFonts w:eastAsia="MS Mincho" w:cstheme="minorHAnsi"/>
          <w:color w:val="1F497D" w:themeColor="text2"/>
          <w:lang w:val="fr-FR" w:eastAsia="ja-JP"/>
        </w:rPr>
        <w:t>Les participants contribueront à la révision de leur(s) pilier(s) pré-identifié(s), mais il y aura également des opportunités de partager et d'entreprendre un apprentissage croisé avec d'autres piliers tout au long du processus. L</w:t>
      </w:r>
      <w:r w:rsidR="00884485" w:rsidRPr="00884485">
        <w:rPr>
          <w:rFonts w:eastAsia="MS Mincho" w:cstheme="minorHAnsi"/>
          <w:color w:val="1F497D" w:themeColor="text2"/>
          <w:lang w:val="fr-FR" w:eastAsia="ja-JP"/>
        </w:rPr>
        <w:t>a RIA</w:t>
      </w:r>
      <w:r w:rsidRPr="00884485">
        <w:rPr>
          <w:rFonts w:eastAsia="MS Mincho" w:cstheme="minorHAnsi"/>
          <w:color w:val="1F497D" w:themeColor="text2"/>
          <w:lang w:val="fr-FR" w:eastAsia="ja-JP"/>
        </w:rPr>
        <w:t xml:space="preserve"> se déroulera sur 0,5 à 2 jours et sera structuré comme suit :</w:t>
      </w:r>
    </w:p>
    <w:p w14:paraId="02B49C02" w14:textId="77777777" w:rsidR="002A0814" w:rsidRPr="002A0814" w:rsidRDefault="002A0814" w:rsidP="002A081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val="fr-FR" w:eastAsia="ja-JP"/>
        </w:rPr>
      </w:pPr>
    </w:p>
    <w:p w14:paraId="40FFB794" w14:textId="30498351" w:rsidR="00884485" w:rsidRPr="002A0814" w:rsidRDefault="002A0814" w:rsidP="002A081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val="fr-FR" w:eastAsia="ja-JP"/>
        </w:rPr>
      </w:pPr>
      <w:r w:rsidRPr="00426DE6">
        <w:rPr>
          <w:rFonts w:eastAsia="MS Mincho" w:cstheme="minorHAnsi"/>
          <w:b/>
          <w:bCs/>
          <w:color w:val="1F497D" w:themeColor="text2"/>
          <w:lang w:val="fr-FR" w:eastAsia="ja-JP"/>
        </w:rPr>
        <w:t>Introduction</w:t>
      </w:r>
      <w:r w:rsidRPr="00426DE6">
        <w:rPr>
          <w:rFonts w:eastAsia="MS Mincho" w:cstheme="minorHAnsi"/>
          <w:color w:val="1F497D" w:themeColor="text2"/>
          <w:lang w:val="fr-FR" w:eastAsia="ja-JP"/>
        </w:rPr>
        <w:t xml:space="preserve"> : Aperçu de la réponse afin d'établir une base de référence pour l</w:t>
      </w:r>
      <w:r w:rsidR="00700E9C" w:rsidRPr="00426DE6">
        <w:rPr>
          <w:rFonts w:eastAsia="MS Mincho" w:cstheme="minorHAnsi"/>
          <w:color w:val="1F497D" w:themeColor="text2"/>
          <w:lang w:val="fr-FR" w:eastAsia="ja-JP"/>
        </w:rPr>
        <w:t>a revue</w:t>
      </w:r>
      <w:r w:rsidR="00884485" w:rsidRPr="00426DE6">
        <w:rPr>
          <w:rFonts w:eastAsia="MS Mincho" w:cstheme="minorHAnsi"/>
          <w:color w:val="1F497D" w:themeColor="text2"/>
          <w:lang w:val="fr-FR" w:eastAsia="ja-JP"/>
        </w:rPr>
        <w:t>.</w:t>
      </w:r>
      <w:r w:rsidRPr="00426DE6">
        <w:rPr>
          <w:rFonts w:eastAsia="MS Mincho" w:cstheme="minorHAnsi"/>
          <w:color w:val="1F497D" w:themeColor="text2"/>
          <w:lang w:val="fr-FR" w:eastAsia="ja-JP"/>
        </w:rPr>
        <w:t xml:space="preserve"> </w:t>
      </w:r>
      <w:r w:rsidR="00884485" w:rsidRPr="00426DE6">
        <w:rPr>
          <w:rFonts w:eastAsia="MS Mincho" w:cstheme="minorHAnsi"/>
          <w:color w:val="1F497D" w:themeColor="text2"/>
          <w:lang w:val="fr-FR" w:eastAsia="ja-JP"/>
        </w:rPr>
        <w:t xml:space="preserve">Cette vue d'ensemble peut comprendre une présentation de la stratégie et du plan de réponse COVID-19 du pays concerné, ainsi qu'un examen des documents COVID-19 pertinents, tels que les politiques, les plans d'intervention, les lignes directrices et les rapports d'activité. C'est également le moment de comprendre les capacités qui existaient avant la réponse COVID-19, les nouvelles capacités développées pour et pendant la réponse </w:t>
      </w:r>
      <w:r w:rsidR="00852C89">
        <w:rPr>
          <w:rFonts w:eastAsia="MS Mincho" w:cstheme="minorHAnsi"/>
          <w:color w:val="1F497D" w:themeColor="text2"/>
          <w:lang w:val="fr-FR" w:eastAsia="ja-JP"/>
        </w:rPr>
        <w:t xml:space="preserve">à la </w:t>
      </w:r>
      <w:r w:rsidR="00884485" w:rsidRPr="00426DE6">
        <w:rPr>
          <w:rFonts w:eastAsia="MS Mincho" w:cstheme="minorHAnsi"/>
          <w:color w:val="1F497D" w:themeColor="text2"/>
          <w:lang w:val="fr-FR" w:eastAsia="ja-JP"/>
        </w:rPr>
        <w:t>COVID-19, et le calendrier de la réponse</w:t>
      </w:r>
      <w:r w:rsidR="00426DE6" w:rsidRPr="00426DE6">
        <w:rPr>
          <w:rFonts w:eastAsia="MS Mincho" w:cstheme="minorHAnsi"/>
          <w:color w:val="1F497D" w:themeColor="text2"/>
          <w:lang w:val="fr-FR" w:eastAsia="ja-JP"/>
        </w:rPr>
        <w:t xml:space="preserve"> jusqu’</w:t>
      </w:r>
      <w:r w:rsidR="00884485" w:rsidRPr="00426DE6">
        <w:rPr>
          <w:rFonts w:eastAsia="MS Mincho" w:cstheme="minorHAnsi"/>
          <w:color w:val="1F497D" w:themeColor="text2"/>
          <w:lang w:val="fr-FR" w:eastAsia="ja-JP"/>
        </w:rPr>
        <w:t>à ce jour.</w:t>
      </w:r>
      <w:r w:rsidR="00884485" w:rsidRPr="00884485">
        <w:rPr>
          <w:rFonts w:eastAsia="MS Mincho" w:cstheme="minorHAnsi"/>
          <w:color w:val="1F497D" w:themeColor="text2"/>
          <w:lang w:val="fr-FR" w:eastAsia="ja-JP"/>
        </w:rPr>
        <w:t xml:space="preserve"> </w:t>
      </w:r>
    </w:p>
    <w:p w14:paraId="368BE6CB" w14:textId="0635DFCD" w:rsidR="002A0814" w:rsidRPr="002A0814" w:rsidRDefault="002A0814" w:rsidP="002A081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val="fr-FR" w:eastAsia="ja-JP"/>
        </w:rPr>
      </w:pPr>
    </w:p>
    <w:p w14:paraId="7B417F9E" w14:textId="220C77AA" w:rsidR="00426DE6" w:rsidRPr="002A0814" w:rsidRDefault="002A0814" w:rsidP="002A081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val="fr-FR" w:eastAsia="ja-JP"/>
        </w:rPr>
      </w:pPr>
      <w:r w:rsidRPr="002A0814">
        <w:rPr>
          <w:rFonts w:eastAsia="MS Mincho" w:cstheme="minorHAnsi"/>
          <w:b/>
          <w:bCs/>
          <w:color w:val="1F497D" w:themeColor="text2"/>
          <w:lang w:val="fr-FR" w:eastAsia="ja-JP"/>
        </w:rPr>
        <w:t xml:space="preserve">Qu'est-ce qui s'est bien passé ? Qu'est-ce qui s'est moins bien passé ? Pourquoi ? </w:t>
      </w:r>
      <w:r w:rsidR="00426DE6" w:rsidRPr="00426DE6">
        <w:rPr>
          <w:rFonts w:eastAsia="MS Mincho" w:cstheme="minorHAnsi"/>
          <w:color w:val="1F497D" w:themeColor="text2"/>
          <w:lang w:val="fr-FR" w:eastAsia="ja-JP"/>
        </w:rPr>
        <w:t xml:space="preserve">Sur la base de l'aperçu de la réponse en cours, la discussion commencera à identifier et à analyser ce qui a fonctionné, ce qui n'a pas si bien fonctionné et pourquoi. Les participants analyseront collectivement les actions entreprises au cours de la réponse </w:t>
      </w:r>
      <w:r w:rsidR="00852C89">
        <w:rPr>
          <w:rFonts w:eastAsia="MS Mincho" w:cstheme="minorHAnsi"/>
          <w:color w:val="1F497D" w:themeColor="text2"/>
          <w:lang w:val="fr-FR" w:eastAsia="ja-JP"/>
        </w:rPr>
        <w:t xml:space="preserve">à la </w:t>
      </w:r>
      <w:r w:rsidR="00426DE6" w:rsidRPr="00426DE6">
        <w:rPr>
          <w:rFonts w:eastAsia="MS Mincho" w:cstheme="minorHAnsi"/>
          <w:color w:val="1F497D" w:themeColor="text2"/>
          <w:lang w:val="fr-FR" w:eastAsia="ja-JP"/>
        </w:rPr>
        <w:t xml:space="preserve">COVID-19 </w:t>
      </w:r>
      <w:r w:rsidR="00426DE6">
        <w:rPr>
          <w:rFonts w:eastAsia="MS Mincho" w:cstheme="minorHAnsi"/>
          <w:color w:val="1F497D" w:themeColor="text2"/>
          <w:lang w:val="fr-FR" w:eastAsia="ja-JP"/>
        </w:rPr>
        <w:t>jusqu’à</w:t>
      </w:r>
      <w:r w:rsidR="00426DE6" w:rsidRPr="00426DE6">
        <w:rPr>
          <w:rFonts w:eastAsia="MS Mincho" w:cstheme="minorHAnsi"/>
          <w:color w:val="1F497D" w:themeColor="text2"/>
          <w:lang w:val="fr-FR" w:eastAsia="ja-JP"/>
        </w:rPr>
        <w:t xml:space="preserve"> ce jour, afin d'identifier les meilleures pratiques et les défis rencontrés, leur impact sur la réponse et les raisons pour lesquelles ils se sont produits (les facteurs </w:t>
      </w:r>
      <w:r w:rsidR="00426DE6">
        <w:rPr>
          <w:rFonts w:eastAsia="MS Mincho" w:cstheme="minorHAnsi"/>
          <w:color w:val="1F497D" w:themeColor="text2"/>
          <w:lang w:val="fr-FR" w:eastAsia="ja-JP"/>
        </w:rPr>
        <w:t>favorisants</w:t>
      </w:r>
      <w:r w:rsidR="00426DE6" w:rsidRPr="00426DE6">
        <w:rPr>
          <w:rFonts w:eastAsia="MS Mincho" w:cstheme="minorHAnsi"/>
          <w:color w:val="1F497D" w:themeColor="text2"/>
          <w:lang w:val="fr-FR" w:eastAsia="ja-JP"/>
        </w:rPr>
        <w:t xml:space="preserve">/limitants). L'accent n'est pas mis sur l'identification des personnes responsables de ce qui s'est passé, mais plutôt sur ce qui s'est passé et pourquoi. </w:t>
      </w:r>
    </w:p>
    <w:p w14:paraId="19523A9C" w14:textId="77777777" w:rsidR="002A0814" w:rsidRPr="002A0814" w:rsidRDefault="002A0814" w:rsidP="002A081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val="fr-FR" w:eastAsia="ja-JP"/>
        </w:rPr>
      </w:pPr>
    </w:p>
    <w:p w14:paraId="0689D6B1" w14:textId="6A640F20" w:rsidR="00426DE6" w:rsidRPr="002A0814" w:rsidRDefault="002A0814" w:rsidP="002A081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val="fr-FR" w:eastAsia="ja-JP"/>
        </w:rPr>
      </w:pPr>
      <w:r w:rsidRPr="002A0814">
        <w:rPr>
          <w:rFonts w:eastAsia="MS Mincho" w:cstheme="minorHAnsi"/>
          <w:b/>
          <w:bCs/>
          <w:color w:val="1F497D" w:themeColor="text2"/>
          <w:lang w:val="fr-FR" w:eastAsia="ja-JP"/>
        </w:rPr>
        <w:t xml:space="preserve">Que pouvons-nous faire pour améliorer la réponse ? </w:t>
      </w:r>
      <w:r w:rsidR="00426DE6" w:rsidRPr="00426DE6">
        <w:rPr>
          <w:rFonts w:eastAsia="MS Mincho" w:cstheme="minorHAnsi"/>
          <w:color w:val="1F497D" w:themeColor="text2"/>
          <w:lang w:val="fr-FR" w:eastAsia="ja-JP"/>
        </w:rPr>
        <w:t xml:space="preserve">Les participants identifieront et développeront des activités pour </w:t>
      </w:r>
      <w:r w:rsidR="00426DE6">
        <w:rPr>
          <w:rFonts w:eastAsia="MS Mincho" w:cstheme="minorHAnsi"/>
          <w:color w:val="1F497D" w:themeColor="text2"/>
          <w:lang w:val="fr-FR" w:eastAsia="ja-JP"/>
        </w:rPr>
        <w:t>remédier aux</w:t>
      </w:r>
      <w:r w:rsidR="00426DE6" w:rsidRPr="00426DE6">
        <w:rPr>
          <w:rFonts w:eastAsia="MS Mincho" w:cstheme="minorHAnsi"/>
          <w:color w:val="1F497D" w:themeColor="text2"/>
          <w:lang w:val="fr-FR" w:eastAsia="ja-JP"/>
        </w:rPr>
        <w:t xml:space="preserve"> causes des défis identifiés dans la réponse actuelle </w:t>
      </w:r>
      <w:r w:rsidR="00852C89">
        <w:rPr>
          <w:rFonts w:eastAsia="MS Mincho" w:cstheme="minorHAnsi"/>
          <w:color w:val="1F497D" w:themeColor="text2"/>
          <w:lang w:val="fr-FR" w:eastAsia="ja-JP"/>
        </w:rPr>
        <w:t>à la</w:t>
      </w:r>
      <w:r w:rsidR="00426DE6">
        <w:rPr>
          <w:rFonts w:eastAsia="MS Mincho" w:cstheme="minorHAnsi"/>
          <w:color w:val="1F497D" w:themeColor="text2"/>
          <w:lang w:val="fr-FR" w:eastAsia="ja-JP"/>
        </w:rPr>
        <w:t xml:space="preserve"> </w:t>
      </w:r>
      <w:r w:rsidR="00426DE6" w:rsidRPr="00426DE6">
        <w:rPr>
          <w:rFonts w:eastAsia="MS Mincho" w:cstheme="minorHAnsi"/>
          <w:color w:val="1F497D" w:themeColor="text2"/>
          <w:lang w:val="fr-FR" w:eastAsia="ja-JP"/>
        </w:rPr>
        <w:t xml:space="preserve">COVID-19 ainsi que des activités pour institutionnaliser les </w:t>
      </w:r>
      <w:r w:rsidR="00426DE6">
        <w:rPr>
          <w:rFonts w:eastAsia="MS Mincho" w:cstheme="minorHAnsi"/>
          <w:color w:val="1F497D" w:themeColor="text2"/>
          <w:lang w:val="fr-FR" w:eastAsia="ja-JP"/>
        </w:rPr>
        <w:t>pr</w:t>
      </w:r>
      <w:r w:rsidR="00426DE6" w:rsidRPr="00426DE6">
        <w:rPr>
          <w:rFonts w:eastAsia="MS Mincho" w:cstheme="minorHAnsi"/>
          <w:color w:val="1F497D" w:themeColor="text2"/>
          <w:lang w:val="fr-FR" w:eastAsia="ja-JP"/>
        </w:rPr>
        <w:t>atiques</w:t>
      </w:r>
      <w:r w:rsidR="00426DE6">
        <w:rPr>
          <w:rFonts w:eastAsia="MS Mincho" w:cstheme="minorHAnsi"/>
          <w:color w:val="1F497D" w:themeColor="text2"/>
          <w:lang w:val="fr-FR" w:eastAsia="ja-JP"/>
        </w:rPr>
        <w:t xml:space="preserve"> identifiées</w:t>
      </w:r>
      <w:r w:rsidR="00426DE6" w:rsidRPr="00426DE6">
        <w:rPr>
          <w:rFonts w:eastAsia="MS Mincho" w:cstheme="minorHAnsi"/>
          <w:color w:val="1F497D" w:themeColor="text2"/>
          <w:lang w:val="fr-FR" w:eastAsia="ja-JP"/>
        </w:rPr>
        <w:t xml:space="preserve">. Les participants joueront un rôle important et ne se contenteront pas de recommander des activités, mais décideront également d'un calendrier de mise en œuvre, assigneront des responsabilités aux points focaux concernés, identifieront le soutien éventuel nécessaire et détermineront des indicateurs pour le suivi des progrès. Les participants devront veiller à ce que les activités soient harmonisées, réalistes et réalisables. </w:t>
      </w:r>
    </w:p>
    <w:p w14:paraId="32D9FFB0" w14:textId="77777777" w:rsidR="002A0814" w:rsidRPr="002A0814" w:rsidRDefault="002A0814" w:rsidP="002A081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val="fr-FR" w:eastAsia="ja-JP"/>
        </w:rPr>
      </w:pPr>
    </w:p>
    <w:p w14:paraId="1844E96A" w14:textId="381297CD" w:rsidR="00426DE6" w:rsidRDefault="002A0814" w:rsidP="002A081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val="fr-FR" w:eastAsia="ja-JP"/>
        </w:rPr>
      </w:pPr>
      <w:r w:rsidRPr="002A0814">
        <w:rPr>
          <w:rFonts w:eastAsia="MS Mincho" w:cstheme="minorHAnsi"/>
          <w:b/>
          <w:bCs/>
          <w:color w:val="1F497D" w:themeColor="text2"/>
          <w:lang w:val="fr-FR" w:eastAsia="ja-JP"/>
        </w:rPr>
        <w:t xml:space="preserve">La voie à suivre. </w:t>
      </w:r>
      <w:r w:rsidR="00426DE6" w:rsidRPr="00426DE6">
        <w:rPr>
          <w:rFonts w:eastAsia="MS Mincho" w:cstheme="minorHAnsi"/>
          <w:color w:val="1F497D" w:themeColor="text2"/>
          <w:lang w:val="fr-FR" w:eastAsia="ja-JP"/>
        </w:rPr>
        <w:t xml:space="preserve">Un plan de mise en œuvre de ces activités sera élaboré. Parmi les activités, les participants identifieront ce qui peut être fait immédiatement pour améliorer la réponse en cours ; et ce qui peut être fait à moyen ou long terme pour améliorer la réponse aux prochaines vagues de l'épidémie de COVID-19. Les participants devraient envisager sérieusement la création d'une équipe de suivi et élaborer un processus pour documenter les progrès réalisés dans la mise en œuvre des principales activités identifiées. Ils conviendront également de la meilleure façon d'engager l'équipe de direction tout au long du processus </w:t>
      </w:r>
      <w:r w:rsidR="00426DE6">
        <w:rPr>
          <w:rFonts w:eastAsia="MS Mincho" w:cstheme="minorHAnsi"/>
          <w:color w:val="1F497D" w:themeColor="text2"/>
          <w:lang w:val="fr-FR" w:eastAsia="ja-JP"/>
        </w:rPr>
        <w:t>afin de</w:t>
      </w:r>
      <w:r w:rsidR="00426DE6" w:rsidRPr="00426DE6">
        <w:rPr>
          <w:rFonts w:eastAsia="MS Mincho" w:cstheme="minorHAnsi"/>
          <w:color w:val="1F497D" w:themeColor="text2"/>
          <w:lang w:val="fr-FR" w:eastAsia="ja-JP"/>
        </w:rPr>
        <w:t xml:space="preserve"> soutenir la mise en œuvre des recommandations.</w:t>
      </w:r>
    </w:p>
    <w:p w14:paraId="682D5F69" w14:textId="5AB97831" w:rsidR="002A0814" w:rsidRPr="002A0814" w:rsidRDefault="002A0814" w:rsidP="002A0814">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eastAsia="MS Mincho" w:cstheme="minorHAnsi"/>
          <w:color w:val="1F497D" w:themeColor="text2"/>
          <w:lang w:val="fr-FR" w:eastAsia="ja-JP"/>
        </w:rPr>
      </w:pPr>
      <w:r w:rsidRPr="002A0814">
        <w:rPr>
          <w:rFonts w:eastAsia="MS Mincho" w:cstheme="minorHAnsi"/>
          <w:color w:val="1F497D" w:themeColor="text2"/>
          <w:lang w:val="fr-FR" w:eastAsia="ja-JP"/>
        </w:rPr>
        <w:t xml:space="preserve"> </w:t>
      </w:r>
    </w:p>
    <w:p w14:paraId="2FB21B15" w14:textId="77777777" w:rsidR="002A0814" w:rsidRPr="002A0814" w:rsidRDefault="002A0814" w:rsidP="005E4AFC">
      <w:pPr>
        <w:spacing w:after="0" w:line="240" w:lineRule="auto"/>
        <w:jc w:val="both"/>
        <w:rPr>
          <w:rFonts w:asciiTheme="minorHAnsi" w:hAnsiTheme="minorHAnsi" w:cstheme="minorHAnsi"/>
          <w:color w:val="auto"/>
          <w:lang w:val="fr-FR"/>
        </w:rPr>
      </w:pPr>
    </w:p>
    <w:p w14:paraId="5EC5C999" w14:textId="7F7CD91F" w:rsidR="002A0814" w:rsidRPr="00B916C0" w:rsidRDefault="002A0814" w:rsidP="002A0814">
      <w:pPr>
        <w:pStyle w:val="Heading2"/>
        <w:numPr>
          <w:ilvl w:val="0"/>
          <w:numId w:val="14"/>
        </w:numPr>
        <w:spacing w:before="0"/>
        <w:rPr>
          <w:rFonts w:asciiTheme="minorHAnsi" w:hAnsiTheme="minorHAnsi" w:cstheme="minorHAnsi"/>
          <w:color w:val="auto"/>
        </w:rPr>
      </w:pPr>
      <w:r w:rsidRPr="00B916C0">
        <w:rPr>
          <w:rFonts w:asciiTheme="minorHAnsi" w:eastAsia="Calibri" w:hAnsiTheme="minorHAnsi" w:cstheme="minorHAnsi"/>
          <w:color w:val="auto"/>
          <w:sz w:val="28"/>
          <w:szCs w:val="28"/>
        </w:rPr>
        <w:t>Participants à l</w:t>
      </w:r>
      <w:r w:rsidR="00426DE6">
        <w:rPr>
          <w:rFonts w:asciiTheme="minorHAnsi" w:eastAsia="Calibri" w:hAnsiTheme="minorHAnsi" w:cstheme="minorHAnsi"/>
          <w:color w:val="auto"/>
          <w:sz w:val="28"/>
          <w:szCs w:val="28"/>
        </w:rPr>
        <w:t>a RIA</w:t>
      </w:r>
    </w:p>
    <w:p w14:paraId="30B29719" w14:textId="477FB357" w:rsidR="00FA6D58" w:rsidRPr="002A0814" w:rsidRDefault="002A0814" w:rsidP="00FA6D58">
      <w:pPr>
        <w:rPr>
          <w:rFonts w:cstheme="minorHAnsi"/>
          <w:lang w:val="fr-FR"/>
        </w:rPr>
      </w:pPr>
      <w:r w:rsidRPr="002A0814">
        <w:rPr>
          <w:rFonts w:cstheme="minorHAnsi"/>
          <w:lang w:val="fr-FR"/>
        </w:rPr>
        <w:t>En fonction d</w:t>
      </w:r>
      <w:r w:rsidR="00651915">
        <w:rPr>
          <w:rFonts w:cstheme="minorHAnsi"/>
          <w:lang w:val="fr-FR"/>
        </w:rPr>
        <w:t>u champ d’application</w:t>
      </w:r>
      <w:r w:rsidRPr="002A0814">
        <w:rPr>
          <w:rFonts w:cstheme="minorHAnsi"/>
          <w:lang w:val="fr-FR"/>
        </w:rPr>
        <w:t xml:space="preserve"> de l</w:t>
      </w:r>
      <w:r w:rsidR="00651915">
        <w:rPr>
          <w:rFonts w:cstheme="minorHAnsi"/>
          <w:lang w:val="fr-FR"/>
        </w:rPr>
        <w:t>a revue</w:t>
      </w:r>
      <w:r w:rsidRPr="002A0814">
        <w:rPr>
          <w:rFonts w:cstheme="minorHAnsi"/>
          <w:lang w:val="fr-FR"/>
        </w:rPr>
        <w:t xml:space="preserve"> (c'est-à-dire </w:t>
      </w:r>
      <w:r w:rsidR="00426DE6">
        <w:rPr>
          <w:rFonts w:cstheme="minorHAnsi"/>
          <w:lang w:val="fr-FR"/>
        </w:rPr>
        <w:t>d</w:t>
      </w:r>
      <w:r w:rsidRPr="002A0814">
        <w:rPr>
          <w:rFonts w:cstheme="minorHAnsi"/>
          <w:lang w:val="fr-FR"/>
        </w:rPr>
        <w:t>es fonctions / piliers examinés), dresse</w:t>
      </w:r>
      <w:r w:rsidR="00426DE6">
        <w:rPr>
          <w:rFonts w:cstheme="minorHAnsi"/>
          <w:lang w:val="fr-FR"/>
        </w:rPr>
        <w:t>z</w:t>
      </w:r>
      <w:r w:rsidRPr="002A0814">
        <w:rPr>
          <w:rFonts w:cstheme="minorHAnsi"/>
          <w:lang w:val="fr-FR"/>
        </w:rPr>
        <w:t xml:space="preserve"> la liste des participants et de leurs organisations. Pour rendre</w:t>
      </w:r>
      <w:r w:rsidR="00FA6D58">
        <w:rPr>
          <w:rFonts w:cstheme="minorHAnsi"/>
          <w:lang w:val="fr-FR"/>
        </w:rPr>
        <w:t xml:space="preserve"> la RIA le </w:t>
      </w:r>
      <w:r w:rsidR="00FA6D58" w:rsidRPr="00426DE6">
        <w:rPr>
          <w:rFonts w:cstheme="minorHAnsi"/>
          <w:lang w:val="fr-FR"/>
        </w:rPr>
        <w:t xml:space="preserve">plus efficace </w:t>
      </w:r>
      <w:r w:rsidR="00FA6D58">
        <w:rPr>
          <w:rFonts w:cstheme="minorHAnsi"/>
          <w:lang w:val="fr-FR"/>
        </w:rPr>
        <w:t xml:space="preserve">possible tout </w:t>
      </w:r>
      <w:r w:rsidR="00FA6D58" w:rsidRPr="00426DE6">
        <w:rPr>
          <w:rFonts w:cstheme="minorHAnsi"/>
          <w:lang w:val="fr-FR"/>
        </w:rPr>
        <w:t>en équilibrant les exigences de diversité et d'expertise sans compromettre la réponse elle-même, le nombre idéal de participants devrait se situer entre 10 et 20.</w:t>
      </w:r>
    </w:p>
    <w:tbl>
      <w:tblPr>
        <w:tblStyle w:val="a1"/>
        <w:tblW w:w="95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49"/>
        <w:gridCol w:w="2247"/>
        <w:gridCol w:w="3364"/>
      </w:tblGrid>
      <w:tr w:rsidR="00FA6D58" w:rsidRPr="001C3C92" w14:paraId="466AB1CB" w14:textId="77777777" w:rsidTr="00314597">
        <w:trPr>
          <w:jc w:val="center"/>
        </w:trPr>
        <w:tc>
          <w:tcPr>
            <w:tcW w:w="3949" w:type="dxa"/>
          </w:tcPr>
          <w:p w14:paraId="085E3D2B" w14:textId="77777777" w:rsidR="00FA6D58" w:rsidRPr="001C3C92" w:rsidRDefault="00FA6D58" w:rsidP="00FA6D58">
            <w:pPr>
              <w:rPr>
                <w:rFonts w:asciiTheme="minorHAnsi" w:hAnsiTheme="minorHAnsi" w:cstheme="minorHAnsi"/>
              </w:rPr>
            </w:pPr>
            <w:r w:rsidRPr="001C3C92">
              <w:rPr>
                <w:rFonts w:asciiTheme="minorHAnsi" w:hAnsiTheme="minorHAnsi" w:cstheme="minorHAnsi"/>
                <w:b/>
                <w:i/>
              </w:rPr>
              <w:lastRenderedPageBreak/>
              <w:t>Name</w:t>
            </w:r>
          </w:p>
        </w:tc>
        <w:tc>
          <w:tcPr>
            <w:tcW w:w="2247" w:type="dxa"/>
          </w:tcPr>
          <w:p w14:paraId="225D42EF" w14:textId="09BF575A" w:rsidR="00FA6D58" w:rsidRPr="00002489" w:rsidRDefault="00FA6D58" w:rsidP="00FA6D58">
            <w:pPr>
              <w:rPr>
                <w:rFonts w:asciiTheme="minorHAnsi" w:hAnsiTheme="minorHAnsi" w:cstheme="minorHAnsi"/>
                <w:b/>
                <w:i/>
              </w:rPr>
            </w:pPr>
            <w:proofErr w:type="spellStart"/>
            <w:r w:rsidRPr="00651915">
              <w:rPr>
                <w:rFonts w:cstheme="minorHAnsi"/>
                <w:b/>
                <w:i/>
              </w:rPr>
              <w:t>Fonction</w:t>
            </w:r>
            <w:proofErr w:type="spellEnd"/>
            <w:r w:rsidRPr="00651915">
              <w:rPr>
                <w:rFonts w:cstheme="minorHAnsi"/>
                <w:b/>
                <w:i/>
              </w:rPr>
              <w:t xml:space="preserve"> </w:t>
            </w:r>
          </w:p>
        </w:tc>
        <w:tc>
          <w:tcPr>
            <w:tcW w:w="3364" w:type="dxa"/>
          </w:tcPr>
          <w:p w14:paraId="6EDD9A05" w14:textId="2A75056D" w:rsidR="00FA6D58" w:rsidRPr="001C3C92" w:rsidRDefault="00FA6D58" w:rsidP="00FA6D58">
            <w:pPr>
              <w:rPr>
                <w:rFonts w:asciiTheme="minorHAnsi" w:hAnsiTheme="minorHAnsi" w:cstheme="minorHAnsi"/>
              </w:rPr>
            </w:pPr>
            <w:r w:rsidRPr="001C3C92">
              <w:rPr>
                <w:rFonts w:cstheme="minorHAnsi"/>
                <w:b/>
                <w:i/>
              </w:rPr>
              <w:t>Organisation</w:t>
            </w:r>
          </w:p>
        </w:tc>
      </w:tr>
      <w:tr w:rsidR="00FA6D58" w:rsidRPr="001C3C92" w14:paraId="324D21AD" w14:textId="77777777" w:rsidTr="00314597">
        <w:trPr>
          <w:jc w:val="center"/>
        </w:trPr>
        <w:tc>
          <w:tcPr>
            <w:tcW w:w="3949" w:type="dxa"/>
          </w:tcPr>
          <w:p w14:paraId="06339BE1" w14:textId="77777777" w:rsidR="00FA6D58" w:rsidRPr="001C3C92" w:rsidRDefault="00FA6D58" w:rsidP="00314597">
            <w:pPr>
              <w:rPr>
                <w:rFonts w:asciiTheme="minorHAnsi" w:hAnsiTheme="minorHAnsi" w:cstheme="minorHAnsi"/>
              </w:rPr>
            </w:pPr>
          </w:p>
        </w:tc>
        <w:tc>
          <w:tcPr>
            <w:tcW w:w="2247" w:type="dxa"/>
          </w:tcPr>
          <w:p w14:paraId="04EFC622" w14:textId="77777777" w:rsidR="00FA6D58" w:rsidRPr="001C3C92" w:rsidRDefault="00FA6D58" w:rsidP="00314597">
            <w:pPr>
              <w:rPr>
                <w:rFonts w:asciiTheme="minorHAnsi" w:hAnsiTheme="minorHAnsi" w:cstheme="minorHAnsi"/>
              </w:rPr>
            </w:pPr>
          </w:p>
        </w:tc>
        <w:tc>
          <w:tcPr>
            <w:tcW w:w="3364" w:type="dxa"/>
          </w:tcPr>
          <w:p w14:paraId="7D90AD16" w14:textId="77777777" w:rsidR="00FA6D58" w:rsidRPr="001C3C92" w:rsidRDefault="00FA6D58" w:rsidP="00314597">
            <w:pPr>
              <w:rPr>
                <w:rFonts w:asciiTheme="minorHAnsi" w:hAnsiTheme="minorHAnsi" w:cstheme="minorHAnsi"/>
              </w:rPr>
            </w:pPr>
          </w:p>
        </w:tc>
      </w:tr>
      <w:tr w:rsidR="00FA6D58" w:rsidRPr="001C3C92" w14:paraId="72FF402C" w14:textId="77777777" w:rsidTr="00314597">
        <w:trPr>
          <w:jc w:val="center"/>
        </w:trPr>
        <w:tc>
          <w:tcPr>
            <w:tcW w:w="3949" w:type="dxa"/>
          </w:tcPr>
          <w:p w14:paraId="5411A6EA" w14:textId="77777777" w:rsidR="00FA6D58" w:rsidRPr="001C3C92" w:rsidRDefault="00FA6D58" w:rsidP="00314597">
            <w:pPr>
              <w:rPr>
                <w:rFonts w:asciiTheme="minorHAnsi" w:hAnsiTheme="minorHAnsi" w:cstheme="minorHAnsi"/>
              </w:rPr>
            </w:pPr>
          </w:p>
        </w:tc>
        <w:tc>
          <w:tcPr>
            <w:tcW w:w="2247" w:type="dxa"/>
          </w:tcPr>
          <w:p w14:paraId="443D3A45" w14:textId="77777777" w:rsidR="00FA6D58" w:rsidRPr="001C3C92" w:rsidRDefault="00FA6D58" w:rsidP="00314597">
            <w:pPr>
              <w:rPr>
                <w:rFonts w:asciiTheme="minorHAnsi" w:hAnsiTheme="minorHAnsi" w:cstheme="minorHAnsi"/>
              </w:rPr>
            </w:pPr>
          </w:p>
        </w:tc>
        <w:tc>
          <w:tcPr>
            <w:tcW w:w="3364" w:type="dxa"/>
          </w:tcPr>
          <w:p w14:paraId="7BF14C0B" w14:textId="77777777" w:rsidR="00FA6D58" w:rsidRPr="001C3C92" w:rsidRDefault="00FA6D58" w:rsidP="00314597">
            <w:pPr>
              <w:rPr>
                <w:rFonts w:asciiTheme="minorHAnsi" w:hAnsiTheme="minorHAnsi" w:cstheme="minorHAnsi"/>
              </w:rPr>
            </w:pPr>
          </w:p>
        </w:tc>
      </w:tr>
      <w:tr w:rsidR="00FA6D58" w:rsidRPr="001C3C92" w14:paraId="198B9244" w14:textId="77777777" w:rsidTr="00314597">
        <w:trPr>
          <w:jc w:val="center"/>
        </w:trPr>
        <w:tc>
          <w:tcPr>
            <w:tcW w:w="3949" w:type="dxa"/>
          </w:tcPr>
          <w:p w14:paraId="454DD3B1" w14:textId="77777777" w:rsidR="00FA6D58" w:rsidRPr="001C3C92" w:rsidRDefault="00FA6D58" w:rsidP="00314597">
            <w:pPr>
              <w:rPr>
                <w:rFonts w:asciiTheme="minorHAnsi" w:hAnsiTheme="minorHAnsi" w:cstheme="minorHAnsi"/>
              </w:rPr>
            </w:pPr>
          </w:p>
        </w:tc>
        <w:tc>
          <w:tcPr>
            <w:tcW w:w="2247" w:type="dxa"/>
          </w:tcPr>
          <w:p w14:paraId="55BF02F1" w14:textId="77777777" w:rsidR="00FA6D58" w:rsidRPr="001C3C92" w:rsidRDefault="00FA6D58" w:rsidP="00314597">
            <w:pPr>
              <w:rPr>
                <w:rFonts w:asciiTheme="minorHAnsi" w:hAnsiTheme="minorHAnsi" w:cstheme="minorHAnsi"/>
              </w:rPr>
            </w:pPr>
          </w:p>
        </w:tc>
        <w:tc>
          <w:tcPr>
            <w:tcW w:w="3364" w:type="dxa"/>
          </w:tcPr>
          <w:p w14:paraId="1BE0C8FF" w14:textId="77777777" w:rsidR="00FA6D58" w:rsidRPr="001C3C92" w:rsidRDefault="00FA6D58" w:rsidP="00314597">
            <w:pPr>
              <w:rPr>
                <w:rFonts w:asciiTheme="minorHAnsi" w:hAnsiTheme="minorHAnsi" w:cstheme="minorHAnsi"/>
              </w:rPr>
            </w:pPr>
          </w:p>
        </w:tc>
      </w:tr>
      <w:tr w:rsidR="00FA6D58" w:rsidRPr="001C3C92" w14:paraId="3A71F21D" w14:textId="77777777" w:rsidTr="00314597">
        <w:trPr>
          <w:jc w:val="center"/>
        </w:trPr>
        <w:tc>
          <w:tcPr>
            <w:tcW w:w="3949" w:type="dxa"/>
          </w:tcPr>
          <w:p w14:paraId="1A76F3F3" w14:textId="77777777" w:rsidR="00FA6D58" w:rsidRPr="001C3C92" w:rsidRDefault="00FA6D58" w:rsidP="00314597">
            <w:pPr>
              <w:rPr>
                <w:rFonts w:asciiTheme="minorHAnsi" w:hAnsiTheme="minorHAnsi" w:cstheme="minorHAnsi"/>
              </w:rPr>
            </w:pPr>
          </w:p>
        </w:tc>
        <w:tc>
          <w:tcPr>
            <w:tcW w:w="2247" w:type="dxa"/>
          </w:tcPr>
          <w:p w14:paraId="6079826C" w14:textId="77777777" w:rsidR="00FA6D58" w:rsidRPr="001C3C92" w:rsidRDefault="00FA6D58" w:rsidP="00314597">
            <w:pPr>
              <w:rPr>
                <w:rFonts w:asciiTheme="minorHAnsi" w:hAnsiTheme="minorHAnsi" w:cstheme="minorHAnsi"/>
              </w:rPr>
            </w:pPr>
          </w:p>
        </w:tc>
        <w:tc>
          <w:tcPr>
            <w:tcW w:w="3364" w:type="dxa"/>
          </w:tcPr>
          <w:p w14:paraId="308D5E93" w14:textId="77777777" w:rsidR="00FA6D58" w:rsidRPr="001C3C92" w:rsidRDefault="00FA6D58" w:rsidP="00314597">
            <w:pPr>
              <w:rPr>
                <w:rFonts w:asciiTheme="minorHAnsi" w:hAnsiTheme="minorHAnsi" w:cstheme="minorHAnsi"/>
              </w:rPr>
            </w:pPr>
          </w:p>
        </w:tc>
      </w:tr>
    </w:tbl>
    <w:p w14:paraId="50656DDA" w14:textId="4091DFFB" w:rsidR="002A0814" w:rsidRPr="002A0814" w:rsidRDefault="002A0814" w:rsidP="002A0814">
      <w:pPr>
        <w:rPr>
          <w:lang w:val="fr-FR"/>
        </w:rPr>
      </w:pPr>
      <w:r w:rsidRPr="002A0814">
        <w:rPr>
          <w:lang w:val="fr-FR"/>
        </w:rPr>
        <w:t>Si cela est pertinent pour l</w:t>
      </w:r>
      <w:r w:rsidR="00CE0EE7">
        <w:rPr>
          <w:lang w:val="fr-FR"/>
        </w:rPr>
        <w:t>a RIA</w:t>
      </w:r>
      <w:r w:rsidRPr="002A0814">
        <w:rPr>
          <w:lang w:val="fr-FR"/>
        </w:rPr>
        <w:t xml:space="preserve"> </w:t>
      </w:r>
      <w:r w:rsidR="00DC10BE">
        <w:rPr>
          <w:lang w:val="fr-FR"/>
        </w:rPr>
        <w:t xml:space="preserve">de la </w:t>
      </w:r>
      <w:r w:rsidRPr="002A0814">
        <w:rPr>
          <w:lang w:val="fr-FR"/>
        </w:rPr>
        <w:t>COVID-19 de votre pays, mentionnez les experts techniques de l'OMS et des partenaires (ajout</w:t>
      </w:r>
      <w:r w:rsidR="00CE0EE7">
        <w:rPr>
          <w:lang w:val="fr-FR"/>
        </w:rPr>
        <w:t>er</w:t>
      </w:r>
      <w:r w:rsidRPr="002A0814">
        <w:rPr>
          <w:lang w:val="fr-FR"/>
        </w:rPr>
        <w:t>/</w:t>
      </w:r>
      <w:r w:rsidR="00CE0EE7">
        <w:rPr>
          <w:lang w:val="fr-FR"/>
        </w:rPr>
        <w:t>soustraire des agences</w:t>
      </w:r>
      <w:r w:rsidRPr="002A0814">
        <w:rPr>
          <w:lang w:val="fr-FR"/>
        </w:rPr>
        <w:t>) qui peuvent participer et apporter un point de vue extérieur pendant l</w:t>
      </w:r>
      <w:r w:rsidR="00CE0EE7">
        <w:rPr>
          <w:lang w:val="fr-FR"/>
        </w:rPr>
        <w:t>a revue</w:t>
      </w:r>
      <w:r w:rsidRPr="002A0814">
        <w:rPr>
          <w:lang w:val="fr-FR"/>
        </w:rPr>
        <w:t>.</w:t>
      </w:r>
    </w:p>
    <w:p w14:paraId="5E342227" w14:textId="7459A0F1" w:rsidR="002A0814" w:rsidRPr="002A0814" w:rsidRDefault="002A0814" w:rsidP="002A0814">
      <w:pPr>
        <w:pStyle w:val="Heading2"/>
        <w:numPr>
          <w:ilvl w:val="0"/>
          <w:numId w:val="14"/>
        </w:numPr>
        <w:spacing w:before="0"/>
        <w:rPr>
          <w:rFonts w:asciiTheme="minorHAnsi" w:hAnsiTheme="minorHAnsi" w:cstheme="minorHAnsi"/>
          <w:lang w:val="fr-FR"/>
        </w:rPr>
      </w:pPr>
      <w:r w:rsidRPr="002A0814">
        <w:rPr>
          <w:rFonts w:asciiTheme="minorHAnsi" w:eastAsia="Calibri" w:hAnsiTheme="minorHAnsi" w:cstheme="minorHAnsi"/>
          <w:color w:val="000000"/>
          <w:sz w:val="28"/>
          <w:szCs w:val="28"/>
          <w:lang w:val="fr-FR"/>
        </w:rPr>
        <w:t>Équipe d</w:t>
      </w:r>
      <w:r w:rsidR="00CE0EE7">
        <w:rPr>
          <w:rFonts w:asciiTheme="minorHAnsi" w:eastAsia="Calibri" w:hAnsiTheme="minorHAnsi" w:cstheme="minorHAnsi"/>
          <w:color w:val="000000"/>
          <w:sz w:val="28"/>
          <w:szCs w:val="28"/>
          <w:lang w:val="fr-FR"/>
        </w:rPr>
        <w:t>e RIA</w:t>
      </w:r>
      <w:r w:rsidRPr="002A0814">
        <w:rPr>
          <w:rFonts w:asciiTheme="minorHAnsi" w:eastAsia="Calibri" w:hAnsiTheme="minorHAnsi" w:cstheme="minorHAnsi"/>
          <w:color w:val="000000"/>
          <w:sz w:val="28"/>
          <w:szCs w:val="28"/>
          <w:lang w:val="fr-FR"/>
        </w:rPr>
        <w:t xml:space="preserve"> </w:t>
      </w:r>
      <w:r w:rsidR="00DC10BE">
        <w:rPr>
          <w:rFonts w:asciiTheme="minorHAnsi" w:eastAsia="Calibri" w:hAnsiTheme="minorHAnsi" w:cstheme="minorHAnsi"/>
          <w:color w:val="000000"/>
          <w:sz w:val="28"/>
          <w:szCs w:val="28"/>
          <w:lang w:val="fr-FR"/>
        </w:rPr>
        <w:t xml:space="preserve">de la </w:t>
      </w:r>
      <w:r w:rsidRPr="002A0814">
        <w:rPr>
          <w:rFonts w:asciiTheme="minorHAnsi" w:eastAsia="Calibri" w:hAnsiTheme="minorHAnsi" w:cstheme="minorHAnsi"/>
          <w:color w:val="000000"/>
          <w:sz w:val="28"/>
          <w:szCs w:val="28"/>
          <w:lang w:val="fr-FR"/>
        </w:rPr>
        <w:t>COVID-19</w:t>
      </w:r>
      <w:r w:rsidR="00820815">
        <w:rPr>
          <w:rFonts w:asciiTheme="minorHAnsi" w:eastAsia="Calibri" w:hAnsiTheme="minorHAnsi" w:cstheme="minorHAnsi"/>
          <w:color w:val="000000"/>
          <w:sz w:val="28"/>
          <w:szCs w:val="28"/>
          <w:lang w:val="fr-FR"/>
        </w:rPr>
        <w:t xml:space="preserve"> </w:t>
      </w:r>
    </w:p>
    <w:p w14:paraId="110F29D5" w14:textId="5CACE5B2" w:rsidR="002A0814" w:rsidRPr="002A0814" w:rsidRDefault="002A0814" w:rsidP="002A0814">
      <w:pPr>
        <w:jc w:val="both"/>
        <w:rPr>
          <w:rFonts w:cstheme="minorHAnsi"/>
          <w:lang w:val="fr-FR"/>
        </w:rPr>
      </w:pPr>
      <w:r w:rsidRPr="002A0814">
        <w:rPr>
          <w:rFonts w:cstheme="minorHAnsi"/>
          <w:lang w:val="fr-FR"/>
        </w:rPr>
        <w:t>Une équipe chargée de préparer et de mener l</w:t>
      </w:r>
      <w:r w:rsidR="00CE0EE7">
        <w:rPr>
          <w:rFonts w:cstheme="minorHAnsi"/>
          <w:lang w:val="fr-FR"/>
        </w:rPr>
        <w:t xml:space="preserve">a revue </w:t>
      </w:r>
      <w:r w:rsidRPr="002A0814">
        <w:rPr>
          <w:rFonts w:cstheme="minorHAnsi"/>
          <w:lang w:val="fr-FR"/>
        </w:rPr>
        <w:t xml:space="preserve">devrait être mise en place. Le </w:t>
      </w:r>
      <w:r w:rsidRPr="002A0814">
        <w:rPr>
          <w:rFonts w:cstheme="minorHAnsi"/>
          <w:b/>
          <w:bCs/>
          <w:lang w:val="fr-FR"/>
        </w:rPr>
        <w:t>responsable de l</w:t>
      </w:r>
      <w:r w:rsidR="00CE0EE7">
        <w:rPr>
          <w:rFonts w:cstheme="minorHAnsi"/>
          <w:b/>
          <w:bCs/>
          <w:lang w:val="fr-FR"/>
        </w:rPr>
        <w:t>a Revue</w:t>
      </w:r>
      <w:r w:rsidRPr="002A0814">
        <w:rPr>
          <w:rFonts w:cstheme="minorHAnsi"/>
          <w:b/>
          <w:bCs/>
          <w:lang w:val="fr-FR"/>
        </w:rPr>
        <w:t xml:space="preserve"> </w:t>
      </w:r>
      <w:r w:rsidR="0032648D" w:rsidRPr="0032648D">
        <w:rPr>
          <w:rFonts w:cstheme="minorHAnsi"/>
          <w:b/>
          <w:bCs/>
          <w:lang w:val="fr-FR"/>
        </w:rPr>
        <w:t>Intra</w:t>
      </w:r>
      <w:r w:rsidRPr="002A0814">
        <w:rPr>
          <w:rFonts w:cstheme="minorHAnsi"/>
          <w:b/>
          <w:bCs/>
          <w:lang w:val="fr-FR"/>
        </w:rPr>
        <w:t>-Action</w:t>
      </w:r>
      <w:r w:rsidRPr="002A0814">
        <w:rPr>
          <w:rFonts w:cstheme="minorHAnsi"/>
          <w:lang w:val="fr-FR"/>
        </w:rPr>
        <w:t xml:space="preserve"> est chargé de la planification, de la conduite et du suivi global d</w:t>
      </w:r>
      <w:r w:rsidR="00CE0EE7">
        <w:rPr>
          <w:rFonts w:cstheme="minorHAnsi"/>
          <w:lang w:val="fr-FR"/>
        </w:rPr>
        <w:t>e la RIA</w:t>
      </w:r>
      <w:r w:rsidRPr="002A0814">
        <w:rPr>
          <w:rFonts w:cstheme="minorHAnsi"/>
          <w:lang w:val="fr-FR"/>
        </w:rPr>
        <w:t xml:space="preserve">. </w:t>
      </w:r>
    </w:p>
    <w:p w14:paraId="0DC486EE" w14:textId="5F4D166E" w:rsidR="002A0814" w:rsidRPr="00CE0EE7" w:rsidRDefault="002A0814" w:rsidP="002A0814">
      <w:pPr>
        <w:jc w:val="both"/>
        <w:rPr>
          <w:rFonts w:cstheme="minorHAnsi"/>
          <w:lang w:val="fr-FR"/>
        </w:rPr>
      </w:pPr>
      <w:r w:rsidRPr="002A0814">
        <w:rPr>
          <w:rFonts w:cstheme="minorHAnsi"/>
          <w:lang w:val="fr-FR"/>
        </w:rPr>
        <w:t>Le responsable de l</w:t>
      </w:r>
      <w:r w:rsidR="00CE0EE7">
        <w:rPr>
          <w:rFonts w:cstheme="minorHAnsi"/>
          <w:lang w:val="fr-FR"/>
        </w:rPr>
        <w:t>a RIA</w:t>
      </w:r>
      <w:r w:rsidRPr="002A0814">
        <w:rPr>
          <w:rFonts w:cstheme="minorHAnsi"/>
          <w:lang w:val="fr-FR"/>
        </w:rPr>
        <w:t xml:space="preserve"> sera assisté par une équipe à laquelle seront attribuées des tâches et des responsabilités dans la préparation et la conception. </w:t>
      </w:r>
      <w:r w:rsidRPr="00CE0EE7">
        <w:rPr>
          <w:rFonts w:cstheme="minorHAnsi"/>
          <w:lang w:val="fr-FR"/>
        </w:rPr>
        <w:t>Les rôles essentiels sont les suivants :</w:t>
      </w:r>
    </w:p>
    <w:p w14:paraId="477914EE" w14:textId="0DED1E37" w:rsidR="002A0814" w:rsidRPr="002A0814" w:rsidRDefault="00FA6D58" w:rsidP="002A0814">
      <w:pPr>
        <w:pStyle w:val="ListParagraph"/>
        <w:numPr>
          <w:ilvl w:val="0"/>
          <w:numId w:val="17"/>
        </w:numPr>
        <w:jc w:val="both"/>
        <w:rPr>
          <w:rFonts w:cstheme="minorHAnsi"/>
          <w:lang w:val="fr-FR"/>
        </w:rPr>
      </w:pPr>
      <w:r w:rsidRPr="00FA6D58">
        <w:rPr>
          <w:rFonts w:cstheme="minorHAnsi"/>
          <w:lang w:val="fr-FR"/>
        </w:rPr>
        <w:t>Responsable</w:t>
      </w:r>
      <w:r w:rsidR="002A0814" w:rsidRPr="00FA6D58">
        <w:rPr>
          <w:rFonts w:cstheme="minorHAnsi"/>
          <w:lang w:val="fr-FR"/>
        </w:rPr>
        <w:t xml:space="preserve"> </w:t>
      </w:r>
      <w:r w:rsidR="002A0814" w:rsidRPr="002A0814">
        <w:rPr>
          <w:rFonts w:cstheme="minorHAnsi"/>
          <w:lang w:val="fr-FR"/>
        </w:rPr>
        <w:t>de l</w:t>
      </w:r>
      <w:r w:rsidR="00CE0EE7">
        <w:rPr>
          <w:rFonts w:cstheme="minorHAnsi"/>
          <w:lang w:val="fr-FR"/>
        </w:rPr>
        <w:t>a RIA</w:t>
      </w:r>
      <w:r w:rsidR="002A0814" w:rsidRPr="002A0814">
        <w:rPr>
          <w:rFonts w:cstheme="minorHAnsi"/>
          <w:lang w:val="fr-FR"/>
        </w:rPr>
        <w:t xml:space="preserve"> (gestion de projet)</w:t>
      </w:r>
    </w:p>
    <w:p w14:paraId="0B24B858" w14:textId="41D8FC4E" w:rsidR="002A0814" w:rsidRPr="002A0814" w:rsidRDefault="00CE0EE7" w:rsidP="002A0814">
      <w:pPr>
        <w:pStyle w:val="ListParagraph"/>
        <w:numPr>
          <w:ilvl w:val="0"/>
          <w:numId w:val="17"/>
        </w:numPr>
        <w:jc w:val="both"/>
        <w:rPr>
          <w:rFonts w:cstheme="minorHAnsi"/>
          <w:lang w:val="fr-FR"/>
        </w:rPr>
      </w:pPr>
      <w:r>
        <w:rPr>
          <w:rFonts w:cstheme="minorHAnsi"/>
          <w:lang w:val="fr-FR"/>
        </w:rPr>
        <w:t>Facilitateur</w:t>
      </w:r>
      <w:r w:rsidR="002A0814" w:rsidRPr="002A0814">
        <w:rPr>
          <w:rFonts w:cstheme="minorHAnsi"/>
          <w:lang w:val="fr-FR"/>
        </w:rPr>
        <w:t xml:space="preserve"> principal et éventuels </w:t>
      </w:r>
      <w:r>
        <w:rPr>
          <w:rFonts w:cstheme="minorHAnsi"/>
          <w:lang w:val="fr-FR"/>
        </w:rPr>
        <w:t>facilitateurs</w:t>
      </w:r>
      <w:r w:rsidR="002A0814" w:rsidRPr="002A0814">
        <w:rPr>
          <w:rFonts w:cstheme="minorHAnsi"/>
          <w:lang w:val="fr-FR"/>
        </w:rPr>
        <w:t xml:space="preserve"> adjoints (pour couvrir les questions techniques)</w:t>
      </w:r>
    </w:p>
    <w:p w14:paraId="1AC0BF32" w14:textId="77777777" w:rsidR="002A0814" w:rsidRPr="002A0814" w:rsidRDefault="002A0814" w:rsidP="002A0814">
      <w:pPr>
        <w:pStyle w:val="ListParagraph"/>
        <w:numPr>
          <w:ilvl w:val="0"/>
          <w:numId w:val="17"/>
        </w:numPr>
        <w:jc w:val="both"/>
        <w:rPr>
          <w:rFonts w:cstheme="minorHAnsi"/>
          <w:lang w:val="fr-FR"/>
        </w:rPr>
      </w:pPr>
      <w:r w:rsidRPr="002A0814">
        <w:rPr>
          <w:rFonts w:cstheme="minorHAnsi"/>
          <w:lang w:val="fr-FR"/>
        </w:rPr>
        <w:t>Preneur de notes et rédacteur de rapports</w:t>
      </w:r>
    </w:p>
    <w:p w14:paraId="6F738F9E" w14:textId="651702EA" w:rsidR="002A0814" w:rsidRPr="002A0814" w:rsidRDefault="002A0814" w:rsidP="002A0814">
      <w:pPr>
        <w:jc w:val="both"/>
        <w:rPr>
          <w:rFonts w:cstheme="minorHAnsi"/>
          <w:lang w:val="fr-FR"/>
        </w:rPr>
      </w:pPr>
      <w:r w:rsidRPr="002A0814">
        <w:rPr>
          <w:rFonts w:cstheme="minorHAnsi"/>
          <w:lang w:val="fr-FR"/>
        </w:rPr>
        <w:t>Selon l'ampleur de l</w:t>
      </w:r>
      <w:r w:rsidR="00CE0EE7">
        <w:rPr>
          <w:rFonts w:cstheme="minorHAnsi"/>
          <w:lang w:val="fr-FR"/>
        </w:rPr>
        <w:t xml:space="preserve">a </w:t>
      </w:r>
      <w:r w:rsidR="0032648D">
        <w:rPr>
          <w:rFonts w:cstheme="minorHAnsi"/>
          <w:lang w:val="fr-FR"/>
        </w:rPr>
        <w:t>R</w:t>
      </w:r>
      <w:r w:rsidR="00CE0EE7">
        <w:rPr>
          <w:rFonts w:cstheme="minorHAnsi"/>
          <w:lang w:val="fr-FR"/>
        </w:rPr>
        <w:t xml:space="preserve">evue </w:t>
      </w:r>
      <w:r w:rsidR="0032648D" w:rsidRPr="0032648D">
        <w:rPr>
          <w:rFonts w:cstheme="minorHAnsi"/>
          <w:lang w:val="fr-FR"/>
        </w:rPr>
        <w:t>Intra</w:t>
      </w:r>
      <w:r w:rsidR="00CE0EE7">
        <w:rPr>
          <w:rFonts w:cstheme="minorHAnsi"/>
          <w:lang w:val="fr-FR"/>
        </w:rPr>
        <w:t>-</w:t>
      </w:r>
      <w:r w:rsidR="0032648D">
        <w:rPr>
          <w:rFonts w:cstheme="minorHAnsi"/>
          <w:lang w:val="fr-FR"/>
        </w:rPr>
        <w:t>A</w:t>
      </w:r>
      <w:r w:rsidR="00CE0EE7">
        <w:rPr>
          <w:rFonts w:cstheme="minorHAnsi"/>
          <w:lang w:val="fr-FR"/>
        </w:rPr>
        <w:t>ction</w:t>
      </w:r>
      <w:r w:rsidRPr="002A0814">
        <w:rPr>
          <w:rFonts w:cstheme="minorHAnsi"/>
          <w:lang w:val="fr-FR"/>
        </w:rPr>
        <w:t xml:space="preserve">, une personne peut être désignée pour remplir plusieurs des rôles, ou plusieurs personnes peuvent remplir chaque rôle. Toutefois, </w:t>
      </w:r>
      <w:r w:rsidR="00CE0EE7" w:rsidRPr="002A0814">
        <w:rPr>
          <w:rFonts w:cstheme="minorHAnsi"/>
          <w:lang w:val="fr-FR"/>
        </w:rPr>
        <w:t>veuillez-vous</w:t>
      </w:r>
      <w:r w:rsidRPr="002A0814">
        <w:rPr>
          <w:rFonts w:cstheme="minorHAnsi"/>
          <w:lang w:val="fr-FR"/>
        </w:rPr>
        <w:t xml:space="preserve"> assurer qu'au moins un membre de l'équipe de facilitation possède une expertise technique pour chacun des piliers faisant l'objet de l'examen.</w:t>
      </w:r>
    </w:p>
    <w:p w14:paraId="3F5991EA" w14:textId="77777777" w:rsidR="002A0814" w:rsidRPr="002A0814" w:rsidRDefault="002A0814" w:rsidP="002A0814">
      <w:pPr>
        <w:jc w:val="both"/>
        <w:rPr>
          <w:rFonts w:cstheme="minorHAnsi"/>
          <w:lang w:val="fr-FR"/>
        </w:rPr>
      </w:pPr>
      <w:r w:rsidRPr="002A0814">
        <w:rPr>
          <w:rFonts w:cstheme="minorHAnsi"/>
          <w:lang w:val="fr-FR"/>
        </w:rPr>
        <w:t>Le tableau ci-dessous présente la composition de l'équipe de l'IRA.</w:t>
      </w:r>
    </w:p>
    <w:tbl>
      <w:tblPr>
        <w:tblStyle w:val="a0"/>
        <w:tblW w:w="90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0"/>
        <w:gridCol w:w="2273"/>
        <w:gridCol w:w="1985"/>
        <w:gridCol w:w="2524"/>
      </w:tblGrid>
      <w:tr w:rsidR="00FA6D58" w:rsidRPr="009E6DE0" w14:paraId="48448E2E" w14:textId="77777777" w:rsidTr="00FA6D58">
        <w:tc>
          <w:tcPr>
            <w:tcW w:w="2290" w:type="dxa"/>
          </w:tcPr>
          <w:p w14:paraId="793D0AF7" w14:textId="7DFDC646" w:rsidR="00FA6D58" w:rsidRPr="009E6DE0" w:rsidRDefault="00FA6D58" w:rsidP="00FA6D58">
            <w:pPr>
              <w:rPr>
                <w:rFonts w:asciiTheme="minorHAnsi" w:hAnsiTheme="minorHAnsi" w:cstheme="minorHAnsi"/>
                <w:color w:val="auto"/>
              </w:rPr>
            </w:pPr>
            <w:proofErr w:type="spellStart"/>
            <w:r>
              <w:rPr>
                <w:rFonts w:cstheme="minorHAnsi"/>
                <w:b/>
                <w:i/>
              </w:rPr>
              <w:t>Rôle</w:t>
            </w:r>
            <w:proofErr w:type="spellEnd"/>
          </w:p>
        </w:tc>
        <w:tc>
          <w:tcPr>
            <w:tcW w:w="2273" w:type="dxa"/>
          </w:tcPr>
          <w:p w14:paraId="35DAA123" w14:textId="70FD53C5" w:rsidR="00FA6D58" w:rsidRPr="009E6DE0" w:rsidRDefault="00FA6D58" w:rsidP="00FA6D58">
            <w:pPr>
              <w:rPr>
                <w:rFonts w:asciiTheme="minorHAnsi" w:hAnsiTheme="minorHAnsi" w:cstheme="minorHAnsi"/>
                <w:color w:val="auto"/>
              </w:rPr>
            </w:pPr>
            <w:r w:rsidRPr="009E6DE0">
              <w:rPr>
                <w:rFonts w:cstheme="minorHAnsi"/>
                <w:b/>
                <w:i/>
              </w:rPr>
              <w:t>Nom</w:t>
            </w:r>
          </w:p>
        </w:tc>
        <w:tc>
          <w:tcPr>
            <w:tcW w:w="1985" w:type="dxa"/>
          </w:tcPr>
          <w:p w14:paraId="1F649BDA" w14:textId="72CCFBCB" w:rsidR="00FA6D58" w:rsidRPr="009E6DE0" w:rsidRDefault="00FA6D58" w:rsidP="00FA6D58">
            <w:pPr>
              <w:rPr>
                <w:rFonts w:asciiTheme="minorHAnsi" w:hAnsiTheme="minorHAnsi" w:cstheme="minorHAnsi"/>
                <w:color w:val="auto"/>
              </w:rPr>
            </w:pPr>
            <w:r w:rsidRPr="009E6DE0">
              <w:rPr>
                <w:rFonts w:cstheme="minorHAnsi"/>
                <w:b/>
                <w:i/>
              </w:rPr>
              <w:t>Organisation</w:t>
            </w:r>
          </w:p>
        </w:tc>
        <w:tc>
          <w:tcPr>
            <w:tcW w:w="2524" w:type="dxa"/>
          </w:tcPr>
          <w:p w14:paraId="71BBAF64" w14:textId="2544FA33" w:rsidR="00FA6D58" w:rsidRPr="009E6DE0" w:rsidRDefault="00FA6D58" w:rsidP="00FA6D58">
            <w:pPr>
              <w:rPr>
                <w:rFonts w:asciiTheme="minorHAnsi" w:hAnsiTheme="minorHAnsi" w:cstheme="minorHAnsi"/>
                <w:color w:val="auto"/>
              </w:rPr>
            </w:pPr>
            <w:proofErr w:type="spellStart"/>
            <w:r w:rsidRPr="009E6DE0">
              <w:rPr>
                <w:rFonts w:cstheme="minorHAnsi"/>
                <w:b/>
                <w:i/>
              </w:rPr>
              <w:t>Responsabilité</w:t>
            </w:r>
            <w:proofErr w:type="spellEnd"/>
            <w:r w:rsidRPr="009E6DE0">
              <w:rPr>
                <w:rFonts w:cstheme="minorHAnsi"/>
                <w:b/>
                <w:i/>
              </w:rPr>
              <w:t xml:space="preserve"> </w:t>
            </w:r>
            <w:proofErr w:type="spellStart"/>
            <w:r w:rsidRPr="009E6DE0">
              <w:rPr>
                <w:rFonts w:cstheme="minorHAnsi"/>
                <w:b/>
                <w:i/>
              </w:rPr>
              <w:t>principale</w:t>
            </w:r>
            <w:proofErr w:type="spellEnd"/>
          </w:p>
        </w:tc>
      </w:tr>
      <w:tr w:rsidR="00FA6D58" w:rsidRPr="009E6DE0" w14:paraId="241CD8F7" w14:textId="77777777" w:rsidTr="00FA6D58">
        <w:trPr>
          <w:trHeight w:val="339"/>
        </w:trPr>
        <w:tc>
          <w:tcPr>
            <w:tcW w:w="2290" w:type="dxa"/>
          </w:tcPr>
          <w:p w14:paraId="090F687C" w14:textId="238853AA" w:rsidR="00FA6D58" w:rsidRPr="009E6DE0" w:rsidRDefault="00FA6D58" w:rsidP="00314597">
            <w:pPr>
              <w:rPr>
                <w:rFonts w:asciiTheme="minorHAnsi" w:hAnsiTheme="minorHAnsi" w:cstheme="minorHAnsi"/>
                <w:iCs/>
                <w:color w:val="auto"/>
              </w:rPr>
            </w:pPr>
            <w:r>
              <w:rPr>
                <w:rFonts w:cstheme="minorHAnsi"/>
                <w:iCs/>
                <w:lang w:val="fr-FR"/>
              </w:rPr>
              <w:t>Responsable de la RIA</w:t>
            </w:r>
          </w:p>
        </w:tc>
        <w:tc>
          <w:tcPr>
            <w:tcW w:w="2273" w:type="dxa"/>
          </w:tcPr>
          <w:p w14:paraId="2F28147F" w14:textId="77777777" w:rsidR="00FA6D58" w:rsidRPr="009E6DE0" w:rsidRDefault="00FA6D58" w:rsidP="00314597">
            <w:pPr>
              <w:rPr>
                <w:rFonts w:asciiTheme="minorHAnsi" w:hAnsiTheme="minorHAnsi" w:cstheme="minorHAnsi"/>
                <w:color w:val="auto"/>
              </w:rPr>
            </w:pPr>
          </w:p>
        </w:tc>
        <w:tc>
          <w:tcPr>
            <w:tcW w:w="1985" w:type="dxa"/>
          </w:tcPr>
          <w:p w14:paraId="2FA70F80" w14:textId="77777777" w:rsidR="00FA6D58" w:rsidRPr="009E6DE0" w:rsidRDefault="00FA6D58" w:rsidP="00314597">
            <w:pPr>
              <w:rPr>
                <w:rFonts w:asciiTheme="minorHAnsi" w:hAnsiTheme="minorHAnsi" w:cstheme="minorHAnsi"/>
                <w:color w:val="auto"/>
              </w:rPr>
            </w:pPr>
          </w:p>
        </w:tc>
        <w:tc>
          <w:tcPr>
            <w:tcW w:w="2524" w:type="dxa"/>
          </w:tcPr>
          <w:p w14:paraId="370A604A" w14:textId="0A69800A" w:rsidR="00FA6D58" w:rsidRPr="009E6DE0" w:rsidRDefault="00FA6D58" w:rsidP="00314597">
            <w:pPr>
              <w:rPr>
                <w:rFonts w:asciiTheme="minorHAnsi" w:hAnsiTheme="minorHAnsi" w:cstheme="minorHAnsi"/>
                <w:color w:val="auto"/>
              </w:rPr>
            </w:pPr>
            <w:r w:rsidRPr="009E6DE0">
              <w:rPr>
                <w:rFonts w:cstheme="minorHAnsi"/>
              </w:rPr>
              <w:t xml:space="preserve">Gestion de </w:t>
            </w:r>
            <w:proofErr w:type="spellStart"/>
            <w:r w:rsidRPr="009E6DE0">
              <w:rPr>
                <w:rFonts w:cstheme="minorHAnsi"/>
              </w:rPr>
              <w:t>projet</w:t>
            </w:r>
            <w:proofErr w:type="spellEnd"/>
          </w:p>
        </w:tc>
      </w:tr>
      <w:tr w:rsidR="00FA6D58" w:rsidRPr="009E6DE0" w14:paraId="6B724447" w14:textId="77777777" w:rsidTr="00FA6D58">
        <w:tc>
          <w:tcPr>
            <w:tcW w:w="2290" w:type="dxa"/>
          </w:tcPr>
          <w:p w14:paraId="01BC4CA8" w14:textId="1505806C" w:rsidR="00FA6D58" w:rsidRPr="009E6DE0" w:rsidRDefault="00FA6D58" w:rsidP="00314597">
            <w:pPr>
              <w:rPr>
                <w:rFonts w:asciiTheme="minorHAnsi" w:hAnsiTheme="minorHAnsi" w:cstheme="minorHAnsi"/>
                <w:iCs/>
                <w:color w:val="auto"/>
              </w:rPr>
            </w:pPr>
            <w:proofErr w:type="spellStart"/>
            <w:r>
              <w:rPr>
                <w:rFonts w:asciiTheme="minorHAnsi" w:hAnsiTheme="minorHAnsi" w:cstheme="minorHAnsi"/>
                <w:iCs/>
                <w:color w:val="auto"/>
              </w:rPr>
              <w:t>Facilitateurs</w:t>
            </w:r>
            <w:proofErr w:type="spellEnd"/>
            <w:r>
              <w:rPr>
                <w:rFonts w:asciiTheme="minorHAnsi" w:hAnsiTheme="minorHAnsi" w:cstheme="minorHAnsi"/>
                <w:iCs/>
                <w:color w:val="auto"/>
              </w:rPr>
              <w:t xml:space="preserve"> principal / </w:t>
            </w:r>
            <w:proofErr w:type="spellStart"/>
            <w:r>
              <w:rPr>
                <w:rFonts w:asciiTheme="minorHAnsi" w:hAnsiTheme="minorHAnsi" w:cstheme="minorHAnsi"/>
                <w:iCs/>
                <w:color w:val="auto"/>
              </w:rPr>
              <w:t>Facilitateurs</w:t>
            </w:r>
            <w:proofErr w:type="spellEnd"/>
            <w:r>
              <w:rPr>
                <w:rFonts w:asciiTheme="minorHAnsi" w:hAnsiTheme="minorHAnsi" w:cstheme="minorHAnsi"/>
                <w:iCs/>
                <w:color w:val="auto"/>
              </w:rPr>
              <w:t xml:space="preserve"> adjoints</w:t>
            </w:r>
          </w:p>
        </w:tc>
        <w:tc>
          <w:tcPr>
            <w:tcW w:w="2273" w:type="dxa"/>
          </w:tcPr>
          <w:p w14:paraId="2FD5831A" w14:textId="77777777" w:rsidR="00FA6D58" w:rsidRPr="009E6DE0" w:rsidRDefault="00FA6D58" w:rsidP="00314597">
            <w:pPr>
              <w:rPr>
                <w:rFonts w:asciiTheme="minorHAnsi" w:hAnsiTheme="minorHAnsi" w:cstheme="minorHAnsi"/>
                <w:color w:val="auto"/>
              </w:rPr>
            </w:pPr>
          </w:p>
        </w:tc>
        <w:tc>
          <w:tcPr>
            <w:tcW w:w="1985" w:type="dxa"/>
          </w:tcPr>
          <w:p w14:paraId="2D134D86" w14:textId="77777777" w:rsidR="00FA6D58" w:rsidRPr="009E6DE0" w:rsidRDefault="00FA6D58" w:rsidP="00314597">
            <w:pPr>
              <w:rPr>
                <w:rFonts w:asciiTheme="minorHAnsi" w:hAnsiTheme="minorHAnsi" w:cstheme="minorHAnsi"/>
                <w:color w:val="auto"/>
              </w:rPr>
            </w:pPr>
          </w:p>
        </w:tc>
        <w:tc>
          <w:tcPr>
            <w:tcW w:w="2524" w:type="dxa"/>
          </w:tcPr>
          <w:p w14:paraId="5891C653" w14:textId="52A7CCB1" w:rsidR="00FA6D58" w:rsidRPr="009E6DE0" w:rsidRDefault="00FA6D58" w:rsidP="00314597">
            <w:pPr>
              <w:rPr>
                <w:rFonts w:asciiTheme="minorHAnsi" w:hAnsiTheme="minorHAnsi" w:cstheme="minorHAnsi"/>
                <w:color w:val="auto"/>
              </w:rPr>
            </w:pPr>
            <w:r>
              <w:rPr>
                <w:rFonts w:asciiTheme="minorHAnsi" w:hAnsiTheme="minorHAnsi" w:cstheme="minorHAnsi"/>
                <w:color w:val="auto"/>
              </w:rPr>
              <w:t>Facilitation des discussions</w:t>
            </w:r>
          </w:p>
        </w:tc>
      </w:tr>
      <w:tr w:rsidR="00FA6D58" w:rsidRPr="00DC10BE" w14:paraId="5CFBA81E" w14:textId="77777777" w:rsidTr="00FA6D58">
        <w:tc>
          <w:tcPr>
            <w:tcW w:w="2290" w:type="dxa"/>
          </w:tcPr>
          <w:p w14:paraId="6326E456" w14:textId="72E71231" w:rsidR="00FA6D58" w:rsidRPr="00FA6D58" w:rsidRDefault="00FA6D58" w:rsidP="00FA6D58">
            <w:pPr>
              <w:jc w:val="both"/>
              <w:rPr>
                <w:rFonts w:cstheme="minorHAnsi"/>
                <w:lang w:val="fr-FR"/>
              </w:rPr>
            </w:pPr>
            <w:r w:rsidRPr="00FA6D58">
              <w:rPr>
                <w:rFonts w:cstheme="minorHAnsi"/>
                <w:lang w:val="fr-FR"/>
              </w:rPr>
              <w:t>Preneur de notes et rédacteur de rapports</w:t>
            </w:r>
          </w:p>
          <w:p w14:paraId="6776DF85" w14:textId="66129B92" w:rsidR="00FA6D58" w:rsidRPr="00FA6D58" w:rsidRDefault="00FA6D58" w:rsidP="00314597">
            <w:pPr>
              <w:jc w:val="both"/>
              <w:rPr>
                <w:rFonts w:asciiTheme="minorHAnsi" w:hAnsiTheme="minorHAnsi" w:cstheme="minorHAnsi"/>
                <w:lang w:val="fr-FR"/>
              </w:rPr>
            </w:pPr>
          </w:p>
        </w:tc>
        <w:tc>
          <w:tcPr>
            <w:tcW w:w="2273" w:type="dxa"/>
          </w:tcPr>
          <w:p w14:paraId="5669E48E" w14:textId="77777777" w:rsidR="00FA6D58" w:rsidRPr="00FA6D58" w:rsidRDefault="00FA6D58" w:rsidP="00314597">
            <w:pPr>
              <w:rPr>
                <w:rFonts w:asciiTheme="minorHAnsi" w:hAnsiTheme="minorHAnsi" w:cstheme="minorHAnsi"/>
                <w:color w:val="auto"/>
                <w:lang w:val="fr-FR"/>
              </w:rPr>
            </w:pPr>
          </w:p>
        </w:tc>
        <w:tc>
          <w:tcPr>
            <w:tcW w:w="1985" w:type="dxa"/>
          </w:tcPr>
          <w:p w14:paraId="3772035D" w14:textId="77777777" w:rsidR="00FA6D58" w:rsidRPr="00FA6D58" w:rsidRDefault="00FA6D58" w:rsidP="00314597">
            <w:pPr>
              <w:rPr>
                <w:rFonts w:asciiTheme="minorHAnsi" w:hAnsiTheme="minorHAnsi" w:cstheme="minorHAnsi"/>
                <w:color w:val="auto"/>
                <w:lang w:val="fr-FR"/>
              </w:rPr>
            </w:pPr>
          </w:p>
        </w:tc>
        <w:tc>
          <w:tcPr>
            <w:tcW w:w="2524" w:type="dxa"/>
          </w:tcPr>
          <w:p w14:paraId="2BF7D037" w14:textId="77B9EE03" w:rsidR="00FA6D58" w:rsidRPr="00FA6D58" w:rsidRDefault="00FA6D58" w:rsidP="00314597">
            <w:pPr>
              <w:rPr>
                <w:rFonts w:asciiTheme="minorHAnsi" w:hAnsiTheme="minorHAnsi" w:cstheme="minorHAnsi"/>
                <w:color w:val="auto"/>
                <w:lang w:val="fr-FR"/>
              </w:rPr>
            </w:pPr>
            <w:r w:rsidRPr="00FA6D58">
              <w:rPr>
                <w:rFonts w:asciiTheme="minorHAnsi" w:hAnsiTheme="minorHAnsi" w:cstheme="minorHAnsi"/>
                <w:color w:val="auto"/>
                <w:lang w:val="fr-FR"/>
              </w:rPr>
              <w:t>Capture les discussions au cours des sessions</w:t>
            </w:r>
          </w:p>
        </w:tc>
      </w:tr>
      <w:tr w:rsidR="00FA6D58" w:rsidRPr="009E6DE0" w14:paraId="45E9961F" w14:textId="77777777" w:rsidTr="00FA6D58">
        <w:trPr>
          <w:trHeight w:val="386"/>
        </w:trPr>
        <w:tc>
          <w:tcPr>
            <w:tcW w:w="2290" w:type="dxa"/>
            <w:vMerge w:val="restart"/>
          </w:tcPr>
          <w:p w14:paraId="3D6D7472" w14:textId="42361AA3" w:rsidR="00FA6D58" w:rsidRPr="009E6DE0" w:rsidRDefault="00FA6D58" w:rsidP="00314597">
            <w:pPr>
              <w:rPr>
                <w:rFonts w:asciiTheme="minorHAnsi" w:hAnsiTheme="minorHAnsi" w:cstheme="minorHAnsi"/>
                <w:color w:val="auto"/>
              </w:rPr>
            </w:pPr>
            <w:r w:rsidRPr="00FA6D58">
              <w:rPr>
                <w:rFonts w:asciiTheme="minorHAnsi" w:hAnsiTheme="minorHAnsi" w:cstheme="minorHAnsi"/>
                <w:color w:val="auto"/>
              </w:rPr>
              <w:t xml:space="preserve">Personnel </w:t>
            </w:r>
            <w:proofErr w:type="spellStart"/>
            <w:r w:rsidRPr="00FA6D58">
              <w:rPr>
                <w:rFonts w:asciiTheme="minorHAnsi" w:hAnsiTheme="minorHAnsi" w:cstheme="minorHAnsi"/>
                <w:color w:val="auto"/>
              </w:rPr>
              <w:t>d'appui</w:t>
            </w:r>
            <w:proofErr w:type="spellEnd"/>
            <w:r w:rsidRPr="00FA6D58">
              <w:rPr>
                <w:rFonts w:asciiTheme="minorHAnsi" w:hAnsiTheme="minorHAnsi" w:cstheme="minorHAnsi"/>
                <w:color w:val="auto"/>
              </w:rPr>
              <w:t xml:space="preserve"> </w:t>
            </w:r>
            <w:proofErr w:type="spellStart"/>
            <w:r w:rsidRPr="00FA6D58">
              <w:rPr>
                <w:rFonts w:asciiTheme="minorHAnsi" w:hAnsiTheme="minorHAnsi" w:cstheme="minorHAnsi"/>
                <w:color w:val="auto"/>
              </w:rPr>
              <w:t>supplémentaire</w:t>
            </w:r>
            <w:proofErr w:type="spellEnd"/>
          </w:p>
        </w:tc>
        <w:tc>
          <w:tcPr>
            <w:tcW w:w="2273" w:type="dxa"/>
          </w:tcPr>
          <w:p w14:paraId="2B190252" w14:textId="77777777" w:rsidR="00FA6D58" w:rsidRPr="009E6DE0" w:rsidRDefault="00FA6D58" w:rsidP="00314597">
            <w:pPr>
              <w:rPr>
                <w:rFonts w:asciiTheme="minorHAnsi" w:hAnsiTheme="minorHAnsi" w:cstheme="minorHAnsi"/>
                <w:color w:val="auto"/>
              </w:rPr>
            </w:pPr>
          </w:p>
        </w:tc>
        <w:tc>
          <w:tcPr>
            <w:tcW w:w="1985" w:type="dxa"/>
          </w:tcPr>
          <w:p w14:paraId="797AD382" w14:textId="77777777" w:rsidR="00FA6D58" w:rsidRPr="009E6DE0" w:rsidRDefault="00FA6D58" w:rsidP="00314597">
            <w:pPr>
              <w:rPr>
                <w:rFonts w:asciiTheme="minorHAnsi" w:hAnsiTheme="minorHAnsi" w:cstheme="minorHAnsi"/>
                <w:color w:val="auto"/>
              </w:rPr>
            </w:pPr>
          </w:p>
        </w:tc>
        <w:tc>
          <w:tcPr>
            <w:tcW w:w="2524" w:type="dxa"/>
          </w:tcPr>
          <w:p w14:paraId="78112C9E" w14:textId="076AF565" w:rsidR="00FA6D58" w:rsidRPr="009E6DE0" w:rsidRDefault="00FA6D58" w:rsidP="00314597">
            <w:pPr>
              <w:rPr>
                <w:rFonts w:asciiTheme="minorHAnsi" w:hAnsiTheme="minorHAnsi" w:cstheme="minorHAnsi"/>
                <w:color w:val="auto"/>
              </w:rPr>
            </w:pPr>
            <w:proofErr w:type="spellStart"/>
            <w:r w:rsidRPr="009E6DE0">
              <w:rPr>
                <w:rFonts w:cstheme="minorHAnsi"/>
              </w:rPr>
              <w:t>Soutien</w:t>
            </w:r>
            <w:proofErr w:type="spellEnd"/>
            <w:r w:rsidRPr="009E6DE0">
              <w:rPr>
                <w:rFonts w:cstheme="minorHAnsi"/>
              </w:rPr>
              <w:t xml:space="preserve"> </w:t>
            </w:r>
            <w:proofErr w:type="spellStart"/>
            <w:r w:rsidRPr="009E6DE0">
              <w:rPr>
                <w:rFonts w:cstheme="minorHAnsi"/>
              </w:rPr>
              <w:t>administratif</w:t>
            </w:r>
            <w:proofErr w:type="spellEnd"/>
            <w:r w:rsidRPr="009E6DE0">
              <w:rPr>
                <w:rFonts w:cstheme="minorHAnsi"/>
              </w:rPr>
              <w:t xml:space="preserve"> et </w:t>
            </w:r>
            <w:proofErr w:type="spellStart"/>
            <w:r w:rsidRPr="009E6DE0">
              <w:rPr>
                <w:rFonts w:cstheme="minorHAnsi"/>
              </w:rPr>
              <w:t>informatique</w:t>
            </w:r>
            <w:proofErr w:type="spellEnd"/>
          </w:p>
        </w:tc>
      </w:tr>
      <w:tr w:rsidR="00FA6D58" w:rsidRPr="009E6DE0" w14:paraId="0EABF446" w14:textId="77777777" w:rsidTr="00FA6D58">
        <w:trPr>
          <w:trHeight w:val="407"/>
        </w:trPr>
        <w:tc>
          <w:tcPr>
            <w:tcW w:w="2290" w:type="dxa"/>
            <w:vMerge/>
          </w:tcPr>
          <w:p w14:paraId="2D30EC51" w14:textId="77777777" w:rsidR="00FA6D58" w:rsidRDefault="00FA6D58" w:rsidP="00314597">
            <w:pPr>
              <w:rPr>
                <w:rFonts w:asciiTheme="minorHAnsi" w:hAnsiTheme="minorHAnsi" w:cstheme="minorHAnsi"/>
                <w:color w:val="auto"/>
              </w:rPr>
            </w:pPr>
          </w:p>
        </w:tc>
        <w:tc>
          <w:tcPr>
            <w:tcW w:w="2273" w:type="dxa"/>
          </w:tcPr>
          <w:p w14:paraId="48E6BD16" w14:textId="77777777" w:rsidR="00FA6D58" w:rsidRPr="009E6DE0" w:rsidRDefault="00FA6D58" w:rsidP="00314597">
            <w:pPr>
              <w:rPr>
                <w:rFonts w:asciiTheme="minorHAnsi" w:hAnsiTheme="minorHAnsi" w:cstheme="minorHAnsi"/>
                <w:color w:val="auto"/>
              </w:rPr>
            </w:pPr>
          </w:p>
        </w:tc>
        <w:tc>
          <w:tcPr>
            <w:tcW w:w="1985" w:type="dxa"/>
          </w:tcPr>
          <w:p w14:paraId="56F0D0C7" w14:textId="77777777" w:rsidR="00FA6D58" w:rsidRPr="009E6DE0" w:rsidRDefault="00FA6D58" w:rsidP="00314597">
            <w:pPr>
              <w:rPr>
                <w:rFonts w:asciiTheme="minorHAnsi" w:hAnsiTheme="minorHAnsi" w:cstheme="minorHAnsi"/>
                <w:color w:val="auto"/>
              </w:rPr>
            </w:pPr>
          </w:p>
        </w:tc>
        <w:tc>
          <w:tcPr>
            <w:tcW w:w="2524" w:type="dxa"/>
          </w:tcPr>
          <w:p w14:paraId="6F864FB0" w14:textId="2D54CB8E" w:rsidR="00FA6D58" w:rsidRPr="009E6DE0" w:rsidRDefault="00FA6D58" w:rsidP="00314597">
            <w:pPr>
              <w:rPr>
                <w:rFonts w:asciiTheme="minorHAnsi" w:hAnsiTheme="minorHAnsi" w:cstheme="minorHAnsi"/>
                <w:color w:val="auto"/>
              </w:rPr>
            </w:pPr>
            <w:r w:rsidRPr="009E6DE0">
              <w:rPr>
                <w:rFonts w:asciiTheme="minorHAnsi" w:hAnsiTheme="minorHAnsi" w:cstheme="minorHAnsi"/>
                <w:color w:val="auto"/>
              </w:rPr>
              <w:t>Finance</w:t>
            </w:r>
            <w:r>
              <w:rPr>
                <w:rFonts w:asciiTheme="minorHAnsi" w:hAnsiTheme="minorHAnsi" w:cstheme="minorHAnsi"/>
                <w:color w:val="auto"/>
              </w:rPr>
              <w:t>s</w:t>
            </w:r>
          </w:p>
        </w:tc>
      </w:tr>
    </w:tbl>
    <w:p w14:paraId="4DE8DB97" w14:textId="77777777" w:rsidR="00FA6D58" w:rsidRDefault="00FA6D58" w:rsidP="002A0814">
      <w:pPr>
        <w:spacing w:after="0" w:line="240" w:lineRule="auto"/>
        <w:rPr>
          <w:rFonts w:cstheme="minorHAnsi"/>
          <w:b/>
          <w:i/>
          <w:sz w:val="20"/>
          <w:szCs w:val="20"/>
          <w:u w:val="single"/>
          <w:shd w:val="clear" w:color="auto" w:fill="D9D9D9"/>
        </w:rPr>
      </w:pPr>
    </w:p>
    <w:p w14:paraId="2D511C3E" w14:textId="77777777" w:rsidR="002A0814" w:rsidRPr="00737475" w:rsidRDefault="002A0814" w:rsidP="002A0814">
      <w:pPr>
        <w:pStyle w:val="Heading2"/>
        <w:numPr>
          <w:ilvl w:val="0"/>
          <w:numId w:val="14"/>
        </w:numPr>
        <w:spacing w:before="0"/>
        <w:rPr>
          <w:rFonts w:asciiTheme="minorHAnsi" w:eastAsia="Calibri" w:hAnsiTheme="minorHAnsi" w:cstheme="minorHAnsi"/>
          <w:color w:val="000000"/>
          <w:sz w:val="28"/>
          <w:szCs w:val="28"/>
        </w:rPr>
      </w:pPr>
      <w:r w:rsidRPr="00737475">
        <w:rPr>
          <w:rFonts w:asciiTheme="minorHAnsi" w:eastAsia="Calibri" w:hAnsiTheme="minorHAnsi" w:cstheme="minorHAnsi"/>
          <w:color w:val="000000"/>
          <w:sz w:val="28"/>
          <w:szCs w:val="28"/>
        </w:rPr>
        <w:t xml:space="preserve">Finances </w:t>
      </w:r>
    </w:p>
    <w:p w14:paraId="1BB53624" w14:textId="15FBF393" w:rsidR="002A0814" w:rsidRPr="002A0814" w:rsidRDefault="002A0814" w:rsidP="002A0814">
      <w:pPr>
        <w:rPr>
          <w:rFonts w:cstheme="minorHAnsi"/>
          <w:lang w:val="fr-FR"/>
        </w:rPr>
      </w:pPr>
      <w:r w:rsidRPr="002A0814">
        <w:rPr>
          <w:rFonts w:cstheme="minorHAnsi"/>
          <w:lang w:val="fr-FR"/>
        </w:rPr>
        <w:t xml:space="preserve">Confirmez le budget de la </w:t>
      </w:r>
      <w:r w:rsidR="00CE0EE7">
        <w:rPr>
          <w:rFonts w:cstheme="minorHAnsi"/>
          <w:lang w:val="fr-FR"/>
        </w:rPr>
        <w:t xml:space="preserve">Revue </w:t>
      </w:r>
      <w:r w:rsidR="0032648D" w:rsidRPr="0032648D">
        <w:rPr>
          <w:rFonts w:cstheme="minorHAnsi"/>
          <w:lang w:val="fr-FR"/>
        </w:rPr>
        <w:t>Intra</w:t>
      </w:r>
      <w:r w:rsidR="00CE0EE7">
        <w:rPr>
          <w:rFonts w:cstheme="minorHAnsi"/>
          <w:lang w:val="fr-FR"/>
        </w:rPr>
        <w:t>-Action</w:t>
      </w:r>
      <w:r w:rsidRPr="002A0814">
        <w:rPr>
          <w:rFonts w:cstheme="minorHAnsi"/>
          <w:lang w:val="fr-FR"/>
        </w:rPr>
        <w:t xml:space="preserve"> et la manière dont il sera soutenu. Le budget peut varier selon que l</w:t>
      </w:r>
      <w:r w:rsidR="00467EC5">
        <w:rPr>
          <w:rFonts w:cstheme="minorHAnsi"/>
          <w:lang w:val="fr-FR"/>
        </w:rPr>
        <w:t>a</w:t>
      </w:r>
      <w:r w:rsidRPr="002A0814">
        <w:rPr>
          <w:rFonts w:cstheme="minorHAnsi"/>
          <w:lang w:val="fr-FR"/>
        </w:rPr>
        <w:t xml:space="preserve"> R</w:t>
      </w:r>
      <w:r w:rsidR="00467EC5">
        <w:rPr>
          <w:rFonts w:cstheme="minorHAnsi"/>
          <w:lang w:val="fr-FR"/>
        </w:rPr>
        <w:t>IA soit</w:t>
      </w:r>
      <w:r w:rsidRPr="002A0814">
        <w:rPr>
          <w:rFonts w:cstheme="minorHAnsi"/>
          <w:lang w:val="fr-FR"/>
        </w:rPr>
        <w:t xml:space="preserve"> effectué</w:t>
      </w:r>
      <w:r w:rsidR="00467EC5">
        <w:rPr>
          <w:rFonts w:cstheme="minorHAnsi"/>
          <w:lang w:val="fr-FR"/>
        </w:rPr>
        <w:t>e</w:t>
      </w:r>
      <w:r w:rsidRPr="002A0814">
        <w:rPr>
          <w:rFonts w:cstheme="minorHAnsi"/>
          <w:lang w:val="fr-FR"/>
        </w:rPr>
        <w:t xml:space="preserve"> en ligne ou en face</w:t>
      </w:r>
      <w:r w:rsidR="00467EC5">
        <w:rPr>
          <w:rFonts w:cstheme="minorHAnsi"/>
          <w:lang w:val="fr-FR"/>
        </w:rPr>
        <w:t>-</w:t>
      </w:r>
      <w:r w:rsidRPr="002A0814">
        <w:rPr>
          <w:rFonts w:cstheme="minorHAnsi"/>
          <w:lang w:val="fr-FR"/>
        </w:rPr>
        <w:t>à</w:t>
      </w:r>
      <w:r w:rsidR="00467EC5">
        <w:rPr>
          <w:rFonts w:cstheme="minorHAnsi"/>
          <w:lang w:val="fr-FR"/>
        </w:rPr>
        <w:t>-</w:t>
      </w:r>
      <w:r w:rsidRPr="002A0814">
        <w:rPr>
          <w:rFonts w:cstheme="minorHAnsi"/>
          <w:lang w:val="fr-FR"/>
        </w:rPr>
        <w:t>face.</w:t>
      </w:r>
    </w:p>
    <w:p w14:paraId="11EABEB9" w14:textId="77777777" w:rsidR="002A0814" w:rsidRPr="002A0814" w:rsidRDefault="002A0814" w:rsidP="002A0814">
      <w:pPr>
        <w:spacing w:after="0" w:line="240" w:lineRule="auto"/>
        <w:rPr>
          <w:rFonts w:cstheme="minorHAnsi"/>
          <w:b/>
          <w:i/>
          <w:sz w:val="20"/>
          <w:szCs w:val="20"/>
          <w:u w:val="single"/>
          <w:shd w:val="clear" w:color="auto" w:fill="D9D9D9"/>
          <w:lang w:val="fr-FR"/>
        </w:rPr>
      </w:pPr>
    </w:p>
    <w:p w14:paraId="75A38929" w14:textId="76B9E875" w:rsidR="002A0814" w:rsidRPr="00467EC5" w:rsidRDefault="00467EC5" w:rsidP="002A0814">
      <w:pPr>
        <w:pStyle w:val="Heading2"/>
        <w:numPr>
          <w:ilvl w:val="0"/>
          <w:numId w:val="14"/>
        </w:numPr>
        <w:spacing w:before="0"/>
        <w:rPr>
          <w:rFonts w:asciiTheme="minorHAnsi" w:eastAsia="Calibri" w:hAnsiTheme="minorHAnsi" w:cstheme="minorHAnsi"/>
          <w:color w:val="auto"/>
          <w:sz w:val="28"/>
          <w:szCs w:val="28"/>
          <w:lang w:val="fr-FR"/>
        </w:rPr>
      </w:pPr>
      <w:r w:rsidRPr="00467EC5">
        <w:rPr>
          <w:rFonts w:asciiTheme="minorHAnsi" w:eastAsia="Calibri" w:hAnsiTheme="minorHAnsi" w:cstheme="minorHAnsi"/>
          <w:color w:val="auto"/>
          <w:sz w:val="28"/>
          <w:szCs w:val="28"/>
          <w:lang w:val="fr-FR"/>
        </w:rPr>
        <w:t>Résultats de la RIA</w:t>
      </w:r>
      <w:r w:rsidR="002A0814" w:rsidRPr="00467EC5">
        <w:rPr>
          <w:rFonts w:asciiTheme="minorHAnsi" w:eastAsia="Calibri" w:hAnsiTheme="minorHAnsi" w:cstheme="minorHAnsi"/>
          <w:color w:val="auto"/>
          <w:sz w:val="28"/>
          <w:szCs w:val="28"/>
          <w:lang w:val="fr-FR"/>
        </w:rPr>
        <w:t xml:space="preserve"> </w:t>
      </w:r>
      <w:r w:rsidR="00DC10BE">
        <w:rPr>
          <w:rFonts w:asciiTheme="minorHAnsi" w:eastAsia="Calibri" w:hAnsiTheme="minorHAnsi" w:cstheme="minorHAnsi"/>
          <w:color w:val="auto"/>
          <w:sz w:val="28"/>
          <w:szCs w:val="28"/>
          <w:lang w:val="fr-FR"/>
        </w:rPr>
        <w:t xml:space="preserve">de la </w:t>
      </w:r>
      <w:r w:rsidR="002A0814" w:rsidRPr="00467EC5">
        <w:rPr>
          <w:rFonts w:asciiTheme="minorHAnsi" w:eastAsia="Calibri" w:hAnsiTheme="minorHAnsi" w:cstheme="minorHAnsi"/>
          <w:color w:val="auto"/>
          <w:sz w:val="28"/>
          <w:szCs w:val="28"/>
          <w:lang w:val="fr-FR"/>
        </w:rPr>
        <w:t xml:space="preserve">COVID-19 </w:t>
      </w:r>
    </w:p>
    <w:p w14:paraId="482BB5BC" w14:textId="4CBB0419" w:rsidR="00FA6D58" w:rsidRPr="00FA6D58" w:rsidRDefault="00FA6D58" w:rsidP="00FA6D58">
      <w:pPr>
        <w:rPr>
          <w:rFonts w:cstheme="minorHAnsi"/>
          <w:lang w:val="fr-FR"/>
        </w:rPr>
      </w:pPr>
      <w:r w:rsidRPr="00FA6D58">
        <w:rPr>
          <w:rFonts w:cstheme="minorHAnsi"/>
          <w:lang w:val="fr-FR"/>
        </w:rPr>
        <w:t>Le rapport final d</w:t>
      </w:r>
      <w:r>
        <w:rPr>
          <w:rFonts w:cstheme="minorHAnsi"/>
          <w:lang w:val="fr-FR"/>
        </w:rPr>
        <w:t>e la RIA</w:t>
      </w:r>
      <w:r w:rsidRPr="00FA6D58">
        <w:rPr>
          <w:rFonts w:cstheme="minorHAnsi"/>
          <w:lang w:val="fr-FR"/>
        </w:rPr>
        <w:t xml:space="preserve"> sera préparé par le preneur de notes avec le soutien du ou des facilitateur</w:t>
      </w:r>
      <w:r w:rsidR="006C6345">
        <w:rPr>
          <w:rFonts w:cstheme="minorHAnsi"/>
          <w:lang w:val="fr-FR"/>
        </w:rPr>
        <w:t>(</w:t>
      </w:r>
      <w:r w:rsidRPr="00FA6D58">
        <w:rPr>
          <w:rFonts w:cstheme="minorHAnsi"/>
          <w:lang w:val="fr-FR"/>
        </w:rPr>
        <w:t>s</w:t>
      </w:r>
      <w:r w:rsidR="006C6345">
        <w:rPr>
          <w:rFonts w:cstheme="minorHAnsi"/>
          <w:lang w:val="fr-FR"/>
        </w:rPr>
        <w:t>)</w:t>
      </w:r>
      <w:r w:rsidRPr="00FA6D58">
        <w:rPr>
          <w:rFonts w:cstheme="minorHAnsi"/>
          <w:lang w:val="fr-FR"/>
        </w:rPr>
        <w:t xml:space="preserve">. Le rapport sera partagé avec les participants </w:t>
      </w:r>
      <w:r w:rsidR="006C6345">
        <w:rPr>
          <w:rFonts w:cstheme="minorHAnsi"/>
          <w:lang w:val="fr-FR"/>
        </w:rPr>
        <w:t>de la RIA</w:t>
      </w:r>
      <w:r w:rsidRPr="00FA6D58">
        <w:rPr>
          <w:rFonts w:cstheme="minorHAnsi"/>
          <w:lang w:val="fr-FR"/>
        </w:rPr>
        <w:t xml:space="preserve"> pour qu'ils l'examinent afin de s'assurer que les informations sont correctement saisies, puis il sera partagé avec la direction du ministère de la santé ou d'autres institutions concernées pour </w:t>
      </w:r>
      <w:r w:rsidR="006C6345">
        <w:rPr>
          <w:rFonts w:cstheme="minorHAnsi"/>
          <w:lang w:val="fr-FR"/>
        </w:rPr>
        <w:t>relecture</w:t>
      </w:r>
      <w:r w:rsidR="006C6345" w:rsidRPr="002A0814">
        <w:rPr>
          <w:rFonts w:cstheme="minorHAnsi"/>
          <w:lang w:val="fr-FR"/>
        </w:rPr>
        <w:t xml:space="preserve"> final</w:t>
      </w:r>
      <w:r w:rsidR="006C6345">
        <w:rPr>
          <w:rFonts w:cstheme="minorHAnsi"/>
          <w:lang w:val="fr-FR"/>
        </w:rPr>
        <w:t>e</w:t>
      </w:r>
      <w:r w:rsidR="006C6345" w:rsidRPr="002A0814">
        <w:rPr>
          <w:rFonts w:cstheme="minorHAnsi"/>
          <w:lang w:val="fr-FR"/>
        </w:rPr>
        <w:t xml:space="preserve"> </w:t>
      </w:r>
      <w:r w:rsidRPr="00FA6D58">
        <w:rPr>
          <w:rFonts w:cstheme="minorHAnsi"/>
          <w:lang w:val="fr-FR"/>
        </w:rPr>
        <w:t>et approbation.</w:t>
      </w:r>
    </w:p>
    <w:p w14:paraId="4FE7C3FD" w14:textId="4D45E6FC" w:rsidR="00FA6D58" w:rsidRPr="00FA6D58" w:rsidRDefault="00FA6D58" w:rsidP="00FA6D58">
      <w:pPr>
        <w:rPr>
          <w:rFonts w:cstheme="minorHAnsi"/>
          <w:lang w:val="fr-FR"/>
        </w:rPr>
      </w:pPr>
      <w:r w:rsidRPr="00FA6D58">
        <w:rPr>
          <w:rFonts w:cstheme="minorHAnsi"/>
          <w:lang w:val="fr-FR"/>
        </w:rPr>
        <w:lastRenderedPageBreak/>
        <w:t>En outre, les pays peuvent souhaiter saisir</w:t>
      </w:r>
      <w:r w:rsidR="002F75BB">
        <w:rPr>
          <w:rFonts w:cstheme="minorHAnsi"/>
          <w:lang w:val="fr-FR"/>
        </w:rPr>
        <w:t xml:space="preserve"> au mieux</w:t>
      </w:r>
      <w:r w:rsidRPr="00FA6D58">
        <w:rPr>
          <w:rFonts w:cstheme="minorHAnsi"/>
          <w:lang w:val="fr-FR"/>
        </w:rPr>
        <w:t xml:space="preserve"> les pratiques </w:t>
      </w:r>
      <w:r w:rsidR="002F75BB">
        <w:rPr>
          <w:rFonts w:cstheme="minorHAnsi"/>
          <w:lang w:val="fr-FR"/>
        </w:rPr>
        <w:t xml:space="preserve">exemplaires </w:t>
      </w:r>
      <w:r w:rsidRPr="00FA6D58">
        <w:rPr>
          <w:rFonts w:cstheme="minorHAnsi"/>
          <w:lang w:val="fr-FR"/>
        </w:rPr>
        <w:t xml:space="preserve">qui ont fonctionné </w:t>
      </w:r>
      <w:r w:rsidR="002F75BB">
        <w:rPr>
          <w:rFonts w:cstheme="minorHAnsi"/>
          <w:lang w:val="fr-FR"/>
        </w:rPr>
        <w:t>au niveau</w:t>
      </w:r>
      <w:r w:rsidRPr="00FA6D58">
        <w:rPr>
          <w:rFonts w:cstheme="minorHAnsi"/>
          <w:lang w:val="fr-FR"/>
        </w:rPr>
        <w:t xml:space="preserve"> national ou infranational au cours de leur réponse à l'épidémie COVID-19 </w:t>
      </w:r>
      <w:r w:rsidR="00A03C87">
        <w:rPr>
          <w:rFonts w:cstheme="minorHAnsi"/>
          <w:lang w:val="fr-FR"/>
        </w:rPr>
        <w:t xml:space="preserve">et ce, </w:t>
      </w:r>
      <w:r w:rsidRPr="00FA6D58">
        <w:rPr>
          <w:rFonts w:cstheme="minorHAnsi"/>
          <w:lang w:val="fr-FR"/>
        </w:rPr>
        <w:t>en mettant en évidence une ou plusieurs réussites qui illustrent des aspects spécifiques des piliers sélectionnés</w:t>
      </w:r>
      <w:r w:rsidR="00A03C87">
        <w:rPr>
          <w:rFonts w:cstheme="minorHAnsi"/>
          <w:lang w:val="fr-FR"/>
        </w:rPr>
        <w:t xml:space="preserve">, </w:t>
      </w:r>
      <w:r w:rsidRPr="00FA6D58">
        <w:rPr>
          <w:rFonts w:cstheme="minorHAnsi"/>
          <w:lang w:val="fr-FR"/>
        </w:rPr>
        <w:t>identifiés comme des points forts au cours de la réponse (en utilisant le modèle de réussite fourni dans le dossier</w:t>
      </w:r>
      <w:r w:rsidR="00A03C87">
        <w:rPr>
          <w:rFonts w:cstheme="minorHAnsi"/>
          <w:lang w:val="fr-FR"/>
        </w:rPr>
        <w:t xml:space="preserve"> RIA</w:t>
      </w:r>
      <w:r w:rsidRPr="00FA6D58">
        <w:rPr>
          <w:rFonts w:cstheme="minorHAnsi"/>
          <w:lang w:val="fr-FR"/>
        </w:rPr>
        <w:t xml:space="preserve"> </w:t>
      </w:r>
      <w:r w:rsidR="00DC10BE">
        <w:rPr>
          <w:rFonts w:cstheme="minorHAnsi"/>
          <w:lang w:val="fr-FR"/>
        </w:rPr>
        <w:t xml:space="preserve">de la </w:t>
      </w:r>
      <w:r w:rsidRPr="00FA6D58">
        <w:rPr>
          <w:rFonts w:cstheme="minorHAnsi"/>
          <w:lang w:val="fr-FR"/>
        </w:rPr>
        <w:t xml:space="preserve">COVID-19). </w:t>
      </w:r>
    </w:p>
    <w:p w14:paraId="1FC3F6B9" w14:textId="10CD6C10" w:rsidR="00FA6D58" w:rsidRPr="002A0814" w:rsidRDefault="00FA6D58" w:rsidP="00FA6D58">
      <w:pPr>
        <w:rPr>
          <w:rFonts w:cstheme="minorHAnsi"/>
          <w:lang w:val="fr-FR"/>
        </w:rPr>
      </w:pPr>
      <w:r w:rsidRPr="00FA6D58">
        <w:rPr>
          <w:rFonts w:cstheme="minorHAnsi"/>
          <w:lang w:val="fr-FR"/>
        </w:rPr>
        <w:t>Les pays sont encouragés à partager les résultats de leur R</w:t>
      </w:r>
      <w:r w:rsidR="00A03C87">
        <w:rPr>
          <w:rFonts w:cstheme="minorHAnsi"/>
          <w:lang w:val="fr-FR"/>
        </w:rPr>
        <w:t>IA</w:t>
      </w:r>
      <w:r w:rsidRPr="00FA6D58">
        <w:rPr>
          <w:rFonts w:cstheme="minorHAnsi"/>
          <w:lang w:val="fr-FR"/>
        </w:rPr>
        <w:t xml:space="preserve"> par le biais de leur rapport final ou une partie des résultats de leur R</w:t>
      </w:r>
      <w:r w:rsidR="00A03C87">
        <w:rPr>
          <w:rFonts w:cstheme="minorHAnsi"/>
          <w:lang w:val="fr-FR"/>
        </w:rPr>
        <w:t>IA</w:t>
      </w:r>
      <w:r w:rsidRPr="00FA6D58">
        <w:rPr>
          <w:rFonts w:cstheme="minorHAnsi"/>
          <w:lang w:val="fr-FR"/>
        </w:rPr>
        <w:t xml:space="preserve"> par le biais de leurs réussites avec d'autres pays, l'OMS et des partenaires afin de permettre l'apprentissage entre pairs des pratiques ou des nouvelles capacités mises en œuvre dans le pays.</w:t>
      </w:r>
    </w:p>
    <w:p w14:paraId="14E9E2A1" w14:textId="77777777" w:rsidR="002A0814" w:rsidRPr="002A0814" w:rsidRDefault="002A0814" w:rsidP="002A0814">
      <w:pPr>
        <w:rPr>
          <w:rFonts w:cstheme="minorHAnsi"/>
          <w:lang w:val="fr-FR"/>
        </w:rPr>
      </w:pPr>
    </w:p>
    <w:p w14:paraId="6BA7ED96" w14:textId="77777777" w:rsidR="002A0814" w:rsidRPr="002A0814" w:rsidRDefault="002A0814" w:rsidP="002A0814">
      <w:pPr>
        <w:tabs>
          <w:tab w:val="left" w:pos="6115"/>
        </w:tabs>
        <w:rPr>
          <w:rFonts w:cstheme="minorHAnsi"/>
          <w:lang w:val="fr-FR"/>
        </w:rPr>
      </w:pPr>
      <w:r w:rsidRPr="002A0814">
        <w:rPr>
          <w:rFonts w:cstheme="minorHAnsi"/>
          <w:lang w:val="fr-FR"/>
        </w:rPr>
        <w:tab/>
      </w:r>
    </w:p>
    <w:p w14:paraId="49589B0B" w14:textId="77777777" w:rsidR="00B367F2" w:rsidRPr="002A0814" w:rsidRDefault="00B367F2" w:rsidP="005D211A">
      <w:pPr>
        <w:rPr>
          <w:rFonts w:asciiTheme="minorHAnsi" w:hAnsiTheme="minorHAnsi" w:cstheme="minorHAnsi"/>
          <w:lang w:val="fr-FR"/>
        </w:rPr>
      </w:pPr>
    </w:p>
    <w:p w14:paraId="726A4B94" w14:textId="77777777" w:rsidR="00261C20" w:rsidRPr="002A0814" w:rsidRDefault="00261C20" w:rsidP="00FF3428">
      <w:pPr>
        <w:rPr>
          <w:rFonts w:asciiTheme="minorHAnsi" w:hAnsiTheme="minorHAnsi" w:cstheme="minorHAnsi"/>
          <w:lang w:val="fr-FR"/>
        </w:rPr>
      </w:pPr>
    </w:p>
    <w:p w14:paraId="726A4B95" w14:textId="77777777" w:rsidR="00261C20" w:rsidRPr="002A0814" w:rsidRDefault="00844B78" w:rsidP="00844B78">
      <w:pPr>
        <w:tabs>
          <w:tab w:val="left" w:pos="6115"/>
        </w:tabs>
        <w:rPr>
          <w:rFonts w:asciiTheme="minorHAnsi" w:hAnsiTheme="minorHAnsi" w:cstheme="minorHAnsi"/>
          <w:lang w:val="fr-FR"/>
        </w:rPr>
      </w:pPr>
      <w:r w:rsidRPr="002A0814">
        <w:rPr>
          <w:rFonts w:asciiTheme="minorHAnsi" w:hAnsiTheme="minorHAnsi" w:cstheme="minorHAnsi"/>
          <w:lang w:val="fr-FR"/>
        </w:rPr>
        <w:tab/>
      </w:r>
    </w:p>
    <w:p w14:paraId="726A4B96" w14:textId="68ABAB2E" w:rsidR="00261C20" w:rsidRDefault="00261C20" w:rsidP="00FF3428">
      <w:pPr>
        <w:rPr>
          <w:rFonts w:asciiTheme="minorHAnsi" w:hAnsiTheme="minorHAnsi" w:cstheme="minorHAnsi"/>
          <w:lang w:val="fr-FR"/>
        </w:rPr>
      </w:pPr>
      <w:bookmarkStart w:id="2" w:name="h.30j0zll" w:colFirst="0" w:colLast="0"/>
      <w:bookmarkEnd w:id="2"/>
    </w:p>
    <w:p w14:paraId="1CD2E532" w14:textId="61AF6EB4" w:rsidR="00F851D1" w:rsidRDefault="00F851D1" w:rsidP="00FF3428">
      <w:pPr>
        <w:rPr>
          <w:rFonts w:asciiTheme="minorHAnsi" w:hAnsiTheme="minorHAnsi" w:cstheme="minorHAnsi"/>
          <w:lang w:val="fr-FR"/>
        </w:rPr>
      </w:pPr>
    </w:p>
    <w:p w14:paraId="2236CA6E" w14:textId="2B00AC0A" w:rsidR="00F851D1" w:rsidRDefault="00F851D1" w:rsidP="00FF3428">
      <w:pPr>
        <w:rPr>
          <w:rFonts w:asciiTheme="minorHAnsi" w:hAnsiTheme="minorHAnsi" w:cstheme="minorHAnsi"/>
          <w:lang w:val="fr-FR"/>
        </w:rPr>
      </w:pPr>
    </w:p>
    <w:p w14:paraId="53D4B973" w14:textId="22DB4500" w:rsidR="00F851D1" w:rsidRDefault="00F851D1" w:rsidP="00FF3428">
      <w:pPr>
        <w:rPr>
          <w:rFonts w:asciiTheme="minorHAnsi" w:hAnsiTheme="minorHAnsi" w:cstheme="minorHAnsi"/>
          <w:lang w:val="fr-FR"/>
        </w:rPr>
      </w:pPr>
    </w:p>
    <w:p w14:paraId="50F2CAC5" w14:textId="0D59C322" w:rsidR="00F851D1" w:rsidRDefault="00F851D1" w:rsidP="00FF3428">
      <w:pPr>
        <w:rPr>
          <w:rFonts w:asciiTheme="minorHAnsi" w:hAnsiTheme="minorHAnsi" w:cstheme="minorHAnsi"/>
          <w:lang w:val="fr-FR"/>
        </w:rPr>
      </w:pPr>
    </w:p>
    <w:p w14:paraId="479FA17A" w14:textId="5202B304" w:rsidR="00F851D1" w:rsidRDefault="00F851D1" w:rsidP="00FF3428">
      <w:pPr>
        <w:rPr>
          <w:rFonts w:asciiTheme="minorHAnsi" w:hAnsiTheme="minorHAnsi" w:cstheme="minorHAnsi"/>
          <w:lang w:val="fr-FR"/>
        </w:rPr>
      </w:pPr>
    </w:p>
    <w:p w14:paraId="4C9A774B" w14:textId="5CDF6617" w:rsidR="00F851D1" w:rsidRDefault="00F851D1" w:rsidP="00FF3428">
      <w:pPr>
        <w:rPr>
          <w:rFonts w:asciiTheme="minorHAnsi" w:hAnsiTheme="minorHAnsi" w:cstheme="minorHAnsi"/>
          <w:lang w:val="fr-FR"/>
        </w:rPr>
      </w:pPr>
    </w:p>
    <w:p w14:paraId="4201A63D" w14:textId="77777777" w:rsidR="00F851D1" w:rsidRPr="00F851D1" w:rsidRDefault="00F851D1" w:rsidP="00F851D1">
      <w:pPr>
        <w:rPr>
          <w:rFonts w:asciiTheme="majorBidi" w:hAnsiTheme="majorBidi" w:cstheme="majorBidi"/>
          <w:lang w:val="fr-CH"/>
        </w:rPr>
      </w:pPr>
      <w:bookmarkStart w:id="3" w:name="_Hlk47469441"/>
      <w:r w:rsidRPr="00F851D1">
        <w:rPr>
          <w:rFonts w:asciiTheme="majorBidi" w:hAnsiTheme="majorBidi" w:cstheme="majorBidi"/>
          <w:lang w:val="fr-CH"/>
        </w:rPr>
        <w:t>© Organisation mondiale de la Santé</w:t>
      </w:r>
      <w:r w:rsidRPr="00F851D1">
        <w:rPr>
          <w:rFonts w:asciiTheme="majorBidi" w:hAnsiTheme="majorBidi" w:cstheme="majorBidi"/>
          <w:b/>
          <w:lang w:val="fr-CH"/>
        </w:rPr>
        <w:t xml:space="preserve"> </w:t>
      </w:r>
      <w:r w:rsidRPr="00F851D1">
        <w:rPr>
          <w:rFonts w:asciiTheme="majorBidi" w:hAnsiTheme="majorBidi" w:cstheme="majorBidi"/>
          <w:lang w:val="fr-CH"/>
        </w:rPr>
        <w:t xml:space="preserve">2020. Certains droits réservés. La présente publication est disponible sous la licence </w:t>
      </w:r>
      <w:hyperlink r:id="rId9" w:tgtFrame="_blank" w:history="1">
        <w:r w:rsidRPr="00F851D1">
          <w:rPr>
            <w:rStyle w:val="Hyperlink"/>
            <w:rFonts w:asciiTheme="majorBidi" w:hAnsiTheme="majorBidi" w:cstheme="majorBidi"/>
            <w:lang w:val="fr-CH"/>
          </w:rPr>
          <w:t>CC BY-NC-SA 3.0 IGO</w:t>
        </w:r>
      </w:hyperlink>
      <w:r w:rsidRPr="00F851D1">
        <w:rPr>
          <w:rFonts w:asciiTheme="majorBidi" w:hAnsiTheme="majorBidi" w:cstheme="majorBidi"/>
          <w:lang w:val="fr-CH"/>
        </w:rPr>
        <w:t>.</w:t>
      </w:r>
    </w:p>
    <w:bookmarkEnd w:id="3"/>
    <w:p w14:paraId="142DD7A6" w14:textId="77777777" w:rsidR="00F851D1" w:rsidRPr="00F851D1" w:rsidRDefault="00F851D1" w:rsidP="00F851D1">
      <w:pPr>
        <w:jc w:val="both"/>
        <w:rPr>
          <w:rFonts w:asciiTheme="majorBidi" w:hAnsiTheme="majorBidi" w:cstheme="majorBidi"/>
        </w:rPr>
      </w:pPr>
      <w:r w:rsidRPr="00F851D1">
        <w:rPr>
          <w:rFonts w:asciiTheme="majorBidi" w:hAnsiTheme="majorBidi" w:cstheme="majorBidi"/>
        </w:rPr>
        <w:t xml:space="preserve">WHO reference number: </w:t>
      </w:r>
      <w:r w:rsidRPr="00F851D1">
        <w:rPr>
          <w:rFonts w:asciiTheme="majorBidi" w:hAnsiTheme="majorBidi" w:cstheme="majorBidi"/>
          <w:color w:val="0000FF"/>
        </w:rPr>
        <w:t>WHO/2019-nCoV/</w:t>
      </w:r>
      <w:proofErr w:type="spellStart"/>
      <w:r w:rsidRPr="00F851D1">
        <w:rPr>
          <w:rFonts w:asciiTheme="majorBidi" w:hAnsiTheme="majorBidi" w:cstheme="majorBidi"/>
          <w:color w:val="0000FF"/>
        </w:rPr>
        <w:t>Country_IAR</w:t>
      </w:r>
      <w:proofErr w:type="spellEnd"/>
      <w:r w:rsidRPr="00F851D1">
        <w:rPr>
          <w:rFonts w:asciiTheme="majorBidi" w:hAnsiTheme="majorBidi" w:cstheme="majorBidi"/>
          <w:color w:val="0000FF"/>
        </w:rPr>
        <w:t>/templates/</w:t>
      </w:r>
      <w:proofErr w:type="spellStart"/>
      <w:r w:rsidRPr="00F851D1">
        <w:rPr>
          <w:rFonts w:asciiTheme="majorBidi" w:hAnsiTheme="majorBidi" w:cstheme="majorBidi"/>
          <w:color w:val="0000FF"/>
        </w:rPr>
        <w:t>concept_note</w:t>
      </w:r>
      <w:proofErr w:type="spellEnd"/>
      <w:r w:rsidRPr="00F851D1">
        <w:rPr>
          <w:rFonts w:asciiTheme="majorBidi" w:hAnsiTheme="majorBidi" w:cstheme="majorBidi"/>
          <w:color w:val="0000FF"/>
        </w:rPr>
        <w:t>/2020.1</w:t>
      </w:r>
    </w:p>
    <w:p w14:paraId="3F64AC2C" w14:textId="77777777" w:rsidR="00F851D1" w:rsidRPr="002A0814" w:rsidRDefault="00F851D1" w:rsidP="00FF3428">
      <w:pPr>
        <w:rPr>
          <w:rFonts w:asciiTheme="minorHAnsi" w:hAnsiTheme="minorHAnsi" w:cstheme="minorHAnsi"/>
          <w:lang w:val="fr-FR"/>
        </w:rPr>
      </w:pPr>
    </w:p>
    <w:sectPr w:rsidR="00F851D1" w:rsidRPr="002A0814">
      <w:headerReference w:type="even" r:id="rId10"/>
      <w:headerReference w:type="default" r:id="rId11"/>
      <w:footerReference w:type="default" r:id="rId12"/>
      <w:headerReference w:type="first" r:id="rId13"/>
      <w:pgSz w:w="11906" w:h="16838"/>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9CDD1" w14:textId="77777777" w:rsidR="00A01F3E" w:rsidRDefault="00A01F3E">
      <w:pPr>
        <w:spacing w:after="0" w:line="240" w:lineRule="auto"/>
      </w:pPr>
      <w:r>
        <w:separator/>
      </w:r>
    </w:p>
  </w:endnote>
  <w:endnote w:type="continuationSeparator" w:id="0">
    <w:p w14:paraId="7B26FEEC" w14:textId="77777777" w:rsidR="00A01F3E" w:rsidRDefault="00A0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799298"/>
      <w:docPartObj>
        <w:docPartGallery w:val="Page Numbers (Bottom of Page)"/>
        <w:docPartUnique/>
      </w:docPartObj>
    </w:sdtPr>
    <w:sdtEndPr>
      <w:rPr>
        <w:noProof/>
      </w:rPr>
    </w:sdtEndPr>
    <w:sdtContent>
      <w:p w14:paraId="726A4BAE" w14:textId="2CD2C4FC" w:rsidR="00941124" w:rsidRDefault="00941124">
        <w:pPr>
          <w:pStyle w:val="Footer"/>
          <w:jc w:val="right"/>
        </w:pPr>
        <w:r>
          <w:fldChar w:fldCharType="begin"/>
        </w:r>
        <w:r>
          <w:instrText xml:space="preserve"> PAGE   \* MERGEFORMAT </w:instrText>
        </w:r>
        <w:r>
          <w:fldChar w:fldCharType="separate"/>
        </w:r>
        <w:r w:rsidR="005A69FC">
          <w:rPr>
            <w:noProof/>
          </w:rPr>
          <w:t>2</w:t>
        </w:r>
        <w:r>
          <w:rPr>
            <w:noProof/>
          </w:rPr>
          <w:fldChar w:fldCharType="end"/>
        </w:r>
      </w:p>
    </w:sdtContent>
  </w:sdt>
  <w:p w14:paraId="726A4BAF" w14:textId="77777777" w:rsidR="00941124" w:rsidRDefault="00941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053C9" w14:textId="77777777" w:rsidR="00A01F3E" w:rsidRDefault="00A01F3E">
      <w:pPr>
        <w:spacing w:after="0" w:line="240" w:lineRule="auto"/>
      </w:pPr>
      <w:r>
        <w:separator/>
      </w:r>
    </w:p>
  </w:footnote>
  <w:footnote w:type="continuationSeparator" w:id="0">
    <w:p w14:paraId="0D257967" w14:textId="77777777" w:rsidR="00A01F3E" w:rsidRDefault="00A01F3E">
      <w:pPr>
        <w:spacing w:after="0" w:line="240" w:lineRule="auto"/>
      </w:pPr>
      <w:r>
        <w:continuationSeparator/>
      </w:r>
    </w:p>
  </w:footnote>
  <w:footnote w:id="1">
    <w:p w14:paraId="3FD8ED83" w14:textId="77777777" w:rsidR="00A25009" w:rsidRPr="008A3010" w:rsidRDefault="00A25009" w:rsidP="00A25009">
      <w:pPr>
        <w:pStyle w:val="FootnoteText"/>
        <w:rPr>
          <w:lang w:val="fr-FR"/>
        </w:rPr>
      </w:pPr>
      <w:r>
        <w:rPr>
          <w:rStyle w:val="FootnoteReference"/>
        </w:rPr>
        <w:footnoteRef/>
      </w:r>
      <w:r>
        <w:t xml:space="preserve"> </w:t>
      </w:r>
      <w:hyperlink r:id="rId1" w:history="1">
        <w:r w:rsidRPr="00380AE4">
          <w:rPr>
            <w:rStyle w:val="SubtleReference"/>
            <w:lang w:val="fr-FR"/>
          </w:rPr>
          <w:t>https://www.who.int/docs/default-source/coronaviruse/covid-strategy-update-14april2020.pdf?sfvrsn=29da3ba0_19</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A4BAB" w14:textId="77777777" w:rsidR="00941124" w:rsidRDefault="00A01F3E">
    <w:pPr>
      <w:pStyle w:val="Header"/>
    </w:pPr>
    <w:r>
      <w:rPr>
        <w:noProof/>
      </w:rPr>
      <w:pict w14:anchorId="726A4B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8080524" o:spid="_x0000_s2050" type="#_x0000_t136" style="position:absolute;margin-left:0;margin-top:0;width:477.2pt;height:159.05pt;rotation:315;z-index:-251655168;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A4BAC" w14:textId="3C7F0EC6" w:rsidR="00941124" w:rsidRDefault="00A01F3E" w:rsidP="00566A3B">
    <w:pPr>
      <w:tabs>
        <w:tab w:val="left" w:pos="5854"/>
      </w:tabs>
      <w:spacing w:after="0" w:line="240" w:lineRule="auto"/>
    </w:pPr>
    <w:r>
      <w:rPr>
        <w:noProof/>
      </w:rPr>
      <w:pict w14:anchorId="726A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8080525" o:spid="_x0000_s2051" type="#_x0000_t136" style="position:absolute;margin-left:0;margin-top:0;width:477.2pt;height:159.05pt;rotation:315;z-index:-251653120;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r w:rsidR="00941124">
      <w:tab/>
    </w:r>
  </w:p>
  <w:p w14:paraId="726A4BAD" w14:textId="77777777" w:rsidR="00941124" w:rsidRDefault="00941124" w:rsidP="00566A3B">
    <w:pPr>
      <w:tabs>
        <w:tab w:val="center" w:pos="4513"/>
        <w:tab w:val="right" w:pos="9026"/>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A4BB0" w14:textId="77777777" w:rsidR="00941124" w:rsidRDefault="00A01F3E">
    <w:pPr>
      <w:pStyle w:val="Header"/>
    </w:pPr>
    <w:r>
      <w:rPr>
        <w:noProof/>
      </w:rPr>
      <w:pict w14:anchorId="726A4B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8080523" o:spid="_x0000_s2049" type="#_x0000_t136" style="position:absolute;margin-left:0;margin-top:0;width:477.2pt;height:159.05pt;rotation:315;z-index:-251657216;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602D"/>
    <w:multiLevelType w:val="hybridMultilevel"/>
    <w:tmpl w:val="86E48366"/>
    <w:lvl w:ilvl="0" w:tplc="4EEADC3A">
      <w:start w:val="1"/>
      <w:numFmt w:val="bullet"/>
      <w:lvlText w:val=""/>
      <w:lvlJc w:val="left"/>
      <w:pPr>
        <w:ind w:left="1080" w:hanging="360"/>
      </w:pPr>
      <w:rPr>
        <w:rFonts w:ascii="Symbol" w:hAnsi="Symbol" w:hint="default"/>
        <w:color w:val="auto"/>
        <w:sz w:val="22"/>
        <w:szCs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2039AB"/>
    <w:multiLevelType w:val="hybridMultilevel"/>
    <w:tmpl w:val="1336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21A7F"/>
    <w:multiLevelType w:val="hybridMultilevel"/>
    <w:tmpl w:val="D10C6DFA"/>
    <w:lvl w:ilvl="0" w:tplc="C71889D6">
      <w:start w:val="9"/>
      <w:numFmt w:val="decimal"/>
      <w:lvlText w:val="%1."/>
      <w:lvlJc w:val="left"/>
      <w:pPr>
        <w:ind w:left="375" w:hanging="375"/>
      </w:pPr>
      <w:rPr>
        <w:rFonts w:eastAsia="Calibri" w:hint="default"/>
        <w:sz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49037A"/>
    <w:multiLevelType w:val="multilevel"/>
    <w:tmpl w:val="C0365828"/>
    <w:lvl w:ilvl="0">
      <w:start w:val="1"/>
      <w:numFmt w:val="decimal"/>
      <w:lvlText w:val="%1."/>
      <w:lvlJc w:val="left"/>
      <w:pPr>
        <w:ind w:left="360" w:hanging="360"/>
      </w:pPr>
      <w:rPr>
        <w:rFonts w:hint="default"/>
        <w:b/>
        <w:color w:val="auto"/>
        <w:sz w:val="28"/>
        <w:szCs w:val="28"/>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4" w15:restartNumberingAfterBreak="0">
    <w:nsid w:val="117D2805"/>
    <w:multiLevelType w:val="multilevel"/>
    <w:tmpl w:val="36F25836"/>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68943BF"/>
    <w:multiLevelType w:val="hybridMultilevel"/>
    <w:tmpl w:val="810051E8"/>
    <w:lvl w:ilvl="0" w:tplc="6DDADD88">
      <w:start w:val="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E1747"/>
    <w:multiLevelType w:val="multilevel"/>
    <w:tmpl w:val="4A565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4AD4146"/>
    <w:multiLevelType w:val="hybridMultilevel"/>
    <w:tmpl w:val="CF64EE58"/>
    <w:lvl w:ilvl="0" w:tplc="45D0C66C">
      <w:start w:val="1"/>
      <w:numFmt w:val="decimal"/>
      <w:lvlText w:val="%1."/>
      <w:lvlJc w:val="left"/>
      <w:pPr>
        <w:ind w:left="360" w:hanging="360"/>
      </w:pPr>
      <w:rPr>
        <w:rFonts w:asciiTheme="minorHAnsi" w:hAnsiTheme="minorHAnsi" w:cstheme="minorHAnsi" w:hint="default"/>
        <w:b/>
        <w:bCs w:val="0"/>
        <w:color w:val="auto"/>
        <w:sz w:val="28"/>
        <w:szCs w:val="28"/>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9C11264"/>
    <w:multiLevelType w:val="hybridMultilevel"/>
    <w:tmpl w:val="6C6C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C41C8"/>
    <w:multiLevelType w:val="multilevel"/>
    <w:tmpl w:val="C21EB2B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0" w15:restartNumberingAfterBreak="0">
    <w:nsid w:val="34C4751A"/>
    <w:multiLevelType w:val="hybridMultilevel"/>
    <w:tmpl w:val="64AE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A1070"/>
    <w:multiLevelType w:val="multilevel"/>
    <w:tmpl w:val="8B188016"/>
    <w:lvl w:ilvl="0">
      <w:start w:val="1"/>
      <w:numFmt w:val="decimal"/>
      <w:lvlText w:val="%1."/>
      <w:lvlJc w:val="left"/>
      <w:pPr>
        <w:ind w:left="360" w:firstLine="0"/>
      </w:pPr>
      <w:rPr>
        <w:b/>
        <w:sz w:val="28"/>
        <w:szCs w:val="28"/>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2" w15:restartNumberingAfterBreak="0">
    <w:nsid w:val="408032CB"/>
    <w:multiLevelType w:val="multilevel"/>
    <w:tmpl w:val="B52626AE"/>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143789E"/>
    <w:multiLevelType w:val="multilevel"/>
    <w:tmpl w:val="35D21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3C10E78"/>
    <w:multiLevelType w:val="hybridMultilevel"/>
    <w:tmpl w:val="2968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12A36"/>
    <w:multiLevelType w:val="multilevel"/>
    <w:tmpl w:val="4AEEF2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2CE4F4B"/>
    <w:multiLevelType w:val="hybridMultilevel"/>
    <w:tmpl w:val="7ADE3020"/>
    <w:lvl w:ilvl="0" w:tplc="F2D4402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E9368A"/>
    <w:multiLevelType w:val="multilevel"/>
    <w:tmpl w:val="17626E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6FF1C82"/>
    <w:multiLevelType w:val="multilevel"/>
    <w:tmpl w:val="A9EC3D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9" w15:restartNumberingAfterBreak="0">
    <w:nsid w:val="697F051D"/>
    <w:multiLevelType w:val="hybridMultilevel"/>
    <w:tmpl w:val="62C0D508"/>
    <w:lvl w:ilvl="0" w:tplc="E04AFF94">
      <w:numFmt w:val="bullet"/>
      <w:lvlText w:val="·"/>
      <w:lvlJc w:val="left"/>
      <w:pPr>
        <w:ind w:left="765" w:hanging="405"/>
      </w:pPr>
      <w:rPr>
        <w:rFonts w:ascii="Calibri" w:eastAsia="Calibri" w:hAnsi="Calibri" w:cs="Calibri"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CB085D"/>
    <w:multiLevelType w:val="multilevel"/>
    <w:tmpl w:val="CF64EE58"/>
    <w:lvl w:ilvl="0">
      <w:start w:val="1"/>
      <w:numFmt w:val="decimal"/>
      <w:lvlText w:val="%1."/>
      <w:lvlJc w:val="left"/>
      <w:pPr>
        <w:ind w:left="360" w:hanging="360"/>
      </w:pPr>
      <w:rPr>
        <w:rFonts w:asciiTheme="minorHAnsi" w:hAnsiTheme="minorHAnsi" w:cstheme="minorHAnsi" w:hint="default"/>
        <w:b/>
        <w:bCs w:val="0"/>
        <w:color w:val="auto"/>
        <w:sz w:val="28"/>
        <w:szCs w:val="28"/>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1" w15:restartNumberingAfterBreak="0">
    <w:nsid w:val="76561383"/>
    <w:multiLevelType w:val="hybridMultilevel"/>
    <w:tmpl w:val="9B84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F41E8E"/>
    <w:multiLevelType w:val="hybridMultilevel"/>
    <w:tmpl w:val="EAB00C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D0B703B"/>
    <w:multiLevelType w:val="hybridMultilevel"/>
    <w:tmpl w:val="6C0C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7"/>
  </w:num>
  <w:num w:numId="4">
    <w:abstractNumId w:val="4"/>
  </w:num>
  <w:num w:numId="5">
    <w:abstractNumId w:val="7"/>
  </w:num>
  <w:num w:numId="6">
    <w:abstractNumId w:val="18"/>
  </w:num>
  <w:num w:numId="7">
    <w:abstractNumId w:val="6"/>
  </w:num>
  <w:num w:numId="8">
    <w:abstractNumId w:val="0"/>
  </w:num>
  <w:num w:numId="9">
    <w:abstractNumId w:val="19"/>
  </w:num>
  <w:num w:numId="10">
    <w:abstractNumId w:val="22"/>
  </w:num>
  <w:num w:numId="11">
    <w:abstractNumId w:val="12"/>
  </w:num>
  <w:num w:numId="12">
    <w:abstractNumId w:val="20"/>
  </w:num>
  <w:num w:numId="13">
    <w:abstractNumId w:val="9"/>
  </w:num>
  <w:num w:numId="14">
    <w:abstractNumId w:val="3"/>
  </w:num>
  <w:num w:numId="15">
    <w:abstractNumId w:val="2"/>
  </w:num>
  <w:num w:numId="16">
    <w:abstractNumId w:val="11"/>
  </w:num>
  <w:num w:numId="17">
    <w:abstractNumId w:val="5"/>
  </w:num>
  <w:num w:numId="18">
    <w:abstractNumId w:val="8"/>
  </w:num>
  <w:num w:numId="19">
    <w:abstractNumId w:val="14"/>
  </w:num>
  <w:num w:numId="20">
    <w:abstractNumId w:val="21"/>
  </w:num>
  <w:num w:numId="21">
    <w:abstractNumId w:val="10"/>
  </w:num>
  <w:num w:numId="22">
    <w:abstractNumId w:val="23"/>
  </w:num>
  <w:num w:numId="23">
    <w:abstractNumId w:val="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20"/>
    <w:rsid w:val="00011D27"/>
    <w:rsid w:val="00050E93"/>
    <w:rsid w:val="00051F7A"/>
    <w:rsid w:val="00060AF5"/>
    <w:rsid w:val="00073B72"/>
    <w:rsid w:val="0007717A"/>
    <w:rsid w:val="000A23AA"/>
    <w:rsid w:val="000D6154"/>
    <w:rsid w:val="000E6BE4"/>
    <w:rsid w:val="00104F36"/>
    <w:rsid w:val="00105AAF"/>
    <w:rsid w:val="001110EE"/>
    <w:rsid w:val="00124DFC"/>
    <w:rsid w:val="001255CD"/>
    <w:rsid w:val="00132419"/>
    <w:rsid w:val="001568DA"/>
    <w:rsid w:val="001606FF"/>
    <w:rsid w:val="00182EAB"/>
    <w:rsid w:val="0019158F"/>
    <w:rsid w:val="001A1443"/>
    <w:rsid w:val="001A7976"/>
    <w:rsid w:val="001C3C92"/>
    <w:rsid w:val="001F278D"/>
    <w:rsid w:val="00261C20"/>
    <w:rsid w:val="0026536C"/>
    <w:rsid w:val="002761D4"/>
    <w:rsid w:val="002842C1"/>
    <w:rsid w:val="002A0814"/>
    <w:rsid w:val="002A13A2"/>
    <w:rsid w:val="002A589C"/>
    <w:rsid w:val="002E2CBC"/>
    <w:rsid w:val="002F75BB"/>
    <w:rsid w:val="00301BD7"/>
    <w:rsid w:val="00303AD6"/>
    <w:rsid w:val="0032648D"/>
    <w:rsid w:val="0034519D"/>
    <w:rsid w:val="0035525F"/>
    <w:rsid w:val="00373E3D"/>
    <w:rsid w:val="003770BC"/>
    <w:rsid w:val="003B18E7"/>
    <w:rsid w:val="003D207A"/>
    <w:rsid w:val="003F2D4F"/>
    <w:rsid w:val="003F552D"/>
    <w:rsid w:val="00405041"/>
    <w:rsid w:val="0041698A"/>
    <w:rsid w:val="00426DE6"/>
    <w:rsid w:val="00450AA9"/>
    <w:rsid w:val="00466899"/>
    <w:rsid w:val="00467EC5"/>
    <w:rsid w:val="00474FD8"/>
    <w:rsid w:val="00475AEE"/>
    <w:rsid w:val="00480C97"/>
    <w:rsid w:val="00480D2E"/>
    <w:rsid w:val="004B07B6"/>
    <w:rsid w:val="004B12C6"/>
    <w:rsid w:val="004C2840"/>
    <w:rsid w:val="004C3C93"/>
    <w:rsid w:val="004C635F"/>
    <w:rsid w:val="004D29A7"/>
    <w:rsid w:val="004D4B9D"/>
    <w:rsid w:val="00563D20"/>
    <w:rsid w:val="00566A3B"/>
    <w:rsid w:val="0057230F"/>
    <w:rsid w:val="005751F2"/>
    <w:rsid w:val="0059131A"/>
    <w:rsid w:val="00594485"/>
    <w:rsid w:val="005A69FC"/>
    <w:rsid w:val="005A7391"/>
    <w:rsid w:val="005C471A"/>
    <w:rsid w:val="005C5070"/>
    <w:rsid w:val="005D211A"/>
    <w:rsid w:val="005D4394"/>
    <w:rsid w:val="005E4AFC"/>
    <w:rsid w:val="00637C5C"/>
    <w:rsid w:val="00650C4C"/>
    <w:rsid w:val="00651915"/>
    <w:rsid w:val="006701E5"/>
    <w:rsid w:val="006933F2"/>
    <w:rsid w:val="0069686D"/>
    <w:rsid w:val="006B61CC"/>
    <w:rsid w:val="006C6345"/>
    <w:rsid w:val="006E1E16"/>
    <w:rsid w:val="006F0FDC"/>
    <w:rsid w:val="006F2666"/>
    <w:rsid w:val="00700E9C"/>
    <w:rsid w:val="007128F2"/>
    <w:rsid w:val="00713663"/>
    <w:rsid w:val="00731251"/>
    <w:rsid w:val="00737475"/>
    <w:rsid w:val="00744F67"/>
    <w:rsid w:val="00745F9F"/>
    <w:rsid w:val="00785BE8"/>
    <w:rsid w:val="00787205"/>
    <w:rsid w:val="007A5BE0"/>
    <w:rsid w:val="007A71E5"/>
    <w:rsid w:val="007C02C5"/>
    <w:rsid w:val="007D31D5"/>
    <w:rsid w:val="007F6A13"/>
    <w:rsid w:val="008044F7"/>
    <w:rsid w:val="0080590D"/>
    <w:rsid w:val="00811208"/>
    <w:rsid w:val="00820815"/>
    <w:rsid w:val="00830345"/>
    <w:rsid w:val="00844B78"/>
    <w:rsid w:val="00852C89"/>
    <w:rsid w:val="0085387C"/>
    <w:rsid w:val="008562D2"/>
    <w:rsid w:val="00884485"/>
    <w:rsid w:val="008A077A"/>
    <w:rsid w:val="008A3010"/>
    <w:rsid w:val="008B5C27"/>
    <w:rsid w:val="008C5BA5"/>
    <w:rsid w:val="008E766A"/>
    <w:rsid w:val="008F6604"/>
    <w:rsid w:val="00915D3F"/>
    <w:rsid w:val="00941124"/>
    <w:rsid w:val="009441A3"/>
    <w:rsid w:val="00952C66"/>
    <w:rsid w:val="00955EBB"/>
    <w:rsid w:val="0095786F"/>
    <w:rsid w:val="009E0AAE"/>
    <w:rsid w:val="009E6DE0"/>
    <w:rsid w:val="009F23BA"/>
    <w:rsid w:val="009F5EB9"/>
    <w:rsid w:val="00A01F3E"/>
    <w:rsid w:val="00A03C87"/>
    <w:rsid w:val="00A1529B"/>
    <w:rsid w:val="00A2144F"/>
    <w:rsid w:val="00A25009"/>
    <w:rsid w:val="00A40925"/>
    <w:rsid w:val="00A72FA1"/>
    <w:rsid w:val="00A77051"/>
    <w:rsid w:val="00AB3237"/>
    <w:rsid w:val="00AB5956"/>
    <w:rsid w:val="00AC0352"/>
    <w:rsid w:val="00AE613F"/>
    <w:rsid w:val="00AF6545"/>
    <w:rsid w:val="00B367F2"/>
    <w:rsid w:val="00B46D1C"/>
    <w:rsid w:val="00B647DD"/>
    <w:rsid w:val="00B8542A"/>
    <w:rsid w:val="00B9080D"/>
    <w:rsid w:val="00B911CE"/>
    <w:rsid w:val="00B916C0"/>
    <w:rsid w:val="00B92AF8"/>
    <w:rsid w:val="00B97BA0"/>
    <w:rsid w:val="00BB25B1"/>
    <w:rsid w:val="00BB55B7"/>
    <w:rsid w:val="00BD380A"/>
    <w:rsid w:val="00BE4393"/>
    <w:rsid w:val="00C0383B"/>
    <w:rsid w:val="00C242EC"/>
    <w:rsid w:val="00C5004E"/>
    <w:rsid w:val="00C77ECC"/>
    <w:rsid w:val="00C90B3A"/>
    <w:rsid w:val="00CB5E6C"/>
    <w:rsid w:val="00CC5BD7"/>
    <w:rsid w:val="00CE0EE7"/>
    <w:rsid w:val="00CF15A0"/>
    <w:rsid w:val="00D10A56"/>
    <w:rsid w:val="00D21E3F"/>
    <w:rsid w:val="00D22649"/>
    <w:rsid w:val="00D26E16"/>
    <w:rsid w:val="00D4285C"/>
    <w:rsid w:val="00D77A98"/>
    <w:rsid w:val="00D80B49"/>
    <w:rsid w:val="00D84C00"/>
    <w:rsid w:val="00D87B7F"/>
    <w:rsid w:val="00D93EE7"/>
    <w:rsid w:val="00DC10BE"/>
    <w:rsid w:val="00DC3CBF"/>
    <w:rsid w:val="00DC6B7B"/>
    <w:rsid w:val="00DF266E"/>
    <w:rsid w:val="00E01D81"/>
    <w:rsid w:val="00E12524"/>
    <w:rsid w:val="00E84F43"/>
    <w:rsid w:val="00E87EC6"/>
    <w:rsid w:val="00EA7EEF"/>
    <w:rsid w:val="00EB00BA"/>
    <w:rsid w:val="00EB0847"/>
    <w:rsid w:val="00EC29D8"/>
    <w:rsid w:val="00ED5050"/>
    <w:rsid w:val="00EE75A8"/>
    <w:rsid w:val="00EF4DB0"/>
    <w:rsid w:val="00EF500B"/>
    <w:rsid w:val="00F0515F"/>
    <w:rsid w:val="00F123BF"/>
    <w:rsid w:val="00F14E0F"/>
    <w:rsid w:val="00F24CFC"/>
    <w:rsid w:val="00F302A6"/>
    <w:rsid w:val="00F679DB"/>
    <w:rsid w:val="00F713FB"/>
    <w:rsid w:val="00F851D1"/>
    <w:rsid w:val="00F856A6"/>
    <w:rsid w:val="00F92119"/>
    <w:rsid w:val="00FA6D58"/>
    <w:rsid w:val="00FB372C"/>
    <w:rsid w:val="00FC2A76"/>
    <w:rsid w:val="00FD6983"/>
    <w:rsid w:val="00FF342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26A4A62"/>
  <w15:docId w15:val="{A7629A43-E588-45FF-BD4C-BFBD4FA3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color w:val="000000"/>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C3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C92"/>
    <w:rPr>
      <w:rFonts w:ascii="Tahoma" w:hAnsi="Tahoma" w:cs="Tahoma"/>
      <w:sz w:val="16"/>
      <w:szCs w:val="16"/>
    </w:rPr>
  </w:style>
  <w:style w:type="paragraph" w:styleId="Header">
    <w:name w:val="header"/>
    <w:basedOn w:val="Normal"/>
    <w:link w:val="HeaderChar"/>
    <w:uiPriority w:val="99"/>
    <w:unhideWhenUsed/>
    <w:rsid w:val="001C3C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C92"/>
  </w:style>
  <w:style w:type="paragraph" w:styleId="Footer">
    <w:name w:val="footer"/>
    <w:basedOn w:val="Normal"/>
    <w:link w:val="FooterChar"/>
    <w:uiPriority w:val="99"/>
    <w:unhideWhenUsed/>
    <w:rsid w:val="001C3C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C92"/>
  </w:style>
  <w:style w:type="paragraph" w:styleId="ListParagraph">
    <w:name w:val="List Paragraph"/>
    <w:aliases w:val="Numbered Para 1,Dot pt,No Spacing1,List Paragraph Char Char Char,Indicator Text,List Paragraph1,Bullet 1,Bullet Points,F5 List Paragraph,Colorful List - Accent 11,List Paragraph2,Normal numbered,List Paragraph11,OBC Bullet"/>
    <w:basedOn w:val="Normal"/>
    <w:link w:val="ListParagraphChar"/>
    <w:uiPriority w:val="34"/>
    <w:qFormat/>
    <w:rsid w:val="001C3C92"/>
    <w:pPr>
      <w:ind w:left="720"/>
      <w:contextualSpacing/>
    </w:pPr>
  </w:style>
  <w:style w:type="paragraph" w:styleId="Revision">
    <w:name w:val="Revision"/>
    <w:hidden/>
    <w:uiPriority w:val="99"/>
    <w:semiHidden/>
    <w:rsid w:val="00011D27"/>
    <w:pPr>
      <w:spacing w:after="0" w:line="240" w:lineRule="auto"/>
    </w:pPr>
  </w:style>
  <w:style w:type="paragraph" w:styleId="CommentSubject">
    <w:name w:val="annotation subject"/>
    <w:basedOn w:val="CommentText"/>
    <w:next w:val="CommentText"/>
    <w:link w:val="CommentSubjectChar"/>
    <w:uiPriority w:val="99"/>
    <w:semiHidden/>
    <w:unhideWhenUsed/>
    <w:rsid w:val="0007717A"/>
    <w:rPr>
      <w:b/>
      <w:bCs/>
    </w:rPr>
  </w:style>
  <w:style w:type="character" w:customStyle="1" w:styleId="CommentSubjectChar">
    <w:name w:val="Comment Subject Char"/>
    <w:basedOn w:val="CommentTextChar"/>
    <w:link w:val="CommentSubject"/>
    <w:uiPriority w:val="99"/>
    <w:semiHidden/>
    <w:rsid w:val="0007717A"/>
    <w:rPr>
      <w:b/>
      <w:bCs/>
      <w:sz w:val="20"/>
      <w:szCs w:val="20"/>
    </w:rPr>
  </w:style>
  <w:style w:type="table" w:styleId="TableGrid">
    <w:name w:val="Table Grid"/>
    <w:basedOn w:val="TableNormal"/>
    <w:uiPriority w:val="59"/>
    <w:unhideWhenUsed/>
    <w:rsid w:val="00856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Numbered Para 1 Char,Dot pt Char,No Spacing1 Char,List Paragraph Char Char Char Char,Indicator Text Char,List Paragraph1 Char,Bullet 1 Char,Bullet Points Char,F5 List Paragraph Char,Colorful List - Accent 11 Char,List Paragraph2 Char"/>
    <w:basedOn w:val="DefaultParagraphFont"/>
    <w:link w:val="ListParagraph"/>
    <w:uiPriority w:val="34"/>
    <w:qFormat/>
    <w:rsid w:val="008A077A"/>
  </w:style>
  <w:style w:type="paragraph" w:styleId="FootnoteText">
    <w:name w:val="footnote text"/>
    <w:basedOn w:val="Normal"/>
    <w:link w:val="FootnoteTextChar"/>
    <w:uiPriority w:val="99"/>
    <w:semiHidden/>
    <w:unhideWhenUsed/>
    <w:rsid w:val="008A30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3010"/>
    <w:rPr>
      <w:sz w:val="20"/>
      <w:szCs w:val="20"/>
    </w:rPr>
  </w:style>
  <w:style w:type="character" w:styleId="FootnoteReference">
    <w:name w:val="footnote reference"/>
    <w:basedOn w:val="DefaultParagraphFont"/>
    <w:uiPriority w:val="99"/>
    <w:semiHidden/>
    <w:unhideWhenUsed/>
    <w:rsid w:val="008A3010"/>
    <w:rPr>
      <w:vertAlign w:val="superscript"/>
    </w:rPr>
  </w:style>
  <w:style w:type="character" w:styleId="SubtleReference">
    <w:name w:val="Subtle Reference"/>
    <w:aliases w:val="Foot reference"/>
    <w:uiPriority w:val="31"/>
    <w:qFormat/>
    <w:rsid w:val="008A3010"/>
    <w:rPr>
      <w:color w:val="000000" w:themeColor="text1"/>
      <w:sz w:val="16"/>
      <w:szCs w:val="16"/>
    </w:rPr>
  </w:style>
  <w:style w:type="character" w:styleId="Hyperlink">
    <w:name w:val="Hyperlink"/>
    <w:basedOn w:val="DefaultParagraphFont"/>
    <w:uiPriority w:val="99"/>
    <w:unhideWhenUsed/>
    <w:rsid w:val="00F851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72261">
      <w:bodyDiv w:val="1"/>
      <w:marLeft w:val="0"/>
      <w:marRight w:val="0"/>
      <w:marTop w:val="0"/>
      <w:marBottom w:val="0"/>
      <w:divBdr>
        <w:top w:val="none" w:sz="0" w:space="0" w:color="auto"/>
        <w:left w:val="none" w:sz="0" w:space="0" w:color="auto"/>
        <w:bottom w:val="none" w:sz="0" w:space="0" w:color="auto"/>
        <w:right w:val="none" w:sz="0" w:space="0" w:color="auto"/>
      </w:divBdr>
    </w:div>
    <w:div w:id="1708406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reativecommons.org/licenses/by-nc-sa/3.0/igo/deed.fr"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who.int/docs/default-source/coronaviruse/covid-strategy-update-14april2020.pdf?sfvrsn=29da3ba0_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E7653-34F4-414D-A458-E83DBBB76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1750</Words>
  <Characters>9976</Characters>
  <Application>Microsoft Office Word</Application>
  <DocSecurity>0</DocSecurity>
  <Lines>83</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WHO</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Maier, Emily Beth</dc:creator>
  <cp:lastModifiedBy>REYES LANDAVERDE, Roberto</cp:lastModifiedBy>
  <cp:revision>2</cp:revision>
  <dcterms:created xsi:type="dcterms:W3CDTF">2020-09-09T09:15:00Z</dcterms:created>
  <dcterms:modified xsi:type="dcterms:W3CDTF">2020-09-09T09:15:00Z</dcterms:modified>
</cp:coreProperties>
</file>