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AppHeading1"/>
        <w:jc w:val="both"/>
        <w:rPr>
          <w:rStyle w:val="NewHeading1Char"/>
          <w:caps/>
          <w:color w:val="365F91"/>
        </w:rPr>
      </w:pPr>
      <w:bookmarkStart w:id="0" w:name="_Toc357465975"/>
      <w:r>
        <w:rPr>
          <w:rStyle w:val="NewHeading1Char"/>
          <w:caps/>
          <w:color w:val="365F91"/>
        </w:rPr>
        <w:t xml:space="preserve">Criterios de transición y activación del Centro de operaciones de emergencia (EOC, por sus siglas en inglés)</w:t>
      </w:r>
      <w:bookmarkEnd w:id="0"/>
    </w:p>
    <w:p>
      <w:pPr>
        <w:spacing w:line="360" w:lineRule="auto"/>
      </w:pPr>
      <w:r>
        <w:t xml:space="preserve">El EOC sirve como establecimiento centralizado para la coordinación de las operaciones de respuesta en caso de emergencia de salud pública. Durante la activación del EOC, una estructura central diaria combinada con expertos SME de diferentes divisiones de todo el Ministerio conforman el Sistema de comando de incidentes.</w:t>
      </w:r>
    </w:p>
    <w:p>
      <w:pPr>
        <w:pStyle w:val="BodyCopy"/>
        <w:spacing w:line="240" w:lineRule="auto"/>
        <w:ind w:left="1080"/>
        <w:rPr>
          <w:color w:val="auto"/>
          <w:highlight w:val="lightGray"/>
        </w:rPr>
      </w:pPr>
    </w:p>
    <w:p>
      <w:pPr>
        <w:pStyle w:val="BodyCopy"/>
        <w:rPr>
          <w:color w:val="auto"/>
        </w:rPr>
      </w:pPr>
      <w:r>
        <w:rPr>
          <w:color w:val="auto"/>
        </w:rPr>
        <w:t xml:space="preserve">El director puede activar el EOC e implementar el plan de respuesta para apoyar una respuesta de una agencia ante el brote de una enfermedad infecciosa, según el análisis de la situación y la recomendación de los líderes de la división para un brote en particular. Una vez activado, el EOC utilizará el Sistema de comando de incidentes para organizar la administración y la coordinación de las actividades de salud pública durante la respuesta a un brote de una enfermedad infecciosa. El comandante del incidente es el responsable de asegurar que las actividades de respuesta se coordinen en toda la agencia y con los grupos de interés, que incluyen a todos los departamentos de salud regionales, de distrito y/o provinciales. </w:t>
      </w:r>
    </w:p>
    <w:p>
      <w:pPr>
        <w:autoSpaceDE w:val="0"/>
        <w:autoSpaceDN w:val="0"/>
        <w:rPr>
          <w:highlight w:val="lightGray"/>
        </w:rPr>
      </w:pPr>
    </w:p>
    <w:p>
      <w:pPr>
        <w:autoSpaceDE w:val="0"/>
        <w:autoSpaceDN w:val="0"/>
        <w:spacing w:line="360" w:lineRule="auto"/>
        <w:rPr>
          <w:b/>
        </w:rPr>
      </w:pPr>
      <w:r>
        <w:rPr>
          <w:b/>
        </w:rPr>
        <w:t xml:space="preserve">Proceso y secuencia de activación </w:t>
      </w:r>
    </w:p>
    <w:p>
      <w:pPr>
        <w:autoSpaceDE w:val="0"/>
        <w:autoSpaceDN w:val="0"/>
        <w:spacing w:line="360" w:lineRule="auto"/>
      </w:pPr>
      <w:r>
        <w:t xml:space="preserve">La activación del EOC para una emergencia de salud pública puede ocurrir según las instrucciones del director del Ministerio de Salud. </w:t>
      </w:r>
    </w:p>
    <w:p>
      <w:pPr>
        <w:autoSpaceDE w:val="0"/>
        <w:autoSpaceDN w:val="0"/>
        <w:spacing w:line="360" w:lineRule="auto"/>
      </w:pPr>
      <w:r>
        <w:t xml:space="preserve">El director del Ministerio de Salud determinará si se activará el EOC. Algunos eventos disparadores: </w:t>
      </w:r>
    </w:p>
    <w:p>
      <w:pPr>
        <w:pStyle w:val="ListParagraph"/>
        <w:numPr>
          <w:ilvl w:val="0"/>
          <w:numId w:val="6"/>
        </w:numPr>
        <w:autoSpaceDE w:val="0"/>
        <w:autoSpaceDN w:val="0"/>
        <w:spacing w:line="360" w:lineRule="auto"/>
        <w:ind w:left="1080" w:firstLine="0"/>
      </w:pPr>
      <w:r>
        <w:t xml:space="preserve">Brote de enfermedad infecciosa tendiente a ser pandemia </w:t>
      </w:r>
    </w:p>
    <w:p>
      <w:pPr>
        <w:pStyle w:val="ListParagraph"/>
        <w:numPr>
          <w:ilvl w:val="0"/>
          <w:numId w:val="6"/>
        </w:numPr>
        <w:autoSpaceDE w:val="0"/>
        <w:autoSpaceDN w:val="0"/>
        <w:spacing w:line="360" w:lineRule="auto"/>
        <w:ind w:left="1080" w:firstLine="0"/>
      </w:pPr>
      <w:r>
        <w:t xml:space="preserve">Participación de diferentes divisiones</w:t>
      </w:r>
    </w:p>
    <w:p>
      <w:pPr>
        <w:pStyle w:val="ListParagraph"/>
        <w:numPr>
          <w:ilvl w:val="0"/>
          <w:numId w:val="6"/>
        </w:numPr>
        <w:autoSpaceDE w:val="0"/>
        <w:autoSpaceDN w:val="0"/>
        <w:spacing w:line="360" w:lineRule="auto"/>
        <w:ind w:left="1080" w:firstLine="0"/>
      </w:pPr>
      <w:r>
        <w:t xml:space="preserve">Supera la capacidad de una célula de supervisión para el brote</w:t>
      </w:r>
    </w:p>
    <w:p>
      <w:pPr>
        <w:pStyle w:val="ListParagraph"/>
        <w:numPr>
          <w:ilvl w:val="0"/>
          <w:numId w:val="6"/>
        </w:numPr>
        <w:autoSpaceDE w:val="0"/>
        <w:autoSpaceDN w:val="0"/>
        <w:adjustRightInd w:val="0"/>
        <w:spacing w:line="360" w:lineRule="auto"/>
        <w:ind w:left="1080" w:firstLine="0"/>
        <w:rPr>
          <w:rFonts w:eastAsia="SimSun"/>
          <w:b/>
        </w:rPr>
      </w:pPr>
      <w:r>
        <w:t xml:space="preserve">Un brote que involucre diferentes regiones, distritos o provincias</w:t>
      </w:r>
    </w:p>
    <w:p>
      <w:pPr>
        <w:pStyle w:val="ListParagraph"/>
        <w:numPr>
          <w:ilvl w:val="0"/>
          <w:numId w:val="6"/>
        </w:numPr>
        <w:autoSpaceDE w:val="0"/>
        <w:autoSpaceDN w:val="0"/>
        <w:adjustRightInd w:val="0"/>
        <w:spacing w:line="360" w:lineRule="auto"/>
        <w:ind w:left="1080" w:firstLine="0"/>
        <w:rPr>
          <w:rFonts w:eastAsia="SimSun"/>
          <w:b/>
        </w:rPr>
      </w:pPr>
      <w:r>
        <w:t xml:space="preserve">Solicitud del ministro</w:t>
      </w:r>
    </w:p>
    <w:p>
      <w:pPr>
        <w:pStyle w:val="ListParagraph"/>
        <w:numPr>
          <w:ilvl w:val="0"/>
          <w:numId w:val="6"/>
        </w:numPr>
        <w:autoSpaceDE w:val="0"/>
        <w:autoSpaceDN w:val="0"/>
        <w:adjustRightInd w:val="0"/>
        <w:spacing w:line="360" w:lineRule="auto"/>
        <w:ind w:left="1080" w:firstLine="0"/>
        <w:rPr>
          <w:rFonts w:eastAsia="SimSun"/>
          <w:b/>
        </w:rPr>
      </w:pPr>
      <w:r>
        <w:t xml:space="preserve">Posible emergencia de salud pública de interés internacional (PHEIC, por sus siglas en inglés)</w:t>
      </w:r>
    </w:p>
    <w:p>
      <w:pPr>
        <w:autoSpaceDE w:val="0"/>
        <w:autoSpaceDN w:val="0"/>
        <w:adjustRightInd w:val="0"/>
        <w:ind w:left="1080"/>
        <w:rPr>
          <w:rFonts w:eastAsia="SimSun"/>
          <w:b/>
        </w:rPr>
      </w:pPr>
    </w:p>
    <w:p>
      <w:pPr>
        <w:spacing w:line="360" w:lineRule="auto"/>
        <w:rPr>
          <w:color w:val="0070C0"/>
        </w:rPr>
      </w:pPr>
      <w:r>
        <w:t xml:space="preserve">El director o IC determinarán cuándo se ha realizado un progreso suficiente para restablecer la funcionalidad mínima a las áreas afectadas y cuándo las infraestructuras críticas de soporte vital podrán mantener la recuperación y la repoblación. El director, después de consultar con las divisiones, recomendará la desmovilización y la transición de respuesta/recuperación</w:t>
      </w:r>
      <w:r>
        <w:rPr>
          <w:color w:val="0070C0"/>
        </w:rPr>
        <w:t xml:space="preserve">. </w:t>
      </w:r>
    </w:p>
    <w:p>
      <w:pPr>
        <w:spacing w:line="360" w:lineRule="auto"/>
        <w:ind w:left="1080"/>
      </w:pPr>
    </w:p>
    <w:p>
      <w:pPr>
        <w:pStyle w:val="PlainText"/>
        <w:ind w:left="1080"/>
        <w:rPr>
          <w:rFonts w:ascii="Times New Roman" w:hAnsi="Times New Roman"/>
          <w:sz w:val="24"/>
        </w:rPr>
      </w:pPr>
    </w:p>
    <w:p>
      <w:pPr>
        <w:pStyle w:val="PlainText"/>
        <w:spacing w:line="360" w:lineRule="auto"/>
        <w:rPr>
          <w:rFonts w:ascii="Times New Roman" w:hAnsi="Times New Roman"/>
          <w:b/>
          <w:sz w:val="24"/>
        </w:rPr>
      </w:pPr>
      <w:r>
        <w:rPr>
          <w:rFonts w:ascii="Times New Roman" w:hAnsi="Times New Roman"/>
          <w:b/>
          <w:sz w:val="24"/>
        </w:rPr>
        <w:t xml:space="preserve">Disparadores de la transición</w:t>
      </w:r>
    </w:p>
    <w:p>
      <w:pPr>
        <w:pStyle w:val="PlainText"/>
        <w:tabs>
          <w:tab w:val="left" w:pos="2160"/>
        </w:tabs>
        <w:spacing w:line="360" w:lineRule="auto"/>
        <w:rPr>
          <w:rFonts w:ascii="Times New Roman" w:hAnsi="Times New Roman"/>
          <w:sz w:val="24"/>
        </w:rPr>
      </w:pPr>
      <w:r>
        <w:rPr>
          <w:rFonts w:ascii="Times New Roman" w:hAnsi="Times New Roman"/>
          <w:sz w:val="24"/>
        </w:rPr>
        <w:t xml:space="preserve">El nivel de esfuerzo durante el modo de respuesta del EOC cambiará con el correr del tiempo, y se regresará de las actividades de respuesta al manejo del programa (y desactivación del EOC) o se cambiarán los niveles de activación.</w:t>
      </w:r>
    </w:p>
    <w:p>
      <w:pPr>
        <w:pStyle w:val="PlainText"/>
        <w:tabs>
          <w:tab w:val="left" w:pos="2160"/>
        </w:tabs>
        <w:spacing w:line="360" w:lineRule="auto"/>
        <w:ind w:left="1080"/>
        <w:rPr>
          <w:rFonts w:ascii="Times New Roman" w:hAnsi="Times New Roman"/>
          <w:sz w:val="24"/>
        </w:rPr>
      </w:pPr>
    </w:p>
    <w:p>
      <w:pPr>
        <w:pStyle w:val="PlainText"/>
        <w:tabs>
          <w:tab w:val="left" w:pos="2160"/>
        </w:tabs>
        <w:spacing w:line="360" w:lineRule="auto"/>
        <w:rPr>
          <w:rFonts w:ascii="Times New Roman" w:hAnsi="Times New Roman"/>
          <w:sz w:val="24"/>
        </w:rPr>
      </w:pPr>
      <w:r>
        <w:rPr>
          <w:rFonts w:ascii="Times New Roman" w:hAnsi="Times New Roman"/>
          <w:sz w:val="24"/>
        </w:rPr>
        <w:t xml:space="preserve">Los niveles de activación del EOC están diseñados en base a un nivel de esfuerzo y no estrictamente por la cantidad de personal involucrado en la respuesta.  Las distinciones clave en las designaciones de nivel de activación son:</w:t>
      </w:r>
    </w:p>
    <w:p>
      <w:pPr>
        <w:pStyle w:val="PlainText"/>
        <w:tabs>
          <w:tab w:val="left" w:pos="2160"/>
        </w:tabs>
        <w:spacing w:line="360" w:lineRule="auto"/>
        <w:rPr>
          <w:rFonts w:ascii="Times New Roman" w:hAnsi="Times New Roman"/>
          <w:sz w:val="24"/>
        </w:rPr>
      </w:pPr>
    </w:p>
    <w:p>
      <w:pPr>
        <w:pStyle w:val="ListParagraph"/>
        <w:numPr>
          <w:ilvl w:val="0"/>
          <w:numId w:val="6"/>
        </w:numPr>
        <w:autoSpaceDE w:val="0"/>
        <w:autoSpaceDN w:val="0"/>
        <w:spacing w:line="360" w:lineRule="auto"/>
        <w:ind w:left="1080" w:firstLine="0"/>
      </w:pPr>
      <w:r>
        <w:t xml:space="preserve">Nivel I – El nivel más bajo de activación. Este nivel se desencadena por defecto, excepto que se especifique un nivel más alto durante el proceso de activación del EOC. Activación de recursos fuera de una sola división debido al agotamiento con necesidad de mayor apoyo. Además, ocurre cuando la capacidad de una célula de supervisión del brote está sobrepasada. La activación en este nivel es de ocho horas por día durante siete días. </w:t>
      </w:r>
    </w:p>
    <w:p>
      <w:pPr>
        <w:pStyle w:val="Default"/>
        <w:numPr>
          <w:ilvl w:val="0"/>
          <w:numId w:val="1"/>
        </w:numPr>
        <w:tabs>
          <w:tab w:val="clear" w:pos="3780"/>
          <w:tab w:val="left" w:pos="900"/>
          <w:tab w:val="left" w:pos="1080"/>
          <w:tab w:val="left" w:pos="1170"/>
        </w:tabs>
        <w:adjustRightInd/>
        <w:spacing w:line="360" w:lineRule="auto"/>
        <w:ind w:left="1080" w:firstLine="0"/>
        <w:rPr>
          <w:color w:val="auto"/>
        </w:rPr>
      </w:pPr>
      <w:r>
        <w:rPr>
          <w:color w:val="auto"/>
        </w:rPr>
        <w:t xml:space="preserve">Nivel II – Este nivel de activación requiere un aumento significativo del personal del programa central del departamento/división técnico principal</w:t>
      </w:r>
      <w:r>
        <w:rPr>
          <w:color w:val="FF0000"/>
        </w:rPr>
        <w:t xml:space="preserve"> </w:t>
      </w:r>
      <w:r>
        <w:rPr>
          <w:color w:val="auto"/>
        </w:rPr>
        <w:t xml:space="preserve">para cumplir con las necesidades técnicas de la respuesta, y/o el aumento del personal para brindar servicios de apoyo al Sistema de comando de incidentes. Cuando se involucran más de una división del Ministerio o se requiere un actor externo. La activación en el nivel dos es de 14 horas por día durante siete días (es decir, de 8 a. m. a 10 p. m.).</w:t>
      </w:r>
    </w:p>
    <w:p>
      <w:pPr>
        <w:pStyle w:val="Default"/>
        <w:numPr>
          <w:ilvl w:val="0"/>
          <w:numId w:val="1"/>
        </w:numPr>
        <w:tabs>
          <w:tab w:val="clear" w:pos="3780"/>
          <w:tab w:val="left" w:pos="900"/>
          <w:tab w:val="left" w:pos="1260"/>
        </w:tabs>
        <w:adjustRightInd/>
        <w:spacing w:line="360" w:lineRule="auto"/>
        <w:ind w:left="1080" w:firstLine="0"/>
        <w:rPr>
          <w:color w:val="auto"/>
        </w:rPr>
      </w:pPr>
      <w:r>
        <w:rPr>
          <w:color w:val="auto"/>
        </w:rPr>
        <w:t xml:space="preserve">Nivel III – El nivel más alto de activación. Este nivel está reservado para las respuestas de mayor escala que requieren un esfuerzo las 24 horas, los 7 días de la semana por parte de una agencia. </w:t>
      </w:r>
    </w:p>
    <w:p>
      <w:pPr>
        <w:pStyle w:val="Default"/>
        <w:tabs>
          <w:tab w:val="left" w:pos="900"/>
          <w:tab w:val="left" w:pos="1260"/>
        </w:tabs>
        <w:adjustRightInd/>
        <w:spacing w:line="360" w:lineRule="auto"/>
        <w:ind w:left="1080"/>
        <w:rPr>
          <w:color w:val="auto"/>
        </w:rPr>
      </w:pPr>
    </w:p>
    <w:p>
      <w:pPr>
        <w:pStyle w:val="PlainText"/>
        <w:tabs>
          <w:tab w:val="left" w:pos="2340"/>
        </w:tabs>
        <w:spacing w:line="360" w:lineRule="auto"/>
        <w:rPr>
          <w:rFonts w:ascii="Times New Roman" w:hAnsi="Times New Roman"/>
          <w:sz w:val="24"/>
        </w:rPr>
      </w:pPr>
      <w:r>
        <w:rPr>
          <w:rFonts w:ascii="Times New Roman" w:hAnsi="Times New Roman"/>
          <w:sz w:val="24"/>
        </w:rPr>
        <w:t xml:space="preserve">El comandante del incidente es quien determina la transición de un nivel de activación del EOC a otro, consultando con el liderazgo de la división técnica principal</w:t>
      </w:r>
      <w:r>
        <w:rPr>
          <w:rFonts w:ascii="Times New Roman" w:hAnsi="Times New Roman"/>
          <w:color w:val="FF0000"/>
          <w:sz w:val="24"/>
        </w:rPr>
        <w:t xml:space="preserve"> </w:t>
      </w:r>
      <w:r>
        <w:rPr>
          <w:rFonts w:ascii="Times New Roman" w:hAnsi="Times New Roman"/>
          <w:sz w:val="24"/>
        </w:rPr>
        <w:t xml:space="preserve">, otro liderazgo de comando del incidente.</w:t>
      </w:r>
      <w:r>
        <w:rPr>
          <w:rFonts w:ascii="Times New Roman" w:hAnsi="Times New Roman"/>
          <w:color w:val="FF0000"/>
          <w:sz w:val="24"/>
        </w:rPr>
        <w:t xml:space="preserve"> </w:t>
      </w:r>
      <w:r>
        <w:rPr>
          <w:rFonts w:ascii="Times New Roman" w:hAnsi="Times New Roman"/>
          <w:sz w:val="24"/>
        </w:rPr>
        <w:t xml:space="preserve">El comandante del incidente presenta un cambio de nivel de transición para la aprobación del director. El director y el comandante del incidente revisan la presentación dentro de las 24 horas y se documenta en la lista de verificación de transición del EOC. </w:t>
      </w:r>
    </w:p>
    <w:p>
      <w:pPr>
        <w:tabs>
          <w:tab w:val="left" w:pos="1170"/>
        </w:tabs>
        <w:ind w:left="1080"/>
      </w:pPr>
    </w:p>
    <w:p>
      <w:pPr>
        <w:pStyle w:val="Heading2"/>
        <w:tabs>
          <w:tab w:val="left" w:pos="0"/>
          <w:tab w:val="left" w:pos="1440"/>
        </w:tabs>
        <w:rPr>
          <w:rStyle w:val="NewHeading1Char"/>
          <w:b w:val="0"/>
          <w:color w:val="365F91"/>
          <w:u w:val="none"/>
        </w:rPr>
      </w:pPr>
      <w:bookmarkStart w:id="1" w:name="_Toc307317794"/>
      <w:bookmarkStart w:id="2" w:name="_Ref315868476"/>
      <w:bookmarkStart w:id="3" w:name="_Toc323814406"/>
      <w:bookmarkStart w:id="4" w:name="_Toc345934458"/>
      <w:bookmarkStart w:id="5" w:name="_Toc345352724"/>
      <w:bookmarkStart w:id="6" w:name="_Toc317070264"/>
      <w:r>
        <w:rPr>
          <w:rStyle w:val="NewHeading1Char"/>
          <w:b w:val="0"/>
          <w:color w:val="365F91"/>
          <w:u w:val="none"/>
        </w:rPr>
        <w:t xml:space="preserve">Requisitos de información crítica</w:t>
      </w:r>
      <w:bookmarkEnd w:id="1"/>
      <w:bookmarkEnd w:id="2"/>
      <w:r>
        <w:rPr>
          <w:rStyle w:val="NewHeading1Char"/>
          <w:b w:val="0"/>
          <w:color w:val="365F91"/>
          <w:u w:val="none"/>
        </w:rPr>
        <w:t xml:space="preserve"> </w:t>
      </w:r>
      <w:bookmarkEnd w:id="3"/>
      <w:bookmarkEnd w:id="4"/>
      <w:r>
        <w:rPr>
          <w:rStyle w:val="NewHeading1Char"/>
          <w:b w:val="0"/>
          <w:color w:val="365F91"/>
          <w:u w:val="none"/>
        </w:rPr>
        <w:t xml:space="preserve">para notificar a la máxima autoridad</w:t>
      </w:r>
    </w:p>
    <w:p>
      <w:pPr>
        <w:ind w:left="1080"/>
      </w:pPr>
    </w:p>
    <w:p>
      <w:pPr>
        <w:pStyle w:val="BodyCopy"/>
        <w:rPr>
          <w:color w:val="auto"/>
        </w:rPr>
      </w:pPr>
      <w:r>
        <w:rPr>
          <w:color w:val="auto"/>
        </w:rPr>
        <w:t xml:space="preserve">Los requisitos de información crítica (RIC) son los componentes esenciales de la información que el director ha identificado como cruciales para el proceso de toma de decisiones. Los RIC identificados son producto de un análisis cuidadoso y continuo de los requisitos de información del personal del Ministerio. El director agregará, descartará, modificará y actualizará los RIC a medida que el evento progrese. Durante todo el curso de un brote, se identificarán otros RIC para ayudar a enfocar las adjudicaciones de recursos y esfuerzos a medida que el director continúe tomando decisiones.  </w:t>
      </w:r>
    </w:p>
    <w:p>
      <w:pPr>
        <w:pStyle w:val="BodyCopy"/>
        <w:ind w:left="1080"/>
        <w:rPr>
          <w:color w:val="auto"/>
        </w:rPr>
      </w:pPr>
    </w:p>
    <w:p>
      <w:pPr>
        <w:pStyle w:val="BodyCopy"/>
        <w:rPr>
          <w:color w:val="auto"/>
        </w:rPr>
      </w:pPr>
      <w:r>
        <w:rPr>
          <w:color w:val="auto"/>
        </w:rPr>
        <w:t xml:space="preserve">La Sección de Operaciones del comando del incidente es el punto de enfoque de los RIC para las enfermedades infecciosas propensas a ser pandemia y, junto con el comandante del incidente y el personal de apoyo del comando del incidente, es la responsable de mantener el proceso, validar la relevancia actual de los RIC y obtener la aprobación del director de los RIC subsecuentes.</w:t>
      </w:r>
    </w:p>
    <w:p>
      <w:pPr>
        <w:pStyle w:val="BodyCopy"/>
        <w:ind w:left="1080"/>
        <w:rPr>
          <w:color w:val="auto"/>
        </w:rPr>
      </w:pPr>
    </w:p>
    <w:p>
      <w:pPr>
        <w:pStyle w:val="BodyCopy"/>
        <w:rPr>
          <w:color w:val="auto"/>
        </w:rPr>
      </w:pPr>
      <w:r>
        <w:rPr>
          <w:color w:val="auto"/>
        </w:rPr>
        <w:t xml:space="preserve">Los siguientes son RIC de directores previos a un brote o iniciales para un brote en particular:</w:t>
      </w:r>
    </w:p>
    <w:p>
      <w:pPr>
        <w:pStyle w:val="Default"/>
        <w:numPr>
          <w:ilvl w:val="0"/>
          <w:numId w:val="5"/>
        </w:numPr>
        <w:spacing w:line="360" w:lineRule="auto"/>
        <w:ind w:left="1080" w:firstLine="0"/>
        <w:rPr>
          <w:color w:val="auto"/>
        </w:rPr>
      </w:pPr>
      <w:r>
        <w:rPr>
          <w:color w:val="auto"/>
        </w:rPr>
        <w:t xml:space="preserve">Muerte o lesión grave/enfermedad del personal del Ministerio en el campo </w:t>
      </w:r>
    </w:p>
    <w:p>
      <w:pPr>
        <w:pStyle w:val="BodyCopy"/>
        <w:numPr>
          <w:ilvl w:val="0"/>
          <w:numId w:val="5"/>
        </w:numPr>
        <w:tabs>
          <w:tab w:val="left" w:pos="720"/>
        </w:tabs>
        <w:ind w:left="1080" w:firstLine="0"/>
        <w:rPr>
          <w:color w:val="auto"/>
          <w:kern w:val="24"/>
        </w:rPr>
      </w:pPr>
      <w:r>
        <w:rPr>
          <w:color w:val="auto"/>
          <w:kern w:val="24"/>
        </w:rPr>
        <w:t xml:space="preserve">Supuesto caso de una enfermedad previamente erradicada en el país </w:t>
      </w:r>
    </w:p>
    <w:p>
      <w:pPr>
        <w:pStyle w:val="Default"/>
        <w:numPr>
          <w:ilvl w:val="0"/>
          <w:numId w:val="5"/>
        </w:numPr>
        <w:spacing w:line="360" w:lineRule="auto"/>
        <w:ind w:left="1080" w:firstLine="0"/>
        <w:rPr>
          <w:color w:val="auto"/>
        </w:rPr>
      </w:pPr>
      <w:r>
        <w:rPr>
          <w:color w:val="auto"/>
        </w:rPr>
        <w:t xml:space="preserve">Como punto de enfoque nacional de las Reglamentaciones internacionales de salud, cualquier posible PHEIC</w:t>
      </w:r>
    </w:p>
    <w:p>
      <w:pPr>
        <w:pStyle w:val="BodyCopy"/>
        <w:numPr>
          <w:ilvl w:val="0"/>
          <w:numId w:val="5"/>
        </w:numPr>
        <w:tabs>
          <w:tab w:val="left" w:pos="720"/>
        </w:tabs>
        <w:ind w:left="1080" w:firstLine="0"/>
        <w:rPr>
          <w:color w:val="auto"/>
          <w:kern w:val="24"/>
        </w:rPr>
      </w:pPr>
      <w:r>
        <w:rPr>
          <w:color w:val="auto"/>
          <w:kern w:val="24"/>
        </w:rPr>
        <w:t xml:space="preserve">La presencia de una enfermedad inusual en</w:t>
      </w:r>
      <w:r>
        <w:rPr>
          <w:color w:val="auto"/>
        </w:rPr>
        <w:t xml:space="preserve"> cualquier parte del país</w:t>
      </w:r>
    </w:p>
    <w:p>
      <w:pPr>
        <w:spacing w:line="360" w:lineRule="auto"/>
        <w:ind w:left="1080"/>
      </w:pPr>
    </w:p>
    <w:bookmarkEnd w:id="5"/>
    <w:bookmarkEnd w:id="6"/>
    <w:p>
      <w:pPr>
        <w:pStyle w:val="Default"/>
        <w:spacing w:line="360" w:lineRule="auto"/>
        <w:ind w:left="1080"/>
        <w:rPr>
          <w:color w:val="auto"/>
        </w:rPr>
      </w:pPr>
    </w:p>
    <w:p/>
    <w:sectPr>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D57CE"/>
    <w:multiLevelType w:val="hybridMultilevel"/>
    <w:tmpl w:val="753AC958"/>
    <w:lvl w:ilvl="0" w:tplc="D5A22D6C">
      <w:start w:val="1"/>
      <w:numFmt w:val="bullet"/>
      <w:lvlText w:val="•"/>
      <w:lvlJc w:val="left"/>
      <w:pPr>
        <w:tabs>
          <w:tab w:val="num" w:pos="720"/>
        </w:tabs>
        <w:ind w:left="720" w:hanging="360"/>
      </w:pPr>
      <w:rPr>
        <w:rFonts w:ascii="Arial" w:hAnsi="Arial" w:cs="Arial" w:hint="default"/>
      </w:rPr>
    </w:lvl>
    <w:lvl w:ilvl="1" w:tplc="EE34D3F6">
      <w:start w:val="1"/>
      <w:numFmt w:val="bullet"/>
      <w:lvlText w:val="•"/>
      <w:lvlJc w:val="left"/>
      <w:pPr>
        <w:tabs>
          <w:tab w:val="num" w:pos="1440"/>
        </w:tabs>
        <w:ind w:left="1440" w:hanging="360"/>
      </w:pPr>
      <w:rPr>
        <w:rFonts w:ascii="Arial" w:hAnsi="Arial" w:cs="Arial" w:hint="default"/>
      </w:rPr>
    </w:lvl>
    <w:lvl w:ilvl="2" w:tplc="21E48978">
      <w:start w:val="1"/>
      <w:numFmt w:val="bullet"/>
      <w:lvlText w:val="•"/>
      <w:lvlJc w:val="left"/>
      <w:pPr>
        <w:tabs>
          <w:tab w:val="num" w:pos="2160"/>
        </w:tabs>
        <w:ind w:left="2160" w:hanging="360"/>
      </w:pPr>
      <w:rPr>
        <w:rFonts w:ascii="Arial" w:hAnsi="Arial" w:cs="Arial" w:hint="default"/>
      </w:rPr>
    </w:lvl>
    <w:lvl w:ilvl="3" w:tplc="62A863B8">
      <w:start w:val="1"/>
      <w:numFmt w:val="bullet"/>
      <w:lvlText w:val="•"/>
      <w:lvlJc w:val="left"/>
      <w:pPr>
        <w:tabs>
          <w:tab w:val="num" w:pos="2880"/>
        </w:tabs>
        <w:ind w:left="2880" w:hanging="360"/>
      </w:pPr>
      <w:rPr>
        <w:rFonts w:ascii="Arial" w:hAnsi="Arial" w:cs="Arial" w:hint="default"/>
      </w:rPr>
    </w:lvl>
    <w:lvl w:ilvl="4" w:tplc="0EA41350">
      <w:start w:val="1"/>
      <w:numFmt w:val="bullet"/>
      <w:lvlText w:val="•"/>
      <w:lvlJc w:val="left"/>
      <w:pPr>
        <w:tabs>
          <w:tab w:val="num" w:pos="3600"/>
        </w:tabs>
        <w:ind w:left="3600" w:hanging="360"/>
      </w:pPr>
      <w:rPr>
        <w:rFonts w:ascii="Arial" w:hAnsi="Arial" w:cs="Arial" w:hint="default"/>
      </w:rPr>
    </w:lvl>
    <w:lvl w:ilvl="5" w:tplc="40901F34">
      <w:start w:val="1"/>
      <w:numFmt w:val="bullet"/>
      <w:lvlText w:val="•"/>
      <w:lvlJc w:val="left"/>
      <w:pPr>
        <w:tabs>
          <w:tab w:val="num" w:pos="4320"/>
        </w:tabs>
        <w:ind w:left="4320" w:hanging="360"/>
      </w:pPr>
      <w:rPr>
        <w:rFonts w:ascii="Arial" w:hAnsi="Arial" w:cs="Arial" w:hint="default"/>
      </w:rPr>
    </w:lvl>
    <w:lvl w:ilvl="6" w:tplc="742E8DD8">
      <w:start w:val="1"/>
      <w:numFmt w:val="bullet"/>
      <w:lvlText w:val="•"/>
      <w:lvlJc w:val="left"/>
      <w:pPr>
        <w:tabs>
          <w:tab w:val="num" w:pos="5040"/>
        </w:tabs>
        <w:ind w:left="5040" w:hanging="360"/>
      </w:pPr>
      <w:rPr>
        <w:rFonts w:ascii="Arial" w:hAnsi="Arial" w:cs="Arial" w:hint="default"/>
      </w:rPr>
    </w:lvl>
    <w:lvl w:ilvl="7" w:tplc="38A6C76C">
      <w:start w:val="1"/>
      <w:numFmt w:val="bullet"/>
      <w:lvlText w:val="•"/>
      <w:lvlJc w:val="left"/>
      <w:pPr>
        <w:tabs>
          <w:tab w:val="num" w:pos="5760"/>
        </w:tabs>
        <w:ind w:left="5760" w:hanging="360"/>
      </w:pPr>
      <w:rPr>
        <w:rFonts w:ascii="Arial" w:hAnsi="Arial" w:cs="Arial" w:hint="default"/>
      </w:rPr>
    </w:lvl>
    <w:lvl w:ilvl="8" w:tplc="1954EBFE">
      <w:start w:val="1"/>
      <w:numFmt w:val="bullet"/>
      <w:lvlText w:val="•"/>
      <w:lvlJc w:val="left"/>
      <w:pPr>
        <w:tabs>
          <w:tab w:val="num" w:pos="6480"/>
        </w:tabs>
        <w:ind w:left="6480" w:hanging="360"/>
      </w:pPr>
      <w:rPr>
        <w:rFonts w:ascii="Arial" w:hAnsi="Arial" w:cs="Arial" w:hint="default"/>
      </w:rPr>
    </w:lvl>
  </w:abstractNum>
  <w:abstractNum w:abstractNumId="1">
    <w:nsid w:val="2F36693C"/>
    <w:multiLevelType w:val="hybridMultilevel"/>
    <w:tmpl w:val="DB0CE6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5763BC1"/>
    <w:multiLevelType w:val="hybridMultilevel"/>
    <w:tmpl w:val="49C46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ED3FB1"/>
    <w:multiLevelType w:val="hybridMultilevel"/>
    <w:tmpl w:val="470632E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FB1197A"/>
    <w:multiLevelType w:val="hybridMultilevel"/>
    <w:tmpl w:val="3B105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5979A1"/>
    <w:multiLevelType w:val="hybridMultilevel"/>
    <w:tmpl w:val="DAC445AA"/>
    <w:lvl w:ilvl="0" w:tplc="DA883A24">
      <w:start w:val="1"/>
      <w:numFmt w:val="lowerLetter"/>
      <w:lvlText w:val="%1)"/>
      <w:lvlJc w:val="left"/>
      <w:pPr>
        <w:tabs>
          <w:tab w:val="num" w:pos="3780"/>
        </w:tabs>
        <w:ind w:left="3780" w:hanging="360"/>
      </w:pPr>
      <w:rPr>
        <w:rFonts w:cs="Times New Roman"/>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333"/>
    <w:rsid w:val="00122692"/>
    <w:rsid w:val="003D0E1E"/>
    <w:rsid w:val="003F1FC2"/>
    <w:rsid w:val="007C0333"/>
    <w:rsid w:val="008C35D5"/>
    <w:rsid w:val="00B55735"/>
    <w:rsid w:val="00DC57CC"/>
    <w:rsid w:val="00F94348"/>
  </w:rsids>
  <m:mathPr>
    <m:mathFont m:val="Cambria Math"/>
    <m:brkBin m:val="before"/>
    <m:brkBinSub m:val="--"/>
    <m:smallFrac m:val="0"/>
    <m:dispDef/>
    <m:lMargin m:val="0"/>
    <m:rMargin m:val="0"/>
    <m:defJc m:val="centerGroup"/>
    <m:wrapIndent m:val="1440"/>
    <m:intLim m:val="subSup"/>
    <m:naryLim m:val="undOvr"/>
  </m:mathPr>
  <w:themeFontLang w:val="es-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S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33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C033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7C0333"/>
    <w:pPr>
      <w:keepNext/>
      <w:jc w:val="both"/>
      <w:outlineLvl w:val="1"/>
    </w:pPr>
    <w:rPr>
      <w:b/>
      <w:color w:val="00000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C0333"/>
    <w:rPr>
      <w:rFonts w:ascii="Times New Roman" w:eastAsia="Times New Roman" w:hAnsi="Times New Roman" w:cs="Times New Roman"/>
      <w:b/>
      <w:color w:val="000000"/>
      <w:sz w:val="24"/>
      <w:szCs w:val="20"/>
      <w:u w:val="single"/>
    </w:rPr>
  </w:style>
  <w:style w:type="paragraph" w:customStyle="1" w:styleId="NewHeading1">
    <w:name w:val="New Heading 1"/>
    <w:basedOn w:val="Normal"/>
    <w:link w:val="NewHeading1Char"/>
    <w:uiPriority w:val="99"/>
    <w:rsid w:val="007C0333"/>
    <w:pPr>
      <w:spacing w:line="360" w:lineRule="auto"/>
      <w:ind w:left="360"/>
    </w:pPr>
    <w:rPr>
      <w:rFonts w:ascii="Copperplate Gothic Bold" w:hAnsi="Copperplate Gothic Bold"/>
      <w:color w:val="0B3D91"/>
    </w:rPr>
  </w:style>
  <w:style w:type="character" w:customStyle="1" w:styleId="NewHeading1Char">
    <w:name w:val="New Heading 1 Char"/>
    <w:basedOn w:val="DefaultParagraphFont"/>
    <w:link w:val="NewHeading1"/>
    <w:uiPriority w:val="99"/>
    <w:locked/>
    <w:rsid w:val="007C0333"/>
    <w:rPr>
      <w:rFonts w:ascii="Copperplate Gothic Bold" w:eastAsia="Times New Roman" w:hAnsi="Copperplate Gothic Bold" w:cs="Times New Roman"/>
      <w:color w:val="0B3D91"/>
      <w:sz w:val="24"/>
      <w:szCs w:val="24"/>
    </w:rPr>
  </w:style>
  <w:style w:type="paragraph" w:customStyle="1" w:styleId="BodyCopy">
    <w:name w:val="Body Copy"/>
    <w:basedOn w:val="Normal"/>
    <w:link w:val="BodyCopyChar"/>
    <w:rsid w:val="007C0333"/>
    <w:pPr>
      <w:spacing w:line="360" w:lineRule="auto"/>
    </w:pPr>
    <w:rPr>
      <w:color w:val="000000"/>
    </w:rPr>
  </w:style>
  <w:style w:type="character" w:customStyle="1" w:styleId="BodyCopyChar">
    <w:name w:val="Body Copy Char"/>
    <w:basedOn w:val="DefaultParagraphFont"/>
    <w:link w:val="BodyCopy"/>
    <w:locked/>
    <w:rsid w:val="007C0333"/>
    <w:rPr>
      <w:rFonts w:ascii="Times New Roman" w:eastAsia="Times New Roman" w:hAnsi="Times New Roman" w:cs="Times New Roman"/>
      <w:color w:val="000000"/>
      <w:sz w:val="24"/>
      <w:szCs w:val="24"/>
    </w:rPr>
  </w:style>
  <w:style w:type="paragraph" w:customStyle="1" w:styleId="Default">
    <w:name w:val="Default"/>
    <w:link w:val="DefaultChar"/>
    <w:rsid w:val="007C0333"/>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AppHeading1">
    <w:name w:val="App Heading 1"/>
    <w:basedOn w:val="Heading1"/>
    <w:uiPriority w:val="99"/>
    <w:rsid w:val="007C0333"/>
    <w:pPr>
      <w:keepNext w:val="0"/>
      <w:keepLines w:val="0"/>
      <w:spacing w:before="0" w:line="360" w:lineRule="auto"/>
      <w:ind w:left="360" w:hanging="360"/>
    </w:pPr>
    <w:rPr>
      <w:rFonts w:ascii="Copperplate Gothic Bold" w:eastAsia="Times New Roman" w:hAnsi="Copperplate Gothic Bold" w:cs="Times New Roman"/>
      <w:b w:val="0"/>
      <w:bCs w:val="0"/>
      <w:color w:val="0B3D91"/>
      <w:sz w:val="24"/>
      <w:szCs w:val="22"/>
    </w:rPr>
  </w:style>
  <w:style w:type="paragraph" w:styleId="PlainText">
    <w:name w:val="Plain Text"/>
    <w:basedOn w:val="Normal"/>
    <w:link w:val="PlainTextChar"/>
    <w:uiPriority w:val="99"/>
    <w:rsid w:val="007C0333"/>
    <w:rPr>
      <w:rFonts w:ascii="Courier New" w:hAnsi="Courier New" w:cs="Courier New"/>
      <w:sz w:val="20"/>
      <w:szCs w:val="20"/>
    </w:rPr>
  </w:style>
  <w:style w:type="character" w:customStyle="1" w:styleId="PlainTextChar">
    <w:name w:val="Plain Text Char"/>
    <w:basedOn w:val="DefaultParagraphFont"/>
    <w:link w:val="PlainText"/>
    <w:uiPriority w:val="99"/>
    <w:rsid w:val="007C0333"/>
    <w:rPr>
      <w:rFonts w:ascii="Courier New" w:eastAsia="Times New Roman" w:hAnsi="Courier New" w:cs="Courier New"/>
      <w:sz w:val="20"/>
      <w:szCs w:val="20"/>
    </w:rPr>
  </w:style>
  <w:style w:type="paragraph" w:styleId="ListParagraph">
    <w:name w:val="List Paragraph"/>
    <w:basedOn w:val="Normal"/>
    <w:uiPriority w:val="34"/>
    <w:qFormat/>
    <w:rsid w:val="007C0333"/>
    <w:pPr>
      <w:ind w:left="720"/>
      <w:contextualSpacing/>
    </w:pPr>
  </w:style>
  <w:style w:type="character" w:customStyle="1" w:styleId="DefaultChar">
    <w:name w:val="Default Char"/>
    <w:basedOn w:val="DefaultParagraphFont"/>
    <w:link w:val="Default"/>
    <w:rsid w:val="007C0333"/>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uiPriority w:val="9"/>
    <w:rsid w:val="007C033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33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C033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7C0333"/>
    <w:pPr>
      <w:keepNext/>
      <w:jc w:val="both"/>
      <w:outlineLvl w:val="1"/>
    </w:pPr>
    <w:rPr>
      <w:b/>
      <w:color w:val="00000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C0333"/>
    <w:rPr>
      <w:rFonts w:ascii="Times New Roman" w:eastAsia="Times New Roman" w:hAnsi="Times New Roman" w:cs="Times New Roman"/>
      <w:b/>
      <w:color w:val="000000"/>
      <w:sz w:val="24"/>
      <w:szCs w:val="20"/>
      <w:u w:val="single"/>
    </w:rPr>
  </w:style>
  <w:style w:type="paragraph" w:customStyle="1" w:styleId="NewHeading1">
    <w:name w:val="New Heading 1"/>
    <w:basedOn w:val="Normal"/>
    <w:link w:val="NewHeading1Char"/>
    <w:uiPriority w:val="99"/>
    <w:rsid w:val="007C0333"/>
    <w:pPr>
      <w:spacing w:line="360" w:lineRule="auto"/>
      <w:ind w:left="360"/>
    </w:pPr>
    <w:rPr>
      <w:rFonts w:ascii="Copperplate Gothic Bold" w:hAnsi="Copperplate Gothic Bold"/>
      <w:color w:val="0B3D91"/>
    </w:rPr>
  </w:style>
  <w:style w:type="character" w:customStyle="1" w:styleId="NewHeading1Char">
    <w:name w:val="New Heading 1 Char"/>
    <w:basedOn w:val="DefaultParagraphFont"/>
    <w:link w:val="NewHeading1"/>
    <w:uiPriority w:val="99"/>
    <w:locked/>
    <w:rsid w:val="007C0333"/>
    <w:rPr>
      <w:rFonts w:ascii="Copperplate Gothic Bold" w:eastAsia="Times New Roman" w:hAnsi="Copperplate Gothic Bold" w:cs="Times New Roman"/>
      <w:color w:val="0B3D91"/>
      <w:sz w:val="24"/>
      <w:szCs w:val="24"/>
    </w:rPr>
  </w:style>
  <w:style w:type="paragraph" w:customStyle="1" w:styleId="BodyCopy">
    <w:name w:val="Body Copy"/>
    <w:basedOn w:val="Normal"/>
    <w:link w:val="BodyCopyChar"/>
    <w:rsid w:val="007C0333"/>
    <w:pPr>
      <w:spacing w:line="360" w:lineRule="auto"/>
    </w:pPr>
    <w:rPr>
      <w:color w:val="000000"/>
    </w:rPr>
  </w:style>
  <w:style w:type="character" w:customStyle="1" w:styleId="BodyCopyChar">
    <w:name w:val="Body Copy Char"/>
    <w:basedOn w:val="DefaultParagraphFont"/>
    <w:link w:val="BodyCopy"/>
    <w:locked/>
    <w:rsid w:val="007C0333"/>
    <w:rPr>
      <w:rFonts w:ascii="Times New Roman" w:eastAsia="Times New Roman" w:hAnsi="Times New Roman" w:cs="Times New Roman"/>
      <w:color w:val="000000"/>
      <w:sz w:val="24"/>
      <w:szCs w:val="24"/>
    </w:rPr>
  </w:style>
  <w:style w:type="paragraph" w:customStyle="1" w:styleId="Default">
    <w:name w:val="Default"/>
    <w:link w:val="DefaultChar"/>
    <w:rsid w:val="007C0333"/>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AppHeading1">
    <w:name w:val="App Heading 1"/>
    <w:basedOn w:val="Heading1"/>
    <w:uiPriority w:val="99"/>
    <w:rsid w:val="007C0333"/>
    <w:pPr>
      <w:keepNext w:val="0"/>
      <w:keepLines w:val="0"/>
      <w:spacing w:before="0" w:line="360" w:lineRule="auto"/>
      <w:ind w:left="360" w:hanging="360"/>
    </w:pPr>
    <w:rPr>
      <w:rFonts w:ascii="Copperplate Gothic Bold" w:eastAsia="Times New Roman" w:hAnsi="Copperplate Gothic Bold" w:cs="Times New Roman"/>
      <w:b w:val="0"/>
      <w:bCs w:val="0"/>
      <w:color w:val="0B3D91"/>
      <w:sz w:val="24"/>
      <w:szCs w:val="22"/>
    </w:rPr>
  </w:style>
  <w:style w:type="paragraph" w:styleId="PlainText">
    <w:name w:val="Plain Text"/>
    <w:basedOn w:val="Normal"/>
    <w:link w:val="PlainTextChar"/>
    <w:uiPriority w:val="99"/>
    <w:rsid w:val="007C0333"/>
    <w:rPr>
      <w:rFonts w:ascii="Courier New" w:hAnsi="Courier New" w:cs="Courier New"/>
      <w:sz w:val="20"/>
      <w:szCs w:val="20"/>
    </w:rPr>
  </w:style>
  <w:style w:type="character" w:customStyle="1" w:styleId="PlainTextChar">
    <w:name w:val="Plain Text Char"/>
    <w:basedOn w:val="DefaultParagraphFont"/>
    <w:link w:val="PlainText"/>
    <w:uiPriority w:val="99"/>
    <w:rsid w:val="007C0333"/>
    <w:rPr>
      <w:rFonts w:ascii="Courier New" w:eastAsia="Times New Roman" w:hAnsi="Courier New" w:cs="Courier New"/>
      <w:sz w:val="20"/>
      <w:szCs w:val="20"/>
    </w:rPr>
  </w:style>
  <w:style w:type="paragraph" w:styleId="ListParagraph">
    <w:name w:val="List Paragraph"/>
    <w:basedOn w:val="Normal"/>
    <w:uiPriority w:val="34"/>
    <w:qFormat/>
    <w:rsid w:val="007C0333"/>
    <w:pPr>
      <w:ind w:left="720"/>
      <w:contextualSpacing/>
    </w:pPr>
  </w:style>
  <w:style w:type="character" w:customStyle="1" w:styleId="DefaultChar">
    <w:name w:val="Default Char"/>
    <w:basedOn w:val="DefaultParagraphFont"/>
    <w:link w:val="Default"/>
    <w:rsid w:val="007C0333"/>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uiPriority w:val="9"/>
    <w:rsid w:val="007C033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744</Words>
  <Characters>4244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Centers for Disease Control and Prevention</Company>
  <LinksUpToDate>false</LinksUpToDate>
  <CharactersWithSpaces>4979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CDC User</dc:creator>
  <cp:lastModifiedBy>CDC User</cp:lastModifiedBy>
  <cp:revision>2</cp:revision>
  <dcterms:created xsi:type="dcterms:W3CDTF">2014-02-11T13:37:00Z</dcterms:created>
  <dcterms:modified xsi:type="dcterms:W3CDTF">2014-02-11T13:37:00Z</dcterms:modified>
</cp:coreProperties>
</file>