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333" w:rsidRPr="00A83A38" w:rsidRDefault="003F1FC2" w:rsidP="007C0333">
      <w:pPr>
        <w:pStyle w:val="AppHeading1"/>
        <w:jc w:val="both"/>
        <w:rPr>
          <w:rStyle w:val="NewHeading1Char"/>
          <w:caps/>
          <w:color w:val="365F91"/>
        </w:rPr>
      </w:pPr>
      <w:bookmarkStart w:id="0" w:name="_Toc357465975"/>
      <w:r>
        <w:rPr>
          <w:rStyle w:val="NewHeading1Char"/>
          <w:caps/>
          <w:color w:val="365F91"/>
        </w:rPr>
        <w:t>EOC</w:t>
      </w:r>
      <w:r w:rsidR="007C0333" w:rsidRPr="00A83A38">
        <w:rPr>
          <w:rStyle w:val="NewHeading1Char"/>
          <w:caps/>
          <w:color w:val="365F91"/>
        </w:rPr>
        <w:t xml:space="preserve"> Activation and Transition Criteria</w:t>
      </w:r>
      <w:bookmarkEnd w:id="0"/>
    </w:p>
    <w:p w:rsidR="007C0333" w:rsidRPr="00A139DF" w:rsidRDefault="007C0333" w:rsidP="007C0333">
      <w:pPr>
        <w:spacing w:line="360" w:lineRule="auto"/>
      </w:pPr>
      <w:r w:rsidRPr="00C35140">
        <w:t xml:space="preserve">The </w:t>
      </w:r>
      <w:r w:rsidR="003F1FC2">
        <w:t>EOC</w:t>
      </w:r>
      <w:r w:rsidRPr="00C35140">
        <w:t xml:space="preserve"> serves as the centralized facility for coordinating public health </w:t>
      </w:r>
      <w:r>
        <w:t xml:space="preserve">emergency response operations. </w:t>
      </w:r>
      <w:r w:rsidRPr="00C35140">
        <w:t xml:space="preserve">During </w:t>
      </w:r>
      <w:r w:rsidR="003F1FC2">
        <w:t>EOC</w:t>
      </w:r>
      <w:r w:rsidRPr="00C35140">
        <w:t xml:space="preserve"> activation, a daily core structure combined with scientific </w:t>
      </w:r>
      <w:r>
        <w:t>SMEs from various Divisions</w:t>
      </w:r>
      <w:r w:rsidRPr="00C35140">
        <w:t xml:space="preserve"> across </w:t>
      </w:r>
      <w:r w:rsidR="003F1FC2">
        <w:t>the Ministry</w:t>
      </w:r>
      <w:r w:rsidRPr="00C35140">
        <w:t xml:space="preserve"> make up the </w:t>
      </w:r>
      <w:r w:rsidR="003F1FC2">
        <w:t>incident command system</w:t>
      </w:r>
      <w:r>
        <w:t>.</w:t>
      </w:r>
    </w:p>
    <w:p w:rsidR="007C0333" w:rsidRDefault="007C0333" w:rsidP="007C0333">
      <w:pPr>
        <w:pStyle w:val="BodyCopy"/>
        <w:spacing w:line="240" w:lineRule="auto"/>
        <w:ind w:left="1080"/>
        <w:rPr>
          <w:color w:val="auto"/>
          <w:highlight w:val="lightGray"/>
        </w:rPr>
      </w:pPr>
    </w:p>
    <w:p w:rsidR="007C0333" w:rsidRPr="00A139DF" w:rsidRDefault="007C0333" w:rsidP="007C0333">
      <w:pPr>
        <w:pStyle w:val="BodyCopy"/>
        <w:rPr>
          <w:color w:val="auto"/>
        </w:rPr>
      </w:pPr>
      <w:r w:rsidRPr="00A139DF">
        <w:rPr>
          <w:color w:val="auto"/>
        </w:rPr>
        <w:t xml:space="preserve">The Director may activate the </w:t>
      </w:r>
      <w:r w:rsidR="003F1FC2">
        <w:rPr>
          <w:color w:val="auto"/>
        </w:rPr>
        <w:t>EOC</w:t>
      </w:r>
      <w:r w:rsidRPr="00A139DF">
        <w:rPr>
          <w:color w:val="auto"/>
        </w:rPr>
        <w:t xml:space="preserve"> and implement the </w:t>
      </w:r>
      <w:r w:rsidR="003F1FC2">
        <w:rPr>
          <w:color w:val="auto"/>
        </w:rPr>
        <w:t>response p</w:t>
      </w:r>
      <w:r w:rsidRPr="00A139DF">
        <w:rPr>
          <w:color w:val="auto"/>
        </w:rPr>
        <w:t xml:space="preserve">lan to support an agency response to an infectious disease outbreak based upon the situation analysis and recommendation of the </w:t>
      </w:r>
      <w:r w:rsidR="003F1FC2">
        <w:rPr>
          <w:color w:val="auto"/>
        </w:rPr>
        <w:t>division heads</w:t>
      </w:r>
      <w:r>
        <w:rPr>
          <w:color w:val="auto"/>
        </w:rPr>
        <w:t xml:space="preserve"> for the specific outbreak. </w:t>
      </w:r>
      <w:r w:rsidRPr="00A139DF">
        <w:rPr>
          <w:color w:val="auto"/>
        </w:rPr>
        <w:t xml:space="preserve">Once activated, the </w:t>
      </w:r>
      <w:r w:rsidR="003F1FC2">
        <w:rPr>
          <w:color w:val="auto"/>
        </w:rPr>
        <w:t>EOC</w:t>
      </w:r>
      <w:r w:rsidRPr="00A139DF">
        <w:rPr>
          <w:color w:val="auto"/>
        </w:rPr>
        <w:t xml:space="preserve"> will use</w:t>
      </w:r>
      <w:r>
        <w:rPr>
          <w:color w:val="auto"/>
        </w:rPr>
        <w:t xml:space="preserve"> </w:t>
      </w:r>
      <w:r w:rsidR="003F1FC2">
        <w:rPr>
          <w:color w:val="auto"/>
        </w:rPr>
        <w:t>the incident command system</w:t>
      </w:r>
      <w:r w:rsidRPr="00A139DF">
        <w:rPr>
          <w:color w:val="auto"/>
        </w:rPr>
        <w:t xml:space="preserve"> to organize the management and coordination of public health activities during an infectious disease </w:t>
      </w:r>
      <w:r>
        <w:rPr>
          <w:color w:val="auto"/>
        </w:rPr>
        <w:t xml:space="preserve">outbreak response. </w:t>
      </w:r>
      <w:r w:rsidRPr="00A139DF">
        <w:rPr>
          <w:color w:val="auto"/>
        </w:rPr>
        <w:t xml:space="preserve">The </w:t>
      </w:r>
      <w:r w:rsidR="003F1FC2">
        <w:rPr>
          <w:color w:val="auto"/>
        </w:rPr>
        <w:t>incident commander i</w:t>
      </w:r>
      <w:r w:rsidRPr="00A139DF">
        <w:rPr>
          <w:color w:val="auto"/>
        </w:rPr>
        <w:t>s responsible for ensuring that response activities are coordinated across the agency and with stakeholders</w:t>
      </w:r>
      <w:r>
        <w:rPr>
          <w:color w:val="auto"/>
        </w:rPr>
        <w:t xml:space="preserve"> including </w:t>
      </w:r>
      <w:r w:rsidR="003F1FC2">
        <w:rPr>
          <w:color w:val="auto"/>
        </w:rPr>
        <w:t>all regional, district, and/or provincial health departments</w:t>
      </w:r>
      <w:r w:rsidRPr="00A139DF">
        <w:rPr>
          <w:color w:val="auto"/>
        </w:rPr>
        <w:t xml:space="preserve">. </w:t>
      </w:r>
    </w:p>
    <w:p w:rsidR="007C0333" w:rsidRPr="00414D8E" w:rsidRDefault="007C0333" w:rsidP="007C0333">
      <w:pPr>
        <w:autoSpaceDE w:val="0"/>
        <w:autoSpaceDN w:val="0"/>
        <w:rPr>
          <w:highlight w:val="lightGray"/>
        </w:rPr>
      </w:pPr>
    </w:p>
    <w:p w:rsidR="007C0333" w:rsidRDefault="007C0333" w:rsidP="007C0333">
      <w:pPr>
        <w:autoSpaceDE w:val="0"/>
        <w:autoSpaceDN w:val="0"/>
        <w:spacing w:line="360" w:lineRule="auto"/>
        <w:rPr>
          <w:b/>
        </w:rPr>
      </w:pPr>
      <w:r>
        <w:rPr>
          <w:b/>
        </w:rPr>
        <w:t xml:space="preserve">Activation Process and Sequence </w:t>
      </w:r>
    </w:p>
    <w:p w:rsidR="007C0333" w:rsidRDefault="003F1FC2" w:rsidP="007C0333">
      <w:pPr>
        <w:autoSpaceDE w:val="0"/>
        <w:autoSpaceDN w:val="0"/>
        <w:spacing w:line="360" w:lineRule="auto"/>
      </w:pPr>
      <w:r>
        <w:t>EOC</w:t>
      </w:r>
      <w:r w:rsidR="007C0333">
        <w:t xml:space="preserve"> activation for a public health emergency can occur based upon the directions from Director, </w:t>
      </w:r>
      <w:r>
        <w:t>Ministry of Health</w:t>
      </w:r>
      <w:r w:rsidR="007C0333">
        <w:t xml:space="preserve">. </w:t>
      </w:r>
    </w:p>
    <w:p w:rsidR="007C0333" w:rsidRPr="00A139DF" w:rsidRDefault="007C0333" w:rsidP="007C0333">
      <w:pPr>
        <w:autoSpaceDE w:val="0"/>
        <w:autoSpaceDN w:val="0"/>
        <w:spacing w:line="360" w:lineRule="auto"/>
      </w:pPr>
      <w:r>
        <w:t xml:space="preserve">The Director, </w:t>
      </w:r>
      <w:r w:rsidR="003F1FC2">
        <w:t>Ministry of Health</w:t>
      </w:r>
      <w:r>
        <w:t xml:space="preserve"> will determine whether there will be </w:t>
      </w:r>
      <w:r w:rsidR="003F1FC2">
        <w:t>EOC</w:t>
      </w:r>
      <w:r>
        <w:t xml:space="preserve"> activation. Triggering events include: </w:t>
      </w:r>
    </w:p>
    <w:p w:rsidR="007C0333" w:rsidRPr="00A139DF" w:rsidRDefault="007C0333" w:rsidP="007C0333">
      <w:pPr>
        <w:pStyle w:val="ListParagraph"/>
        <w:numPr>
          <w:ilvl w:val="0"/>
          <w:numId w:val="6"/>
        </w:numPr>
        <w:autoSpaceDE w:val="0"/>
        <w:autoSpaceDN w:val="0"/>
        <w:spacing w:line="360" w:lineRule="auto"/>
        <w:ind w:left="1080" w:firstLine="0"/>
      </w:pPr>
      <w:r>
        <w:t xml:space="preserve">Epidemic Prone </w:t>
      </w:r>
      <w:r w:rsidRPr="00A139DF">
        <w:t xml:space="preserve">Infectious Disease Outbreak </w:t>
      </w:r>
    </w:p>
    <w:p w:rsidR="007C0333" w:rsidRPr="00A139DF" w:rsidRDefault="007C0333" w:rsidP="007C0333">
      <w:pPr>
        <w:pStyle w:val="ListParagraph"/>
        <w:numPr>
          <w:ilvl w:val="0"/>
          <w:numId w:val="6"/>
        </w:numPr>
        <w:autoSpaceDE w:val="0"/>
        <w:autoSpaceDN w:val="0"/>
        <w:spacing w:line="360" w:lineRule="auto"/>
        <w:ind w:left="1080" w:firstLine="0"/>
      </w:pPr>
      <w:r>
        <w:t>Multi-Division</w:t>
      </w:r>
      <w:r w:rsidRPr="00A139DF">
        <w:t xml:space="preserve"> involvement</w:t>
      </w:r>
    </w:p>
    <w:p w:rsidR="007C0333" w:rsidRPr="00A139DF" w:rsidRDefault="007C0333" w:rsidP="007C0333">
      <w:pPr>
        <w:pStyle w:val="ListParagraph"/>
        <w:numPr>
          <w:ilvl w:val="0"/>
          <w:numId w:val="6"/>
        </w:numPr>
        <w:autoSpaceDE w:val="0"/>
        <w:autoSpaceDN w:val="0"/>
        <w:spacing w:line="360" w:lineRule="auto"/>
        <w:ind w:left="1080" w:firstLine="0"/>
      </w:pPr>
      <w:r w:rsidRPr="00A139DF">
        <w:t xml:space="preserve">Overwhelms the capacity of the </w:t>
      </w:r>
      <w:r w:rsidR="003F1FC2">
        <w:t>an o</w:t>
      </w:r>
      <w:r w:rsidRPr="00A139DF">
        <w:t xml:space="preserve">utbreak </w:t>
      </w:r>
      <w:r w:rsidR="003F1FC2">
        <w:t>m</w:t>
      </w:r>
      <w:r w:rsidRPr="00A139DF">
        <w:t xml:space="preserve">onitoring </w:t>
      </w:r>
      <w:r w:rsidR="003F1FC2">
        <w:t>c</w:t>
      </w:r>
      <w:r w:rsidRPr="00A139DF">
        <w:t>ell</w:t>
      </w:r>
    </w:p>
    <w:p w:rsidR="007C0333" w:rsidRPr="00A139DF" w:rsidRDefault="007C0333" w:rsidP="007C03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1080" w:firstLine="0"/>
        <w:rPr>
          <w:rFonts w:eastAsia="SimSun"/>
          <w:b/>
          <w:bCs/>
        </w:rPr>
      </w:pPr>
      <w:r w:rsidRPr="00A139DF">
        <w:t xml:space="preserve">An outbreak involving multiple </w:t>
      </w:r>
      <w:r w:rsidR="003F1FC2">
        <w:t>regions, districts, or provinces</w:t>
      </w:r>
    </w:p>
    <w:p w:rsidR="007C0333" w:rsidRPr="00A139DF" w:rsidRDefault="007C0333" w:rsidP="007C03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1080" w:firstLine="0"/>
        <w:rPr>
          <w:rFonts w:eastAsia="SimSun"/>
          <w:b/>
          <w:bCs/>
        </w:rPr>
      </w:pPr>
      <w:r>
        <w:t xml:space="preserve">Request from </w:t>
      </w:r>
      <w:r w:rsidR="003F1FC2">
        <w:t>the Minister</w:t>
      </w:r>
    </w:p>
    <w:p w:rsidR="007C0333" w:rsidRPr="00A139DF" w:rsidRDefault="003F1FC2" w:rsidP="007C03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1080" w:firstLine="0"/>
        <w:rPr>
          <w:rFonts w:eastAsia="SimSun"/>
          <w:b/>
          <w:bCs/>
        </w:rPr>
      </w:pPr>
      <w:r>
        <w:t>Potential public health emergency of international concern</w:t>
      </w:r>
      <w:r w:rsidR="008C35D5">
        <w:t xml:space="preserve"> (PHEIC)</w:t>
      </w:r>
    </w:p>
    <w:p w:rsidR="007C0333" w:rsidRDefault="007C0333" w:rsidP="007C0333">
      <w:pPr>
        <w:autoSpaceDE w:val="0"/>
        <w:autoSpaceDN w:val="0"/>
        <w:adjustRightInd w:val="0"/>
        <w:ind w:left="1080"/>
        <w:rPr>
          <w:rFonts w:eastAsia="SimSun"/>
          <w:b/>
          <w:bCs/>
        </w:rPr>
      </w:pPr>
    </w:p>
    <w:p w:rsidR="007C0333" w:rsidRPr="00B42538" w:rsidRDefault="007C0333" w:rsidP="007C0333">
      <w:pPr>
        <w:spacing w:line="360" w:lineRule="auto"/>
        <w:rPr>
          <w:color w:val="0070C0"/>
        </w:rPr>
      </w:pPr>
      <w:r w:rsidRPr="00B42538">
        <w:t xml:space="preserve">The </w:t>
      </w:r>
      <w:proofErr w:type="gramStart"/>
      <w:r w:rsidRPr="00B42538">
        <w:t>Director,</w:t>
      </w:r>
      <w:proofErr w:type="gramEnd"/>
      <w:r w:rsidRPr="00B42538">
        <w:t xml:space="preserve"> or IC will determine when sufficient progress has been made in restoring minimal functionality to affected areas(s) and when the life-sustaining critical infrastructures are able to support reentry and repopulation. The Director, in</w:t>
      </w:r>
      <w:r w:rsidR="003F1FC2">
        <w:t xml:space="preserve"> consultation with division</w:t>
      </w:r>
      <w:r w:rsidRPr="00B42538">
        <w:t>s will then recommend demobilization and response/recovery transition</w:t>
      </w:r>
      <w:r w:rsidRPr="00B42538">
        <w:rPr>
          <w:color w:val="0070C0"/>
        </w:rPr>
        <w:t xml:space="preserve">. </w:t>
      </w:r>
    </w:p>
    <w:p w:rsidR="007C0333" w:rsidRPr="00A139DF" w:rsidRDefault="007C0333" w:rsidP="007C0333">
      <w:pPr>
        <w:spacing w:line="360" w:lineRule="auto"/>
        <w:ind w:left="1080"/>
      </w:pPr>
    </w:p>
    <w:p w:rsidR="007C0333" w:rsidRDefault="007C0333" w:rsidP="007C0333">
      <w:pPr>
        <w:pStyle w:val="PlainText"/>
        <w:ind w:left="1080"/>
        <w:rPr>
          <w:rFonts w:ascii="Times New Roman" w:hAnsi="Times New Roman"/>
          <w:sz w:val="24"/>
          <w:szCs w:val="24"/>
        </w:rPr>
      </w:pPr>
    </w:p>
    <w:p w:rsidR="007C0333" w:rsidRPr="00A139DF" w:rsidRDefault="007C0333" w:rsidP="007C0333">
      <w:pPr>
        <w:pStyle w:val="PlainText"/>
        <w:spacing w:line="360" w:lineRule="auto"/>
        <w:rPr>
          <w:rFonts w:ascii="Times New Roman" w:hAnsi="Times New Roman"/>
          <w:b/>
          <w:sz w:val="24"/>
          <w:szCs w:val="24"/>
        </w:rPr>
      </w:pPr>
      <w:r w:rsidRPr="00A139DF">
        <w:rPr>
          <w:rFonts w:ascii="Times New Roman" w:hAnsi="Times New Roman"/>
          <w:b/>
          <w:sz w:val="24"/>
          <w:szCs w:val="24"/>
        </w:rPr>
        <w:t>Transition Triggers</w:t>
      </w:r>
    </w:p>
    <w:p w:rsidR="007C0333" w:rsidRDefault="007C0333" w:rsidP="007C0333">
      <w:pPr>
        <w:pStyle w:val="PlainText"/>
        <w:tabs>
          <w:tab w:val="left" w:pos="216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The level of effort required during </w:t>
      </w:r>
      <w:r w:rsidR="003F1FC2">
        <w:rPr>
          <w:rFonts w:ascii="Times New Roman" w:hAnsi="Times New Roman"/>
          <w:sz w:val="24"/>
          <w:szCs w:val="24"/>
        </w:rPr>
        <w:t>EOC</w:t>
      </w:r>
      <w:r>
        <w:rPr>
          <w:rFonts w:ascii="Times New Roman" w:hAnsi="Times New Roman"/>
          <w:sz w:val="24"/>
          <w:szCs w:val="24"/>
        </w:rPr>
        <w:t xml:space="preserve"> Response Mode will change over the course of time, resulting in either a return of response activities to </w:t>
      </w:r>
      <w:proofErr w:type="spellStart"/>
      <w:r>
        <w:rPr>
          <w:rFonts w:ascii="Times New Roman" w:hAnsi="Times New Roman"/>
          <w:sz w:val="24"/>
          <w:szCs w:val="24"/>
        </w:rPr>
        <w:t>programme</w:t>
      </w:r>
      <w:proofErr w:type="spellEnd"/>
      <w:r>
        <w:rPr>
          <w:rFonts w:ascii="Times New Roman" w:hAnsi="Times New Roman"/>
          <w:sz w:val="24"/>
          <w:szCs w:val="24"/>
        </w:rPr>
        <w:t xml:space="preserve"> management (and </w:t>
      </w:r>
      <w:r w:rsidR="003F1FC2">
        <w:rPr>
          <w:rFonts w:ascii="Times New Roman" w:hAnsi="Times New Roman"/>
          <w:sz w:val="24"/>
          <w:szCs w:val="24"/>
        </w:rPr>
        <w:t>EOC</w:t>
      </w:r>
      <w:r>
        <w:rPr>
          <w:rFonts w:ascii="Times New Roman" w:hAnsi="Times New Roman"/>
          <w:sz w:val="24"/>
          <w:szCs w:val="24"/>
        </w:rPr>
        <w:t xml:space="preserve"> deactivation), or a change in activation levels.</w:t>
      </w:r>
    </w:p>
    <w:p w:rsidR="007C0333" w:rsidRDefault="007C0333" w:rsidP="007C0333">
      <w:pPr>
        <w:pStyle w:val="PlainText"/>
        <w:tabs>
          <w:tab w:val="left" w:pos="2160"/>
        </w:tabs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7C0333" w:rsidRDefault="003F1FC2" w:rsidP="007C0333">
      <w:pPr>
        <w:pStyle w:val="PlainText"/>
        <w:tabs>
          <w:tab w:val="left" w:pos="216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EOC</w:t>
      </w:r>
      <w:r w:rsidR="007C0333">
        <w:rPr>
          <w:rFonts w:ascii="Times New Roman" w:hAnsi="Times New Roman"/>
          <w:sz w:val="24"/>
          <w:szCs w:val="24"/>
        </w:rPr>
        <w:t xml:space="preserve"> activation levels are designated based upon a level of effort, and not strictly by the total number of personnel involved in the response.  The key distinctions in activation level designations are:</w:t>
      </w:r>
    </w:p>
    <w:p w:rsidR="007C0333" w:rsidRDefault="007C0333" w:rsidP="007C0333">
      <w:pPr>
        <w:pStyle w:val="PlainText"/>
        <w:tabs>
          <w:tab w:val="left" w:pos="216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7C0333" w:rsidRPr="00A139DF" w:rsidRDefault="007C0333" w:rsidP="007C0333">
      <w:pPr>
        <w:pStyle w:val="ListParagraph"/>
        <w:numPr>
          <w:ilvl w:val="0"/>
          <w:numId w:val="6"/>
        </w:numPr>
        <w:autoSpaceDE w:val="0"/>
        <w:autoSpaceDN w:val="0"/>
        <w:spacing w:line="360" w:lineRule="auto"/>
        <w:ind w:left="1080" w:firstLine="0"/>
      </w:pPr>
      <w:r w:rsidRPr="00D818C6">
        <w:t xml:space="preserve">Level I – </w:t>
      </w:r>
      <w:r>
        <w:t>The lowest level of activation. T</w:t>
      </w:r>
      <w:r w:rsidRPr="00D818C6">
        <w:t xml:space="preserve">his level is triggered by default unless a higher level is specified during the </w:t>
      </w:r>
      <w:r w:rsidR="003F1FC2">
        <w:t>EOC</w:t>
      </w:r>
      <w:r w:rsidRPr="00D818C6">
        <w:t xml:space="preserve"> activation process. </w:t>
      </w:r>
      <w:r w:rsidRPr="0064643B">
        <w:t xml:space="preserve">Activation of resources outside a single division </w:t>
      </w:r>
      <w:r w:rsidR="003F1FC2">
        <w:t>d</w:t>
      </w:r>
      <w:r w:rsidRPr="0064643B">
        <w:t>ue to exhaustion with a need for additional support.</w:t>
      </w:r>
      <w:r>
        <w:t xml:space="preserve"> Additionally, activation o</w:t>
      </w:r>
      <w:r w:rsidR="00F94348">
        <w:t>ccurs when the capacity of the outbreak m</w:t>
      </w:r>
      <w:r>
        <w:t>onitorin</w:t>
      </w:r>
      <w:r w:rsidR="00F94348">
        <w:t>g c</w:t>
      </w:r>
      <w:r>
        <w:t xml:space="preserve">ell is overwhelmed. Activation at this level is eight hours a day for seven days. </w:t>
      </w:r>
    </w:p>
    <w:p w:rsidR="007C0333" w:rsidRPr="00D818C6" w:rsidRDefault="007C0333" w:rsidP="007C0333">
      <w:pPr>
        <w:pStyle w:val="Default"/>
        <w:numPr>
          <w:ilvl w:val="0"/>
          <w:numId w:val="1"/>
        </w:numPr>
        <w:tabs>
          <w:tab w:val="clear" w:pos="3780"/>
          <w:tab w:val="left" w:pos="900"/>
          <w:tab w:val="left" w:pos="1080"/>
          <w:tab w:val="left" w:pos="1170"/>
        </w:tabs>
        <w:adjustRightInd/>
        <w:spacing w:line="360" w:lineRule="auto"/>
        <w:ind w:left="1080" w:firstLine="0"/>
        <w:rPr>
          <w:color w:val="auto"/>
        </w:rPr>
      </w:pPr>
      <w:r w:rsidRPr="00D818C6">
        <w:rPr>
          <w:color w:val="auto"/>
        </w:rPr>
        <w:t xml:space="preserve">Level II – This level of activation requires significant augmentation of core </w:t>
      </w:r>
      <w:proofErr w:type="spellStart"/>
      <w:r w:rsidRPr="00D818C6">
        <w:rPr>
          <w:color w:val="auto"/>
        </w:rPr>
        <w:t>program</w:t>
      </w:r>
      <w:r>
        <w:rPr>
          <w:color w:val="auto"/>
        </w:rPr>
        <w:t>me</w:t>
      </w:r>
      <w:proofErr w:type="spellEnd"/>
      <w:r w:rsidRPr="00D818C6">
        <w:rPr>
          <w:color w:val="auto"/>
        </w:rPr>
        <w:t xml:space="preserve"> staff by the lead technical division/department</w:t>
      </w:r>
      <w:r w:rsidRPr="00D818C6">
        <w:rPr>
          <w:color w:val="FF0000"/>
        </w:rPr>
        <w:t xml:space="preserve"> </w:t>
      </w:r>
      <w:r w:rsidRPr="00D818C6">
        <w:rPr>
          <w:color w:val="auto"/>
        </w:rPr>
        <w:t xml:space="preserve">to meet the technical needs of the response, and/or significant augmentation of staff to provide supporting </w:t>
      </w:r>
      <w:r w:rsidR="00F94348">
        <w:rPr>
          <w:color w:val="auto"/>
        </w:rPr>
        <w:t>incident command system</w:t>
      </w:r>
      <w:r w:rsidRPr="00D818C6">
        <w:rPr>
          <w:color w:val="auto"/>
        </w:rPr>
        <w:t xml:space="preserve"> services. </w:t>
      </w:r>
      <w:r>
        <w:rPr>
          <w:color w:val="auto"/>
        </w:rPr>
        <w:t xml:space="preserve">When the involvement of more than one division of </w:t>
      </w:r>
      <w:r w:rsidR="00F94348">
        <w:rPr>
          <w:color w:val="auto"/>
        </w:rPr>
        <w:t>the Ministry</w:t>
      </w:r>
      <w:r>
        <w:rPr>
          <w:color w:val="auto"/>
        </w:rPr>
        <w:t xml:space="preserve"> or an external stakeholder is required. Activation at level two is 14 </w:t>
      </w:r>
      <w:r w:rsidRPr="00D818C6">
        <w:rPr>
          <w:color w:val="auto"/>
        </w:rPr>
        <w:t>hours</w:t>
      </w:r>
      <w:r>
        <w:rPr>
          <w:color w:val="auto"/>
        </w:rPr>
        <w:t xml:space="preserve"> per day for seven days (i.e. 8 am to 10 pm).</w:t>
      </w:r>
    </w:p>
    <w:p w:rsidR="007C0333" w:rsidRDefault="007C0333" w:rsidP="007C0333">
      <w:pPr>
        <w:pStyle w:val="Default"/>
        <w:numPr>
          <w:ilvl w:val="0"/>
          <w:numId w:val="1"/>
        </w:numPr>
        <w:tabs>
          <w:tab w:val="clear" w:pos="3780"/>
          <w:tab w:val="left" w:pos="900"/>
          <w:tab w:val="left" w:pos="1260"/>
        </w:tabs>
        <w:adjustRightInd/>
        <w:spacing w:line="360" w:lineRule="auto"/>
        <w:ind w:left="1080" w:firstLine="0"/>
        <w:rPr>
          <w:color w:val="auto"/>
        </w:rPr>
      </w:pPr>
      <w:r w:rsidRPr="00D818C6">
        <w:rPr>
          <w:color w:val="auto"/>
        </w:rPr>
        <w:t>Level III – The highest level of activation, this level is reserved f</w:t>
      </w:r>
      <w:r>
        <w:rPr>
          <w:color w:val="auto"/>
        </w:rPr>
        <w:t xml:space="preserve">or the largest scale responses </w:t>
      </w:r>
      <w:r w:rsidRPr="00D818C6">
        <w:rPr>
          <w:color w:val="auto"/>
        </w:rPr>
        <w:t xml:space="preserve">which require an agency-wide 24/7 effort. </w:t>
      </w:r>
    </w:p>
    <w:p w:rsidR="007C0333" w:rsidRDefault="007C0333" w:rsidP="007C0333">
      <w:pPr>
        <w:pStyle w:val="Default"/>
        <w:tabs>
          <w:tab w:val="left" w:pos="900"/>
          <w:tab w:val="left" w:pos="1260"/>
        </w:tabs>
        <w:adjustRightInd/>
        <w:spacing w:line="360" w:lineRule="auto"/>
        <w:ind w:left="1080"/>
        <w:rPr>
          <w:color w:val="auto"/>
        </w:rPr>
      </w:pPr>
    </w:p>
    <w:p w:rsidR="007C0333" w:rsidRPr="0064643B" w:rsidRDefault="007C0333" w:rsidP="007C0333">
      <w:pPr>
        <w:pStyle w:val="PlainText"/>
        <w:tabs>
          <w:tab w:val="left" w:pos="234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Transition from one </w:t>
      </w:r>
      <w:r w:rsidR="003F1FC2">
        <w:rPr>
          <w:rFonts w:ascii="Times New Roman" w:hAnsi="Times New Roman"/>
          <w:sz w:val="24"/>
          <w:szCs w:val="24"/>
        </w:rPr>
        <w:t>EOC</w:t>
      </w:r>
      <w:r>
        <w:rPr>
          <w:rFonts w:ascii="Times New Roman" w:hAnsi="Times New Roman"/>
          <w:sz w:val="24"/>
          <w:szCs w:val="24"/>
        </w:rPr>
        <w:t xml:space="preserve"> activation level to another is determined by the </w:t>
      </w:r>
      <w:r w:rsidR="00F94348">
        <w:rPr>
          <w:rFonts w:ascii="Times New Roman" w:hAnsi="Times New Roman"/>
          <w:sz w:val="24"/>
          <w:szCs w:val="24"/>
        </w:rPr>
        <w:t>incident commander</w:t>
      </w:r>
      <w:r>
        <w:rPr>
          <w:rFonts w:ascii="Times New Roman" w:hAnsi="Times New Roman"/>
          <w:sz w:val="24"/>
          <w:szCs w:val="24"/>
        </w:rPr>
        <w:t xml:space="preserve"> in consultation with lead </w:t>
      </w:r>
      <w:r w:rsidRPr="00B16A16">
        <w:rPr>
          <w:rFonts w:ascii="Times New Roman" w:hAnsi="Times New Roman"/>
          <w:sz w:val="24"/>
          <w:szCs w:val="24"/>
        </w:rPr>
        <w:t>technical division</w:t>
      </w:r>
      <w:r w:rsidRPr="006F45DE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leadership, other </w:t>
      </w:r>
      <w:r w:rsidR="00F94348">
        <w:rPr>
          <w:rFonts w:ascii="Times New Roman" w:hAnsi="Times New Roman"/>
          <w:sz w:val="24"/>
          <w:szCs w:val="24"/>
        </w:rPr>
        <w:t>incident command</w:t>
      </w:r>
      <w:r>
        <w:rPr>
          <w:rFonts w:ascii="Times New Roman" w:hAnsi="Times New Roman"/>
          <w:sz w:val="24"/>
          <w:szCs w:val="24"/>
        </w:rPr>
        <w:t xml:space="preserve"> leadership.</w:t>
      </w:r>
      <w:r w:rsidR="00F9434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F94348" w:rsidRPr="00F94348">
        <w:rPr>
          <w:rFonts w:ascii="Times New Roman" w:hAnsi="Times New Roman"/>
          <w:sz w:val="24"/>
          <w:szCs w:val="24"/>
        </w:rPr>
        <w:t>The incident commander</w:t>
      </w:r>
      <w:r w:rsidRPr="00F94348">
        <w:rPr>
          <w:rFonts w:ascii="Times New Roman" w:hAnsi="Times New Roman"/>
          <w:sz w:val="24"/>
          <w:szCs w:val="24"/>
        </w:rPr>
        <w:t xml:space="preserve"> </w:t>
      </w:r>
      <w:r w:rsidRPr="0064643B">
        <w:rPr>
          <w:rFonts w:ascii="Times New Roman" w:hAnsi="Times New Roman"/>
          <w:sz w:val="24"/>
          <w:szCs w:val="24"/>
        </w:rPr>
        <w:t xml:space="preserve">puts up a file for a change in transition levels for the approval of the Director. </w:t>
      </w:r>
      <w:r w:rsidR="00F94348">
        <w:rPr>
          <w:rFonts w:ascii="Times New Roman" w:hAnsi="Times New Roman"/>
          <w:sz w:val="24"/>
          <w:szCs w:val="24"/>
        </w:rPr>
        <w:t xml:space="preserve">The </w:t>
      </w:r>
      <w:r w:rsidRPr="0064643B">
        <w:rPr>
          <w:rFonts w:ascii="Times New Roman" w:hAnsi="Times New Roman"/>
          <w:sz w:val="24"/>
          <w:szCs w:val="24"/>
        </w:rPr>
        <w:t xml:space="preserve">Director and </w:t>
      </w:r>
      <w:r w:rsidR="00F94348">
        <w:rPr>
          <w:rFonts w:ascii="Times New Roman" w:hAnsi="Times New Roman"/>
          <w:sz w:val="24"/>
          <w:szCs w:val="24"/>
        </w:rPr>
        <w:t>the incident commander</w:t>
      </w:r>
      <w:r w:rsidRPr="0064643B">
        <w:rPr>
          <w:rFonts w:ascii="Times New Roman" w:hAnsi="Times New Roman"/>
          <w:sz w:val="24"/>
          <w:szCs w:val="24"/>
        </w:rPr>
        <w:t xml:space="preserve"> review file within 24 hours of the file submission and is documented in the </w:t>
      </w:r>
      <w:r w:rsidR="003F1FC2">
        <w:rPr>
          <w:rFonts w:ascii="Times New Roman" w:hAnsi="Times New Roman"/>
          <w:sz w:val="24"/>
          <w:szCs w:val="24"/>
        </w:rPr>
        <w:t>EOC</w:t>
      </w:r>
      <w:r w:rsidRPr="0064643B">
        <w:rPr>
          <w:rFonts w:ascii="Times New Roman" w:hAnsi="Times New Roman"/>
          <w:sz w:val="24"/>
          <w:szCs w:val="24"/>
        </w:rPr>
        <w:t xml:space="preserve"> transition check list. </w:t>
      </w:r>
    </w:p>
    <w:p w:rsidR="007C0333" w:rsidRDefault="007C0333" w:rsidP="007C0333">
      <w:pPr>
        <w:tabs>
          <w:tab w:val="left" w:pos="1170"/>
        </w:tabs>
        <w:ind w:left="1080"/>
      </w:pPr>
    </w:p>
    <w:p w:rsidR="007C0333" w:rsidRDefault="007C0333" w:rsidP="007C0333">
      <w:pPr>
        <w:pStyle w:val="Heading2"/>
        <w:tabs>
          <w:tab w:val="left" w:pos="0"/>
          <w:tab w:val="left" w:pos="1440"/>
        </w:tabs>
        <w:rPr>
          <w:rStyle w:val="NewHeading1Char"/>
          <w:b w:val="0"/>
          <w:color w:val="365F91"/>
          <w:u w:val="none"/>
        </w:rPr>
      </w:pPr>
      <w:bookmarkStart w:id="1" w:name="_Toc307317794"/>
      <w:bookmarkStart w:id="2" w:name="_Ref315868476"/>
      <w:bookmarkStart w:id="3" w:name="_Toc323814406"/>
      <w:bookmarkStart w:id="4" w:name="_Toc345934458"/>
      <w:bookmarkStart w:id="5" w:name="_Toc345352724"/>
      <w:bookmarkStart w:id="6" w:name="_Toc317070264"/>
      <w:r w:rsidRPr="0034555C">
        <w:rPr>
          <w:rStyle w:val="NewHeading1Char"/>
          <w:b w:val="0"/>
          <w:color w:val="365F91"/>
          <w:u w:val="none"/>
        </w:rPr>
        <w:t>Critical Information Requirements</w:t>
      </w:r>
      <w:bookmarkEnd w:id="1"/>
      <w:bookmarkEnd w:id="2"/>
      <w:r w:rsidRPr="0034555C">
        <w:rPr>
          <w:rStyle w:val="NewHeading1Char"/>
          <w:b w:val="0"/>
          <w:color w:val="365F91"/>
          <w:u w:val="none"/>
        </w:rPr>
        <w:t xml:space="preserve"> </w:t>
      </w:r>
      <w:bookmarkEnd w:id="3"/>
      <w:bookmarkEnd w:id="4"/>
      <w:r w:rsidRPr="0034555C">
        <w:rPr>
          <w:rStyle w:val="NewHeading1Char"/>
          <w:b w:val="0"/>
          <w:color w:val="365F91"/>
          <w:u w:val="none"/>
        </w:rPr>
        <w:t>to be notified to the Highest Authority</w:t>
      </w:r>
    </w:p>
    <w:p w:rsidR="007C0333" w:rsidRPr="00657E93" w:rsidRDefault="007C0333" w:rsidP="007C0333">
      <w:pPr>
        <w:ind w:left="1080"/>
      </w:pPr>
    </w:p>
    <w:p w:rsidR="007C0333" w:rsidRPr="0034555C" w:rsidRDefault="007C0333" w:rsidP="007C0333">
      <w:pPr>
        <w:pStyle w:val="BodyCopy"/>
        <w:rPr>
          <w:color w:val="auto"/>
        </w:rPr>
      </w:pPr>
      <w:r w:rsidRPr="0034555C">
        <w:rPr>
          <w:color w:val="auto"/>
        </w:rPr>
        <w:t>Critical Information Requirements</w:t>
      </w:r>
      <w:r>
        <w:rPr>
          <w:color w:val="auto"/>
        </w:rPr>
        <w:t xml:space="preserve"> (CIR)</w:t>
      </w:r>
      <w:r w:rsidRPr="0034555C">
        <w:rPr>
          <w:color w:val="auto"/>
        </w:rPr>
        <w:t xml:space="preserve"> are the essential components of information the Director</w:t>
      </w:r>
      <w:r>
        <w:rPr>
          <w:color w:val="auto"/>
        </w:rPr>
        <w:t xml:space="preserve"> </w:t>
      </w:r>
      <w:r w:rsidRPr="0034555C">
        <w:rPr>
          <w:color w:val="auto"/>
        </w:rPr>
        <w:t xml:space="preserve">has identified as crucial to the decision making process. </w:t>
      </w:r>
      <w:r>
        <w:rPr>
          <w:color w:val="auto"/>
        </w:rPr>
        <w:t>The identified CIR</w:t>
      </w:r>
      <w:r w:rsidRPr="0034555C">
        <w:rPr>
          <w:color w:val="auto"/>
        </w:rPr>
        <w:t>s are the product of a careful and continual analysis of information requirements</w:t>
      </w:r>
      <w:r>
        <w:rPr>
          <w:color w:val="auto"/>
        </w:rPr>
        <w:t xml:space="preserve"> by </w:t>
      </w:r>
      <w:r w:rsidR="008C35D5">
        <w:rPr>
          <w:color w:val="auto"/>
        </w:rPr>
        <w:t xml:space="preserve">Ministry </w:t>
      </w:r>
      <w:r>
        <w:rPr>
          <w:color w:val="auto"/>
        </w:rPr>
        <w:t xml:space="preserve">staff. </w:t>
      </w:r>
      <w:r w:rsidRPr="0034555C">
        <w:rPr>
          <w:color w:val="auto"/>
        </w:rPr>
        <w:t>The Director</w:t>
      </w:r>
      <w:r>
        <w:rPr>
          <w:color w:val="auto"/>
        </w:rPr>
        <w:t xml:space="preserve"> </w:t>
      </w:r>
      <w:r w:rsidRPr="0034555C">
        <w:rPr>
          <w:color w:val="auto"/>
        </w:rPr>
        <w:t xml:space="preserve">will add, discard, adjust, </w:t>
      </w:r>
      <w:r w:rsidRPr="0034555C">
        <w:rPr>
          <w:color w:val="auto"/>
        </w:rPr>
        <w:lastRenderedPageBreak/>
        <w:t xml:space="preserve">and update </w:t>
      </w:r>
      <w:r>
        <w:rPr>
          <w:color w:val="auto"/>
        </w:rPr>
        <w:t xml:space="preserve">CIRs as the event progresses. </w:t>
      </w:r>
      <w:r w:rsidRPr="0034555C">
        <w:rPr>
          <w:color w:val="auto"/>
        </w:rPr>
        <w:t xml:space="preserve">Throughout the course of an outbreak, other </w:t>
      </w:r>
      <w:r>
        <w:rPr>
          <w:color w:val="auto"/>
        </w:rPr>
        <w:t>CIRs</w:t>
      </w:r>
      <w:r w:rsidRPr="0034555C">
        <w:rPr>
          <w:color w:val="auto"/>
        </w:rPr>
        <w:t xml:space="preserve"> will be identified to help focus resource allocations and efforts as the Director continues to make decisions.  </w:t>
      </w:r>
    </w:p>
    <w:p w:rsidR="007C0333" w:rsidRPr="0034555C" w:rsidRDefault="007C0333" w:rsidP="007C0333">
      <w:pPr>
        <w:pStyle w:val="BodyCopy"/>
        <w:ind w:left="1080"/>
        <w:rPr>
          <w:color w:val="auto"/>
        </w:rPr>
      </w:pPr>
    </w:p>
    <w:p w:rsidR="007C0333" w:rsidRDefault="007C0333" w:rsidP="007C0333">
      <w:pPr>
        <w:pStyle w:val="BodyCopy"/>
        <w:rPr>
          <w:color w:val="auto"/>
        </w:rPr>
      </w:pPr>
      <w:r>
        <w:rPr>
          <w:color w:val="auto"/>
        </w:rPr>
        <w:t xml:space="preserve">The </w:t>
      </w:r>
      <w:r w:rsidR="008C35D5">
        <w:rPr>
          <w:color w:val="auto"/>
        </w:rPr>
        <w:t>incident command operations section</w:t>
      </w:r>
      <w:r>
        <w:rPr>
          <w:color w:val="auto"/>
        </w:rPr>
        <w:t xml:space="preserve"> </w:t>
      </w:r>
      <w:r w:rsidRPr="0034555C">
        <w:rPr>
          <w:color w:val="auto"/>
        </w:rPr>
        <w:t xml:space="preserve">is the </w:t>
      </w:r>
      <w:r>
        <w:rPr>
          <w:color w:val="auto"/>
        </w:rPr>
        <w:t>CIR</w:t>
      </w:r>
      <w:r w:rsidRPr="0034555C">
        <w:rPr>
          <w:color w:val="auto"/>
        </w:rPr>
        <w:t xml:space="preserve"> focal point </w:t>
      </w:r>
      <w:r>
        <w:rPr>
          <w:color w:val="auto"/>
        </w:rPr>
        <w:t xml:space="preserve">for the </w:t>
      </w:r>
      <w:r w:rsidRPr="0034555C">
        <w:rPr>
          <w:color w:val="auto"/>
        </w:rPr>
        <w:t xml:space="preserve">epidemic prone infectious diseases and, in conjunction with the </w:t>
      </w:r>
      <w:r w:rsidR="008C35D5">
        <w:rPr>
          <w:color w:val="auto"/>
        </w:rPr>
        <w:t>incident commander</w:t>
      </w:r>
      <w:r w:rsidRPr="0034555C">
        <w:rPr>
          <w:color w:val="auto"/>
        </w:rPr>
        <w:t xml:space="preserve"> and </w:t>
      </w:r>
      <w:r w:rsidR="008C35D5">
        <w:rPr>
          <w:color w:val="auto"/>
        </w:rPr>
        <w:t>incident command</w:t>
      </w:r>
      <w:r w:rsidRPr="0034555C">
        <w:rPr>
          <w:color w:val="auto"/>
        </w:rPr>
        <w:t xml:space="preserve"> </w:t>
      </w:r>
      <w:r w:rsidR="008C35D5">
        <w:rPr>
          <w:color w:val="auto"/>
        </w:rPr>
        <w:t>s</w:t>
      </w:r>
      <w:r>
        <w:rPr>
          <w:color w:val="auto"/>
        </w:rPr>
        <w:t xml:space="preserve">upport </w:t>
      </w:r>
      <w:r w:rsidR="008C35D5">
        <w:rPr>
          <w:color w:val="auto"/>
        </w:rPr>
        <w:t>s</w:t>
      </w:r>
      <w:r>
        <w:rPr>
          <w:color w:val="auto"/>
        </w:rPr>
        <w:t>taff</w:t>
      </w:r>
      <w:r w:rsidRPr="0034555C">
        <w:rPr>
          <w:color w:val="auto"/>
        </w:rPr>
        <w:t xml:space="preserve">, is responsible for the maintenance of the process, validating current </w:t>
      </w:r>
      <w:r>
        <w:rPr>
          <w:color w:val="auto"/>
        </w:rPr>
        <w:t>CIR</w:t>
      </w:r>
      <w:r w:rsidRPr="0034555C">
        <w:rPr>
          <w:color w:val="auto"/>
        </w:rPr>
        <w:t xml:space="preserve"> relevance, and gaining Director </w:t>
      </w:r>
      <w:proofErr w:type="gramStart"/>
      <w:r w:rsidRPr="0034555C">
        <w:rPr>
          <w:color w:val="auto"/>
        </w:rPr>
        <w:t>ap</w:t>
      </w:r>
      <w:bookmarkStart w:id="7" w:name="_GoBack"/>
      <w:bookmarkEnd w:id="7"/>
      <w:r w:rsidRPr="0034555C">
        <w:rPr>
          <w:color w:val="auto"/>
        </w:rPr>
        <w:t>proval</w:t>
      </w:r>
      <w:proofErr w:type="gramEnd"/>
      <w:r w:rsidRPr="0034555C">
        <w:rPr>
          <w:color w:val="auto"/>
        </w:rPr>
        <w:t xml:space="preserve"> of subsequent </w:t>
      </w:r>
      <w:r>
        <w:rPr>
          <w:color w:val="auto"/>
        </w:rPr>
        <w:t>CIRs</w:t>
      </w:r>
      <w:r w:rsidRPr="0034555C">
        <w:rPr>
          <w:color w:val="auto"/>
        </w:rPr>
        <w:t>.</w:t>
      </w:r>
    </w:p>
    <w:p w:rsidR="007C0333" w:rsidRPr="005C2930" w:rsidRDefault="007C0333" w:rsidP="007C0333">
      <w:pPr>
        <w:pStyle w:val="BodyCopy"/>
        <w:ind w:left="1080"/>
        <w:rPr>
          <w:color w:val="auto"/>
        </w:rPr>
      </w:pPr>
    </w:p>
    <w:p w:rsidR="007C0333" w:rsidRPr="00086001" w:rsidRDefault="007C0333" w:rsidP="007C0333">
      <w:pPr>
        <w:pStyle w:val="BodyCopy"/>
        <w:rPr>
          <w:color w:val="auto"/>
        </w:rPr>
      </w:pPr>
      <w:r w:rsidRPr="00086001">
        <w:rPr>
          <w:color w:val="auto"/>
        </w:rPr>
        <w:t>The following are pre-outbreak/initial outbreak specific D</w:t>
      </w:r>
      <w:r>
        <w:rPr>
          <w:color w:val="auto"/>
        </w:rPr>
        <w:t xml:space="preserve">irectors </w:t>
      </w:r>
      <w:r w:rsidRPr="00086001">
        <w:rPr>
          <w:color w:val="auto"/>
        </w:rPr>
        <w:t>CIRs:</w:t>
      </w:r>
    </w:p>
    <w:p w:rsidR="007C0333" w:rsidRPr="006B3BA6" w:rsidRDefault="007C0333" w:rsidP="007C0333">
      <w:pPr>
        <w:pStyle w:val="Default"/>
        <w:numPr>
          <w:ilvl w:val="0"/>
          <w:numId w:val="5"/>
        </w:numPr>
        <w:spacing w:line="360" w:lineRule="auto"/>
        <w:ind w:left="1080" w:firstLine="0"/>
        <w:rPr>
          <w:color w:val="auto"/>
        </w:rPr>
      </w:pPr>
      <w:r>
        <w:rPr>
          <w:color w:val="auto"/>
        </w:rPr>
        <w:t>Disease</w:t>
      </w:r>
      <w:r w:rsidRPr="006B3BA6">
        <w:rPr>
          <w:color w:val="auto"/>
        </w:rPr>
        <w:t xml:space="preserve">/serious injury </w:t>
      </w:r>
      <w:r>
        <w:rPr>
          <w:color w:val="auto"/>
        </w:rPr>
        <w:t xml:space="preserve">or death </w:t>
      </w:r>
      <w:r w:rsidRPr="006B3BA6">
        <w:rPr>
          <w:color w:val="auto"/>
        </w:rPr>
        <w:t xml:space="preserve">of </w:t>
      </w:r>
      <w:r w:rsidR="008C35D5">
        <w:rPr>
          <w:color w:val="auto"/>
        </w:rPr>
        <w:t>Ministry</w:t>
      </w:r>
      <w:r w:rsidRPr="006B3BA6">
        <w:rPr>
          <w:color w:val="auto"/>
        </w:rPr>
        <w:t xml:space="preserve"> personnel</w:t>
      </w:r>
      <w:r>
        <w:rPr>
          <w:color w:val="auto"/>
        </w:rPr>
        <w:t xml:space="preserve"> in the field </w:t>
      </w:r>
    </w:p>
    <w:p w:rsidR="007C0333" w:rsidRPr="00086001" w:rsidRDefault="007C0333" w:rsidP="007C0333">
      <w:pPr>
        <w:pStyle w:val="BodyCopy"/>
        <w:numPr>
          <w:ilvl w:val="0"/>
          <w:numId w:val="5"/>
        </w:numPr>
        <w:tabs>
          <w:tab w:val="left" w:pos="720"/>
        </w:tabs>
        <w:ind w:left="1080" w:firstLine="0"/>
        <w:rPr>
          <w:color w:val="auto"/>
          <w:kern w:val="24"/>
        </w:rPr>
      </w:pPr>
      <w:r w:rsidRPr="00086001">
        <w:rPr>
          <w:color w:val="auto"/>
          <w:kern w:val="24"/>
        </w:rPr>
        <w:t xml:space="preserve">Suspect case of any previously eradicated disease in </w:t>
      </w:r>
      <w:r w:rsidR="008C35D5">
        <w:rPr>
          <w:color w:val="auto"/>
          <w:kern w:val="24"/>
        </w:rPr>
        <w:t>country</w:t>
      </w:r>
      <w:r w:rsidRPr="00086001">
        <w:rPr>
          <w:color w:val="auto"/>
          <w:kern w:val="24"/>
        </w:rPr>
        <w:t xml:space="preserve"> </w:t>
      </w:r>
    </w:p>
    <w:p w:rsidR="007C0333" w:rsidRDefault="007C0333" w:rsidP="007C0333">
      <w:pPr>
        <w:pStyle w:val="Default"/>
        <w:numPr>
          <w:ilvl w:val="0"/>
          <w:numId w:val="5"/>
        </w:numPr>
        <w:spacing w:line="360" w:lineRule="auto"/>
        <w:ind w:left="1080" w:firstLine="0"/>
        <w:rPr>
          <w:color w:val="auto"/>
        </w:rPr>
      </w:pPr>
      <w:r>
        <w:rPr>
          <w:color w:val="auto"/>
        </w:rPr>
        <w:t xml:space="preserve">As </w:t>
      </w:r>
      <w:r w:rsidR="008C35D5">
        <w:rPr>
          <w:color w:val="auto"/>
        </w:rPr>
        <w:t>an International Health Regulations</w:t>
      </w:r>
      <w:r>
        <w:rPr>
          <w:color w:val="auto"/>
        </w:rPr>
        <w:t xml:space="preserve"> n</w:t>
      </w:r>
      <w:r w:rsidRPr="006B7CB9">
        <w:rPr>
          <w:color w:val="auto"/>
        </w:rPr>
        <w:t>ational focal point</w:t>
      </w:r>
      <w:r>
        <w:rPr>
          <w:color w:val="auto"/>
        </w:rPr>
        <w:t>,</w:t>
      </w:r>
      <w:r w:rsidRPr="006B7CB9">
        <w:rPr>
          <w:color w:val="auto"/>
        </w:rPr>
        <w:t xml:space="preserve"> any potential </w:t>
      </w:r>
      <w:r>
        <w:rPr>
          <w:color w:val="auto"/>
        </w:rPr>
        <w:t>PHEIC</w:t>
      </w:r>
    </w:p>
    <w:p w:rsidR="007C0333" w:rsidRPr="00086001" w:rsidRDefault="007C0333" w:rsidP="007C0333">
      <w:pPr>
        <w:pStyle w:val="BodyCopy"/>
        <w:numPr>
          <w:ilvl w:val="0"/>
          <w:numId w:val="5"/>
        </w:numPr>
        <w:tabs>
          <w:tab w:val="left" w:pos="720"/>
        </w:tabs>
        <w:ind w:left="1080" w:firstLine="0"/>
        <w:rPr>
          <w:color w:val="auto"/>
          <w:kern w:val="24"/>
        </w:rPr>
      </w:pPr>
      <w:r>
        <w:rPr>
          <w:color w:val="auto"/>
          <w:kern w:val="24"/>
        </w:rPr>
        <w:t>Any unusual disease presentation in</w:t>
      </w:r>
      <w:r w:rsidRPr="00324007">
        <w:rPr>
          <w:color w:val="auto"/>
        </w:rPr>
        <w:t xml:space="preserve"> </w:t>
      </w:r>
      <w:r>
        <w:rPr>
          <w:color w:val="auto"/>
        </w:rPr>
        <w:t>any part of the country</w:t>
      </w:r>
    </w:p>
    <w:p w:rsidR="007C0333" w:rsidRDefault="007C0333" w:rsidP="007C0333">
      <w:pPr>
        <w:spacing w:line="360" w:lineRule="auto"/>
        <w:ind w:left="1080"/>
      </w:pPr>
    </w:p>
    <w:bookmarkEnd w:id="5"/>
    <w:bookmarkEnd w:id="6"/>
    <w:p w:rsidR="007C0333" w:rsidRDefault="007C0333" w:rsidP="007C0333">
      <w:pPr>
        <w:pStyle w:val="Default"/>
        <w:spacing w:line="360" w:lineRule="auto"/>
        <w:ind w:left="1080"/>
        <w:rPr>
          <w:color w:val="auto"/>
        </w:rPr>
      </w:pPr>
    </w:p>
    <w:p w:rsidR="00DC57CC" w:rsidRDefault="00DC57CC"/>
    <w:sectPr w:rsidR="00DC57CC" w:rsidSect="00B55735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57CE"/>
    <w:multiLevelType w:val="hybridMultilevel"/>
    <w:tmpl w:val="753AC958"/>
    <w:lvl w:ilvl="0" w:tplc="D5A22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EE34D3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21E4897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62A863B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0EA4135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40901F3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742E8DD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38A6C76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1954EBF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">
    <w:nsid w:val="2F36693C"/>
    <w:multiLevelType w:val="hybridMultilevel"/>
    <w:tmpl w:val="DB0CE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63BC1"/>
    <w:multiLevelType w:val="hybridMultilevel"/>
    <w:tmpl w:val="49C46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ED3FB1"/>
    <w:multiLevelType w:val="hybridMultilevel"/>
    <w:tmpl w:val="470632E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FB1197A"/>
    <w:multiLevelType w:val="hybridMultilevel"/>
    <w:tmpl w:val="3B10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5979A1"/>
    <w:multiLevelType w:val="hybridMultilevel"/>
    <w:tmpl w:val="DAC445AA"/>
    <w:lvl w:ilvl="0" w:tplc="DA883A24">
      <w:start w:val="1"/>
      <w:numFmt w:val="lowerLetter"/>
      <w:lvlText w:val="%1)"/>
      <w:lvlJc w:val="left"/>
      <w:pPr>
        <w:tabs>
          <w:tab w:val="num" w:pos="3780"/>
        </w:tabs>
        <w:ind w:left="3780" w:hanging="360"/>
      </w:pPr>
      <w:rPr>
        <w:rFonts w:cs="Times New Roman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333"/>
    <w:rsid w:val="003D0E1E"/>
    <w:rsid w:val="003F1FC2"/>
    <w:rsid w:val="007C0333"/>
    <w:rsid w:val="008C35D5"/>
    <w:rsid w:val="00B55735"/>
    <w:rsid w:val="00DC57CC"/>
    <w:rsid w:val="00F9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3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3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C0333"/>
    <w:pPr>
      <w:keepNext/>
      <w:jc w:val="both"/>
      <w:outlineLvl w:val="1"/>
    </w:pPr>
    <w:rPr>
      <w:b/>
      <w:color w:val="00000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C0333"/>
    <w:rPr>
      <w:rFonts w:ascii="Times New Roman" w:eastAsia="Times New Roman" w:hAnsi="Times New Roman" w:cs="Times New Roman"/>
      <w:b/>
      <w:color w:val="000000"/>
      <w:sz w:val="24"/>
      <w:szCs w:val="20"/>
      <w:u w:val="single"/>
    </w:rPr>
  </w:style>
  <w:style w:type="paragraph" w:customStyle="1" w:styleId="NewHeading1">
    <w:name w:val="New Heading 1"/>
    <w:basedOn w:val="Normal"/>
    <w:link w:val="NewHeading1Char"/>
    <w:uiPriority w:val="99"/>
    <w:rsid w:val="007C0333"/>
    <w:pPr>
      <w:spacing w:line="360" w:lineRule="auto"/>
      <w:ind w:left="360"/>
    </w:pPr>
    <w:rPr>
      <w:rFonts w:ascii="Copperplate Gothic Bold" w:hAnsi="Copperplate Gothic Bold"/>
      <w:color w:val="0B3D91"/>
    </w:rPr>
  </w:style>
  <w:style w:type="character" w:customStyle="1" w:styleId="NewHeading1Char">
    <w:name w:val="New Heading 1 Char"/>
    <w:basedOn w:val="DefaultParagraphFont"/>
    <w:link w:val="NewHeading1"/>
    <w:uiPriority w:val="99"/>
    <w:locked/>
    <w:rsid w:val="007C0333"/>
    <w:rPr>
      <w:rFonts w:ascii="Copperplate Gothic Bold" w:eastAsia="Times New Roman" w:hAnsi="Copperplate Gothic Bold" w:cs="Times New Roman"/>
      <w:color w:val="0B3D91"/>
      <w:sz w:val="24"/>
      <w:szCs w:val="24"/>
    </w:rPr>
  </w:style>
  <w:style w:type="paragraph" w:customStyle="1" w:styleId="BodyCopy">
    <w:name w:val="Body Copy"/>
    <w:basedOn w:val="Normal"/>
    <w:link w:val="BodyCopyChar"/>
    <w:rsid w:val="007C0333"/>
    <w:pPr>
      <w:spacing w:line="360" w:lineRule="auto"/>
    </w:pPr>
    <w:rPr>
      <w:color w:val="000000"/>
    </w:rPr>
  </w:style>
  <w:style w:type="character" w:customStyle="1" w:styleId="BodyCopyChar">
    <w:name w:val="Body Copy Char"/>
    <w:basedOn w:val="DefaultParagraphFont"/>
    <w:link w:val="BodyCopy"/>
    <w:locked/>
    <w:rsid w:val="007C0333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link w:val="DefaultChar"/>
    <w:rsid w:val="007C033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ppHeading1">
    <w:name w:val="App Heading 1"/>
    <w:basedOn w:val="Heading1"/>
    <w:uiPriority w:val="99"/>
    <w:rsid w:val="007C0333"/>
    <w:pPr>
      <w:keepNext w:val="0"/>
      <w:keepLines w:val="0"/>
      <w:spacing w:before="0" w:line="360" w:lineRule="auto"/>
      <w:ind w:left="360" w:hanging="360"/>
    </w:pPr>
    <w:rPr>
      <w:rFonts w:ascii="Copperplate Gothic Bold" w:eastAsia="Times New Roman" w:hAnsi="Copperplate Gothic Bold" w:cs="Times New Roman"/>
      <w:b w:val="0"/>
      <w:bCs w:val="0"/>
      <w:color w:val="0B3D91"/>
      <w:sz w:val="24"/>
      <w:szCs w:val="22"/>
    </w:rPr>
  </w:style>
  <w:style w:type="paragraph" w:styleId="PlainText">
    <w:name w:val="Plain Text"/>
    <w:basedOn w:val="Normal"/>
    <w:link w:val="PlainTextChar"/>
    <w:uiPriority w:val="99"/>
    <w:rsid w:val="007C033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7C033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0333"/>
    <w:pPr>
      <w:ind w:left="720"/>
      <w:contextualSpacing/>
    </w:pPr>
  </w:style>
  <w:style w:type="character" w:customStyle="1" w:styleId="DefaultChar">
    <w:name w:val="Default Char"/>
    <w:basedOn w:val="DefaultParagraphFont"/>
    <w:link w:val="Default"/>
    <w:rsid w:val="007C0333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03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3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3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C0333"/>
    <w:pPr>
      <w:keepNext/>
      <w:jc w:val="both"/>
      <w:outlineLvl w:val="1"/>
    </w:pPr>
    <w:rPr>
      <w:b/>
      <w:color w:val="00000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C0333"/>
    <w:rPr>
      <w:rFonts w:ascii="Times New Roman" w:eastAsia="Times New Roman" w:hAnsi="Times New Roman" w:cs="Times New Roman"/>
      <w:b/>
      <w:color w:val="000000"/>
      <w:sz w:val="24"/>
      <w:szCs w:val="20"/>
      <w:u w:val="single"/>
    </w:rPr>
  </w:style>
  <w:style w:type="paragraph" w:customStyle="1" w:styleId="NewHeading1">
    <w:name w:val="New Heading 1"/>
    <w:basedOn w:val="Normal"/>
    <w:link w:val="NewHeading1Char"/>
    <w:uiPriority w:val="99"/>
    <w:rsid w:val="007C0333"/>
    <w:pPr>
      <w:spacing w:line="360" w:lineRule="auto"/>
      <w:ind w:left="360"/>
    </w:pPr>
    <w:rPr>
      <w:rFonts w:ascii="Copperplate Gothic Bold" w:hAnsi="Copperplate Gothic Bold"/>
      <w:color w:val="0B3D91"/>
    </w:rPr>
  </w:style>
  <w:style w:type="character" w:customStyle="1" w:styleId="NewHeading1Char">
    <w:name w:val="New Heading 1 Char"/>
    <w:basedOn w:val="DefaultParagraphFont"/>
    <w:link w:val="NewHeading1"/>
    <w:uiPriority w:val="99"/>
    <w:locked/>
    <w:rsid w:val="007C0333"/>
    <w:rPr>
      <w:rFonts w:ascii="Copperplate Gothic Bold" w:eastAsia="Times New Roman" w:hAnsi="Copperplate Gothic Bold" w:cs="Times New Roman"/>
      <w:color w:val="0B3D91"/>
      <w:sz w:val="24"/>
      <w:szCs w:val="24"/>
    </w:rPr>
  </w:style>
  <w:style w:type="paragraph" w:customStyle="1" w:styleId="BodyCopy">
    <w:name w:val="Body Copy"/>
    <w:basedOn w:val="Normal"/>
    <w:link w:val="BodyCopyChar"/>
    <w:rsid w:val="007C0333"/>
    <w:pPr>
      <w:spacing w:line="360" w:lineRule="auto"/>
    </w:pPr>
    <w:rPr>
      <w:color w:val="000000"/>
    </w:rPr>
  </w:style>
  <w:style w:type="character" w:customStyle="1" w:styleId="BodyCopyChar">
    <w:name w:val="Body Copy Char"/>
    <w:basedOn w:val="DefaultParagraphFont"/>
    <w:link w:val="BodyCopy"/>
    <w:locked/>
    <w:rsid w:val="007C0333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link w:val="DefaultChar"/>
    <w:rsid w:val="007C033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ppHeading1">
    <w:name w:val="App Heading 1"/>
    <w:basedOn w:val="Heading1"/>
    <w:uiPriority w:val="99"/>
    <w:rsid w:val="007C0333"/>
    <w:pPr>
      <w:keepNext w:val="0"/>
      <w:keepLines w:val="0"/>
      <w:spacing w:before="0" w:line="360" w:lineRule="auto"/>
      <w:ind w:left="360" w:hanging="360"/>
    </w:pPr>
    <w:rPr>
      <w:rFonts w:ascii="Copperplate Gothic Bold" w:eastAsia="Times New Roman" w:hAnsi="Copperplate Gothic Bold" w:cs="Times New Roman"/>
      <w:b w:val="0"/>
      <w:bCs w:val="0"/>
      <w:color w:val="0B3D91"/>
      <w:sz w:val="24"/>
      <w:szCs w:val="22"/>
    </w:rPr>
  </w:style>
  <w:style w:type="paragraph" w:styleId="PlainText">
    <w:name w:val="Plain Text"/>
    <w:basedOn w:val="Normal"/>
    <w:link w:val="PlainTextChar"/>
    <w:uiPriority w:val="99"/>
    <w:rsid w:val="007C033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7C033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0333"/>
    <w:pPr>
      <w:ind w:left="720"/>
      <w:contextualSpacing/>
    </w:pPr>
  </w:style>
  <w:style w:type="character" w:customStyle="1" w:styleId="DefaultChar">
    <w:name w:val="Default Char"/>
    <w:basedOn w:val="DefaultParagraphFont"/>
    <w:link w:val="Default"/>
    <w:rsid w:val="007C0333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03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744</Words>
  <Characters>4244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4979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CDC User</cp:lastModifiedBy>
  <cp:revision>2</cp:revision>
  <dcterms:created xsi:type="dcterms:W3CDTF">2014-02-11T01:21:00Z</dcterms:created>
  <dcterms:modified xsi:type="dcterms:W3CDTF">2014-02-11T01:21:00Z</dcterms:modified>
</cp:coreProperties>
</file>