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B896101" w14:textId="77777777" w:rsidR="002C76E6" w:rsidRDefault="002C76E6" w:rsidP="002C76E6">
      <w:pPr>
        <w:keepNext/>
        <w:keepLines/>
        <w:spacing w:after="0" w:line="240" w:lineRule="auto"/>
        <w:rPr>
          <w:rFonts w:ascii="Arial Narrow" w:hAnsi="Arial Narrow"/>
          <w:b/>
          <w:bCs/>
        </w:rPr>
      </w:pPr>
      <w:bookmarkStart w:id="0" w:name="_GoBack"/>
      <w:bookmarkEnd w:id="0"/>
      <w:r>
        <w:rPr>
          <w:rFonts w:ascii="Arial Narrow" w:hAnsi="Arial Narrow"/>
          <w:b/>
          <w:bCs/>
          <w:lang w:val="en-US"/>
        </w:rPr>
        <w:t>COVID</w:t>
      </w:r>
      <w:r>
        <w:rPr>
          <w:rFonts w:ascii="Arial Narrow" w:hAnsi="Arial Narrow"/>
          <w:b/>
          <w:bCs/>
        </w:rPr>
        <w:t>-19 Обзор осуществляемых в стране мер (ООМ)</w:t>
      </w:r>
      <w:r w:rsidR="001467CD">
        <w:rPr>
          <w:rFonts w:asciiTheme="minorHAnsi" w:hAnsiTheme="minorHAnsi"/>
          <w:b/>
          <w:noProof/>
          <w:sz w:val="28"/>
          <w:szCs w:val="28"/>
        </w:rPr>
        <w:drawing>
          <wp:anchor distT="0" distB="0" distL="114300" distR="114300" simplePos="0" relativeHeight="251658240" behindDoc="0" locked="0" layoutInCell="1" allowOverlap="1" wp14:anchorId="17E2F4DC" wp14:editId="3DCFB3F7">
            <wp:simplePos x="4876800" y="914400"/>
            <wp:positionH relativeFrom="column">
              <wp:align>right</wp:align>
            </wp:positionH>
            <wp:positionV relativeFrom="paragraph">
              <wp:align>top</wp:align>
            </wp:positionV>
            <wp:extent cx="1975356" cy="695325"/>
            <wp:effectExtent l="0" t="0" r="635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S logo black untitled.png"/>
                    <pic:cNvPicPr/>
                  </pic:nvPicPr>
                  <pic:blipFill>
                    <a:blip r:embed="rId8"/>
                    <a:stretch>
                      <a:fillRect/>
                    </a:stretch>
                  </pic:blipFill>
                  <pic:spPr>
                    <a:xfrm>
                      <a:off x="0" y="0"/>
                      <a:ext cx="1975356" cy="695325"/>
                    </a:xfrm>
                    <a:prstGeom prst="rect">
                      <a:avLst/>
                    </a:prstGeom>
                  </pic:spPr>
                </pic:pic>
              </a:graphicData>
            </a:graphic>
          </wp:anchor>
        </w:drawing>
      </w:r>
      <w:r w:rsidRPr="002C76E6">
        <w:rPr>
          <w:rFonts w:ascii="Arial Narrow" w:hAnsi="Arial Narrow"/>
          <w:b/>
          <w:bCs/>
        </w:rPr>
        <w:t>:</w:t>
      </w:r>
    </w:p>
    <w:p w14:paraId="53F7CBB6" w14:textId="77777777" w:rsidR="002C76E6" w:rsidRDefault="002C76E6" w:rsidP="002C76E6">
      <w:pPr>
        <w:keepNext/>
        <w:keepLines/>
        <w:spacing w:after="0" w:line="240" w:lineRule="auto"/>
        <w:rPr>
          <w:rFonts w:ascii="Arial Narrow" w:hAnsi="Arial Narrow"/>
          <w:b/>
          <w:bCs/>
        </w:rPr>
      </w:pPr>
    </w:p>
    <w:p w14:paraId="0841DA3B" w14:textId="77777777" w:rsidR="002C76E6" w:rsidRDefault="002C76E6" w:rsidP="002C76E6">
      <w:pPr>
        <w:keepNext/>
        <w:keepLines/>
        <w:rPr>
          <w:rFonts w:ascii="Arial Narrow" w:hAnsi="Arial Narrow"/>
          <w:b/>
          <w:bCs/>
        </w:rPr>
      </w:pPr>
    </w:p>
    <w:p w14:paraId="1B5B3A10" w14:textId="213C5268" w:rsidR="002C76E6" w:rsidRPr="008B1CDD" w:rsidRDefault="002C76E6" w:rsidP="00625F04">
      <w:pPr>
        <w:keepNext/>
        <w:keepLines/>
        <w:spacing w:after="0" w:line="240" w:lineRule="auto"/>
        <w:rPr>
          <w:rFonts w:ascii="Arial Narrow" w:hAnsi="Arial Narrow"/>
          <w:b/>
          <w:bCs/>
        </w:rPr>
      </w:pPr>
      <w:r w:rsidRPr="008B1CDD">
        <w:rPr>
          <w:rFonts w:ascii="Arial Narrow" w:hAnsi="Arial Narrow"/>
          <w:b/>
          <w:bCs/>
        </w:rPr>
        <w:t xml:space="preserve">Шаблон проекта концепции </w:t>
      </w:r>
    </w:p>
    <w:p w14:paraId="373836E5" w14:textId="77777777" w:rsidR="00625F04" w:rsidRPr="008B1CDD" w:rsidRDefault="00625F04" w:rsidP="00625F04">
      <w:pPr>
        <w:keepNext/>
        <w:keepLines/>
        <w:spacing w:after="0" w:line="240" w:lineRule="auto"/>
        <w:rPr>
          <w:rFonts w:ascii="Arial Narrow" w:hAnsi="Arial Narrow"/>
          <w:b/>
          <w:bCs/>
        </w:rPr>
      </w:pPr>
      <w:r w:rsidRPr="008B1CDD">
        <w:rPr>
          <w:rFonts w:ascii="Arial Narrow" w:hAnsi="Arial Narrow"/>
          <w:b/>
          <w:bCs/>
        </w:rPr>
        <w:t>23 июля 2020 г.</w:t>
      </w:r>
    </w:p>
    <w:p w14:paraId="39DF2491" w14:textId="1CA257D0" w:rsidR="00B94651" w:rsidRPr="002C76E6" w:rsidRDefault="001467CD" w:rsidP="004D29A7">
      <w:pPr>
        <w:keepNext/>
        <w:keepLines/>
        <w:spacing w:after="0" w:line="240" w:lineRule="auto"/>
        <w:jc w:val="center"/>
        <w:rPr>
          <w:rFonts w:asciiTheme="minorHAnsi" w:hAnsiTheme="minorHAnsi"/>
          <w:b/>
          <w:sz w:val="28"/>
          <w:szCs w:val="28"/>
        </w:rPr>
      </w:pPr>
      <w:r w:rsidRPr="002C76E6">
        <w:rPr>
          <w:rFonts w:asciiTheme="minorHAnsi" w:hAnsiTheme="minorHAnsi"/>
          <w:b/>
          <w:sz w:val="28"/>
          <w:szCs w:val="28"/>
        </w:rPr>
        <w:tab/>
      </w:r>
    </w:p>
    <w:p w14:paraId="2089D77C" w14:textId="77777777" w:rsidR="00B94651" w:rsidRDefault="00B94651" w:rsidP="004D29A7">
      <w:pPr>
        <w:keepNext/>
        <w:keepLines/>
        <w:spacing w:after="0" w:line="240" w:lineRule="auto"/>
        <w:jc w:val="center"/>
        <w:rPr>
          <w:rFonts w:asciiTheme="minorHAnsi" w:hAnsiTheme="minorHAnsi"/>
          <w:b/>
          <w:sz w:val="28"/>
          <w:szCs w:val="28"/>
        </w:rPr>
      </w:pPr>
    </w:p>
    <w:p w14:paraId="7D040642" w14:textId="77777777" w:rsidR="00B94651" w:rsidRDefault="00B94651" w:rsidP="004D29A7">
      <w:pPr>
        <w:keepNext/>
        <w:keepLines/>
        <w:spacing w:after="0" w:line="240" w:lineRule="auto"/>
        <w:jc w:val="center"/>
        <w:rPr>
          <w:rFonts w:asciiTheme="minorHAnsi" w:hAnsiTheme="minorHAnsi"/>
          <w:b/>
          <w:sz w:val="28"/>
          <w:szCs w:val="28"/>
        </w:rPr>
      </w:pPr>
    </w:p>
    <w:p w14:paraId="5A51DDCD" w14:textId="7069390D" w:rsidR="005A7391" w:rsidRDefault="001A1443" w:rsidP="004D29A7">
      <w:pPr>
        <w:keepNext/>
        <w:keepLines/>
        <w:spacing w:after="0" w:line="240" w:lineRule="auto"/>
        <w:jc w:val="center"/>
        <w:rPr>
          <w:rFonts w:asciiTheme="minorHAnsi" w:hAnsiTheme="minorHAnsi" w:cstheme="minorHAnsi"/>
          <w:b/>
          <w:sz w:val="28"/>
          <w:szCs w:val="28"/>
        </w:rPr>
      </w:pPr>
      <w:r>
        <w:rPr>
          <w:rFonts w:asciiTheme="minorHAnsi" w:hAnsiTheme="minorHAnsi"/>
          <w:b/>
          <w:sz w:val="28"/>
          <w:szCs w:val="28"/>
        </w:rPr>
        <w:t>СТРАНОВЫЙ ОБЗОР ОСУЩЕСТВЛЯЕМЫХ МЕР (ООМ) ПО COVID-19</w:t>
      </w:r>
    </w:p>
    <w:p w14:paraId="726A4A62" w14:textId="11B6E129" w:rsidR="001C3C92" w:rsidRPr="00B8542A" w:rsidRDefault="001C3C92" w:rsidP="004D29A7">
      <w:pPr>
        <w:keepNext/>
        <w:keepLines/>
        <w:spacing w:after="0" w:line="240" w:lineRule="auto"/>
        <w:jc w:val="center"/>
        <w:rPr>
          <w:rFonts w:asciiTheme="minorHAnsi" w:hAnsiTheme="minorHAnsi" w:cstheme="minorHAnsi"/>
        </w:rPr>
      </w:pPr>
      <w:r>
        <w:rPr>
          <w:rFonts w:asciiTheme="minorHAnsi" w:hAnsiTheme="minorHAnsi"/>
          <w:b/>
          <w:sz w:val="28"/>
          <w:szCs w:val="28"/>
        </w:rPr>
        <w:t xml:space="preserve"> Шаблон проекта концепции</w:t>
      </w:r>
    </w:p>
    <w:p w14:paraId="726A4A63" w14:textId="77777777" w:rsidR="001C3C92" w:rsidRPr="00B94651" w:rsidRDefault="001C3C92" w:rsidP="00FF3428">
      <w:pPr>
        <w:pStyle w:val="Heading2"/>
        <w:spacing w:before="0"/>
        <w:rPr>
          <w:rFonts w:asciiTheme="minorHAnsi" w:hAnsiTheme="minorHAnsi" w:cstheme="minorHAnsi"/>
          <w:b w:val="0"/>
          <w:bCs/>
          <w:color w:val="auto"/>
          <w:sz w:val="28"/>
          <w:szCs w:val="28"/>
        </w:rPr>
      </w:pPr>
    </w:p>
    <w:p w14:paraId="213E9A5F" w14:textId="6A019115" w:rsidR="00FB372C" w:rsidRPr="00782485" w:rsidRDefault="005A7391" w:rsidP="004D29A7">
      <w:pPr>
        <w:pBdr>
          <w:bottom w:val="single" w:sz="6" w:space="1" w:color="auto"/>
        </w:pBdr>
        <w:spacing w:after="0"/>
        <w:jc w:val="both"/>
        <w:rPr>
          <w:rFonts w:asciiTheme="minorHAnsi" w:eastAsiaTheme="minorEastAsia" w:hAnsiTheme="minorHAnsi" w:cstheme="minorBidi"/>
          <w:i/>
          <w:iCs/>
          <w:color w:val="365F91" w:themeColor="accent1" w:themeShade="BF"/>
        </w:rPr>
      </w:pPr>
      <w:r>
        <w:rPr>
          <w:rFonts w:asciiTheme="minorHAnsi" w:hAnsiTheme="minorHAnsi"/>
          <w:i/>
          <w:iCs/>
          <w:color w:val="365F91" w:themeColor="accent1" w:themeShade="BF"/>
        </w:rPr>
        <w:t>Данный проект концепции Обзора осуществляемых мер (ООМ) – документ, регламентирующий проект и согласованный со всеми заинтересованными сторонами. Целью данного проекта концепции является предоставление краткого описания ключевых элементов ООМ для подготовки и проведения ООМ. В проекте концепции должны быть четко определены область применения, цели и сроки данного обзора. Проект концепции должен также содержать обзор ключевых участников, методы, предлагаемый бюджет и определить роли и зоны ответственности членов группы. Проект концепции используется как основной справочный документ на всех стадиях проекта, начиная с планирования и подгоготовки материалов до оценки.</w:t>
      </w:r>
    </w:p>
    <w:p w14:paraId="39138E82" w14:textId="12E2C8D0" w:rsidR="00563D20" w:rsidRPr="001A3747" w:rsidRDefault="00563D20" w:rsidP="00563D20">
      <w:pPr>
        <w:pBdr>
          <w:bottom w:val="single" w:sz="6" w:space="1" w:color="auto"/>
        </w:pBdr>
        <w:spacing w:after="0"/>
        <w:jc w:val="both"/>
        <w:rPr>
          <w:rFonts w:asciiTheme="minorHAnsi" w:eastAsiaTheme="minorEastAsia" w:hAnsiTheme="minorHAnsi" w:cstheme="minorBidi"/>
          <w:i/>
          <w:iCs/>
          <w:color w:val="1F497D" w:themeColor="text2"/>
        </w:rPr>
      </w:pPr>
    </w:p>
    <w:p w14:paraId="4E3DEF56" w14:textId="77777777" w:rsidR="00563D20" w:rsidRPr="00D77A98" w:rsidRDefault="00563D20" w:rsidP="00FF3428">
      <w:pPr>
        <w:rPr>
          <w:i/>
          <w:color w:val="4F81BD" w:themeColor="accent1"/>
        </w:rPr>
      </w:pPr>
    </w:p>
    <w:p w14:paraId="726A4A66" w14:textId="77777777" w:rsidR="00FD6983" w:rsidRPr="00FD6983" w:rsidRDefault="00FD6983" w:rsidP="00FD6983">
      <w:pPr>
        <w:keepNext/>
        <w:keepLines/>
        <w:spacing w:after="0" w:line="240" w:lineRule="auto"/>
        <w:outlineLvl w:val="1"/>
        <w:rPr>
          <w:b/>
          <w:color w:val="auto"/>
          <w:sz w:val="36"/>
          <w:szCs w:val="36"/>
        </w:rPr>
      </w:pPr>
      <w:r>
        <w:rPr>
          <w:b/>
          <w:color w:val="auto"/>
          <w:sz w:val="28"/>
          <w:szCs w:val="28"/>
        </w:rPr>
        <w:t xml:space="preserve">Шаблон </w:t>
      </w:r>
    </w:p>
    <w:p w14:paraId="726A4A67" w14:textId="668855CB" w:rsidR="00FD6983" w:rsidRPr="00FD6983" w:rsidRDefault="00FD6983" w:rsidP="004D29A7">
      <w:pPr>
        <w:spacing w:after="160" w:line="259" w:lineRule="auto"/>
        <w:jc w:val="center"/>
      </w:pPr>
      <w:r>
        <w:rPr>
          <w:sz w:val="28"/>
          <w:szCs w:val="28"/>
        </w:rPr>
        <w:t>Название: Проект концепции странового обзора осуществляемых мер (ООМ) по COVID-19</w:t>
      </w:r>
    </w:p>
    <w:p w14:paraId="726A4A68" w14:textId="77777777" w:rsidR="00FD6983" w:rsidRPr="00FD6983" w:rsidRDefault="00FD6983" w:rsidP="00FD6983">
      <w:pPr>
        <w:spacing w:after="160" w:line="259" w:lineRule="auto"/>
        <w:jc w:val="center"/>
      </w:pPr>
      <w:r>
        <w:rPr>
          <w:sz w:val="28"/>
          <w:szCs w:val="28"/>
          <w:highlight w:val="yellow"/>
        </w:rPr>
        <w:t>[СТРАНА]</w:t>
      </w:r>
    </w:p>
    <w:p w14:paraId="726A4A69" w14:textId="62A03857" w:rsidR="00FD6983" w:rsidRPr="00FD6983" w:rsidRDefault="001A1443" w:rsidP="004D29A7">
      <w:pPr>
        <w:spacing w:after="120" w:line="240" w:lineRule="auto"/>
        <w:jc w:val="center"/>
      </w:pPr>
      <w:r>
        <w:rPr>
          <w:sz w:val="28"/>
          <w:szCs w:val="28"/>
        </w:rPr>
        <w:t xml:space="preserve">Дата обзора: </w:t>
      </w:r>
      <w:r>
        <w:rPr>
          <w:sz w:val="28"/>
          <w:szCs w:val="28"/>
          <w:highlight w:val="yellow"/>
        </w:rPr>
        <w:t>[ДД/ММ/ГГГГ]</w:t>
      </w:r>
    </w:p>
    <w:p w14:paraId="726A4A6A" w14:textId="77777777" w:rsidR="00261C20" w:rsidRPr="001C3C92" w:rsidRDefault="00261C20" w:rsidP="00FF3428">
      <w:pPr>
        <w:pStyle w:val="Heading2"/>
        <w:spacing w:before="0"/>
        <w:rPr>
          <w:rFonts w:asciiTheme="minorHAnsi" w:hAnsiTheme="minorHAnsi" w:cstheme="minorHAnsi"/>
        </w:rPr>
      </w:pPr>
    </w:p>
    <w:p w14:paraId="00E7D5FD" w14:textId="77777777" w:rsidR="00B367F2" w:rsidRPr="005D211A" w:rsidRDefault="00B367F2" w:rsidP="00FD6983">
      <w:pPr>
        <w:pStyle w:val="ListParagraph"/>
        <w:numPr>
          <w:ilvl w:val="0"/>
          <w:numId w:val="14"/>
        </w:numPr>
        <w:spacing w:after="0"/>
        <w:rPr>
          <w:rFonts w:asciiTheme="minorHAnsi" w:hAnsiTheme="minorHAnsi" w:cstheme="minorHAnsi"/>
          <w:sz w:val="28"/>
          <w:szCs w:val="28"/>
        </w:rPr>
      </w:pPr>
      <w:r>
        <w:rPr>
          <w:rFonts w:asciiTheme="minorHAnsi" w:hAnsiTheme="minorHAnsi"/>
          <w:b/>
          <w:sz w:val="28"/>
          <w:szCs w:val="28"/>
        </w:rPr>
        <w:t>Введение</w:t>
      </w:r>
    </w:p>
    <w:p w14:paraId="52854BD4" w14:textId="40A4F606" w:rsidR="005C5070" w:rsidRPr="005D211A" w:rsidRDefault="005C5070" w:rsidP="004D29A7">
      <w:pPr>
        <w:spacing w:after="0"/>
        <w:rPr>
          <w:rFonts w:asciiTheme="minorHAnsi" w:hAnsiTheme="minorHAnsi" w:cstheme="minorHAnsi"/>
          <w:b/>
        </w:rPr>
      </w:pPr>
      <w:r>
        <w:rPr>
          <w:rFonts w:asciiTheme="minorHAnsi" w:hAnsiTheme="minorHAnsi"/>
          <w:b/>
        </w:rPr>
        <w:t>Общая информация о мероприятии</w:t>
      </w:r>
    </w:p>
    <w:p w14:paraId="5EBAEF3D" w14:textId="392B3987" w:rsidR="005C5070" w:rsidRPr="005D211A" w:rsidRDefault="005C5070" w:rsidP="004D29A7">
      <w:pPr>
        <w:spacing w:after="160" w:line="259" w:lineRule="auto"/>
        <w:contextualSpacing/>
      </w:pPr>
      <w:r>
        <w:t xml:space="preserve">Дайте краткую информацию о сроках пандемии COVID-19 в вашей стране, масштабах воздействия на здоровье и возможных уроках.  </w:t>
      </w:r>
    </w:p>
    <w:p w14:paraId="726A4A6E" w14:textId="414BD0A2" w:rsidR="001C3C92" w:rsidRPr="001C3C92" w:rsidRDefault="001C3C92" w:rsidP="00FF3428">
      <w:pPr>
        <w:spacing w:after="120"/>
      </w:pPr>
    </w:p>
    <w:p w14:paraId="726A4A6F" w14:textId="57FEC140" w:rsidR="00261C20" w:rsidRPr="00FD6983" w:rsidRDefault="006933F2" w:rsidP="00FD6983">
      <w:pPr>
        <w:pStyle w:val="Heading2"/>
        <w:numPr>
          <w:ilvl w:val="0"/>
          <w:numId w:val="14"/>
        </w:numPr>
        <w:spacing w:before="0"/>
        <w:rPr>
          <w:rFonts w:asciiTheme="minorHAnsi" w:hAnsiTheme="minorHAnsi" w:cstheme="minorHAnsi"/>
          <w:color w:val="auto"/>
          <w:sz w:val="28"/>
          <w:szCs w:val="28"/>
        </w:rPr>
      </w:pPr>
      <w:r>
        <w:rPr>
          <w:rFonts w:asciiTheme="minorHAnsi" w:hAnsiTheme="minorHAnsi"/>
          <w:color w:val="auto"/>
          <w:sz w:val="28"/>
          <w:szCs w:val="28"/>
        </w:rPr>
        <w:t>Цели</w:t>
      </w:r>
    </w:p>
    <w:p w14:paraId="726A4A70" w14:textId="3AEE3B51" w:rsidR="00261C20" w:rsidRDefault="007C02C5" w:rsidP="003D207A">
      <w:pPr>
        <w:spacing w:after="0"/>
        <w:rPr>
          <w:rFonts w:asciiTheme="minorHAnsi" w:hAnsiTheme="minorHAnsi" w:cstheme="minorHAnsi"/>
        </w:rPr>
      </w:pPr>
      <w:r>
        <w:rPr>
          <w:rFonts w:asciiTheme="minorHAnsi" w:hAnsiTheme="minorHAnsi"/>
        </w:rPr>
        <w:t>Предоставить общую область применения и цели.</w:t>
      </w:r>
    </w:p>
    <w:p w14:paraId="6DB9FDB0" w14:textId="1E70FFAD" w:rsidR="00B94651" w:rsidRDefault="00B94651">
      <w:pPr>
        <w:rPr>
          <w:rFonts w:asciiTheme="minorHAnsi" w:hAnsiTheme="minorHAnsi" w:cstheme="minorHAnsi"/>
        </w:rPr>
      </w:pPr>
      <w:r>
        <w:rPr>
          <w:rFonts w:asciiTheme="minorHAnsi" w:hAnsiTheme="minorHAnsi" w:cstheme="minorHAnsi"/>
        </w:rPr>
        <w:br w:type="page"/>
      </w:r>
    </w:p>
    <w:p w14:paraId="1346325D" w14:textId="46FCF620" w:rsidR="00011D27" w:rsidRPr="005D211A" w:rsidRDefault="00AB3237" w:rsidP="00FF3428">
      <w:pPr>
        <w:spacing w:after="0"/>
        <w:rPr>
          <w:rFonts w:asciiTheme="minorHAnsi" w:hAnsiTheme="minorHAnsi" w:cstheme="minorHAnsi"/>
          <w:b/>
        </w:rPr>
      </w:pPr>
      <w:r>
        <w:rPr>
          <w:rFonts w:asciiTheme="minorHAnsi" w:hAnsiTheme="minorHAnsi"/>
          <w:b/>
        </w:rPr>
        <w:lastRenderedPageBreak/>
        <w:t>Основная цель</w:t>
      </w:r>
    </w:p>
    <w:p w14:paraId="4DBDB0E4" w14:textId="77777777" w:rsidR="00011D27" w:rsidRDefault="00011D27" w:rsidP="00FF3428">
      <w:pPr>
        <w:spacing w:after="0"/>
        <w:rPr>
          <w:rFonts w:asciiTheme="minorHAnsi" w:hAnsiTheme="minorHAnsi" w:cstheme="minorHAnsi"/>
        </w:rPr>
      </w:pPr>
    </w:p>
    <w:p w14:paraId="726A4A71" w14:textId="1CDC40A4" w:rsidR="0080590D" w:rsidRDefault="001C3C92" w:rsidP="00AC0352">
      <w:pPr>
        <w:pBdr>
          <w:top w:val="single" w:sz="4" w:space="1" w:color="auto"/>
          <w:left w:val="single" w:sz="4" w:space="1" w:color="auto"/>
          <w:bottom w:val="single" w:sz="4" w:space="1" w:color="auto"/>
          <w:right w:val="single" w:sz="4" w:space="1" w:color="auto"/>
        </w:pBdr>
        <w:spacing w:after="0"/>
        <w:rPr>
          <w:i/>
          <w:iCs/>
          <w:color w:val="1F497D" w:themeColor="text2"/>
          <w:u w:val="single"/>
        </w:rPr>
      </w:pPr>
      <w:r>
        <w:rPr>
          <w:i/>
          <w:iCs/>
          <w:color w:val="1F497D" w:themeColor="text2"/>
          <w:u w:val="single"/>
        </w:rPr>
        <w:t xml:space="preserve">Предлагаемое содержание (должно быть адаптировано к контексту страны): </w:t>
      </w:r>
    </w:p>
    <w:p w14:paraId="7908CA9D" w14:textId="77777777" w:rsidR="00F123BF" w:rsidRDefault="00F123BF" w:rsidP="00AC0352">
      <w:pPr>
        <w:pBdr>
          <w:top w:val="single" w:sz="4" w:space="1" w:color="auto"/>
          <w:left w:val="single" w:sz="4" w:space="1" w:color="auto"/>
          <w:bottom w:val="single" w:sz="4" w:space="1" w:color="auto"/>
          <w:right w:val="single" w:sz="4" w:space="1" w:color="auto"/>
        </w:pBdr>
        <w:spacing w:after="0"/>
        <w:rPr>
          <w:i/>
          <w:iCs/>
          <w:color w:val="1F497D" w:themeColor="text2"/>
          <w:u w:val="single"/>
        </w:rPr>
      </w:pPr>
    </w:p>
    <w:p w14:paraId="1E40666C" w14:textId="4A4AC4F0" w:rsidR="00AC0352" w:rsidRDefault="0041698A" w:rsidP="00AC0352">
      <w:pPr>
        <w:pBdr>
          <w:top w:val="single" w:sz="4" w:space="1" w:color="auto"/>
          <w:left w:val="single" w:sz="4" w:space="1" w:color="auto"/>
          <w:bottom w:val="single" w:sz="4" w:space="1" w:color="auto"/>
          <w:right w:val="single" w:sz="4" w:space="1" w:color="auto"/>
        </w:pBdr>
        <w:spacing w:after="0"/>
        <w:rPr>
          <w:bCs/>
          <w:i/>
          <w:color w:val="1F497D" w:themeColor="text2"/>
        </w:rPr>
      </w:pPr>
      <w:r>
        <w:rPr>
          <w:bCs/>
          <w:i/>
          <w:color w:val="1F497D" w:themeColor="text2"/>
        </w:rPr>
        <w:t xml:space="preserve">Цель странового ООМ по COVID-19 состоит из четырех частей: </w:t>
      </w:r>
    </w:p>
    <w:p w14:paraId="2413E8FE" w14:textId="2C3FB6C1" w:rsidR="00AC0352" w:rsidRDefault="00AC0352" w:rsidP="00AC0352">
      <w:pPr>
        <w:pBdr>
          <w:top w:val="single" w:sz="4" w:space="1" w:color="auto"/>
          <w:left w:val="single" w:sz="4" w:space="1" w:color="auto"/>
          <w:bottom w:val="single" w:sz="4" w:space="1" w:color="auto"/>
          <w:right w:val="single" w:sz="4" w:space="1" w:color="auto"/>
        </w:pBdr>
        <w:spacing w:after="0"/>
        <w:rPr>
          <w:bCs/>
          <w:i/>
          <w:color w:val="1F497D" w:themeColor="text2"/>
        </w:rPr>
      </w:pPr>
      <w:r>
        <w:rPr>
          <w:bCs/>
          <w:i/>
          <w:color w:val="1F497D" w:themeColor="text2"/>
        </w:rPr>
        <w:t xml:space="preserve">– Предоставить возможность обмениваться опытом и коллективно анализировать текущие ответные меры на COVID-19 внутри страны путем выявления проблем и лучших практик; </w:t>
      </w:r>
    </w:p>
    <w:p w14:paraId="1211D49D" w14:textId="7D0F9C88" w:rsidR="00AC0352" w:rsidRDefault="00AC0352" w:rsidP="00AC0352">
      <w:pPr>
        <w:pBdr>
          <w:top w:val="single" w:sz="4" w:space="1" w:color="auto"/>
          <w:left w:val="single" w:sz="4" w:space="1" w:color="auto"/>
          <w:bottom w:val="single" w:sz="4" w:space="1" w:color="auto"/>
          <w:right w:val="single" w:sz="4" w:space="1" w:color="auto"/>
        </w:pBdr>
        <w:spacing w:after="0"/>
        <w:rPr>
          <w:bCs/>
          <w:i/>
          <w:color w:val="1F497D" w:themeColor="text2"/>
        </w:rPr>
      </w:pPr>
      <w:r>
        <w:rPr>
          <w:bCs/>
          <w:i/>
          <w:color w:val="1F497D" w:themeColor="text2"/>
        </w:rPr>
        <w:t>– Содействовать достижению консенсуса и формулированию уроков, извлеченных различными заинтересованными в ответных мерах сторонами, для улучшения текущих ответных мер путем сохранения лучших практик, которые продемонстрировали свою успешность, и предотвращения повторяющихся ошибок;</w:t>
      </w:r>
    </w:p>
    <w:p w14:paraId="2C0AF19C" w14:textId="5AF50FA1" w:rsidR="00F123BF" w:rsidRDefault="00AC0352" w:rsidP="00AC0352">
      <w:pPr>
        <w:pBdr>
          <w:top w:val="single" w:sz="4" w:space="1" w:color="auto"/>
          <w:left w:val="single" w:sz="4" w:space="1" w:color="auto"/>
          <w:bottom w:val="single" w:sz="4" w:space="1" w:color="auto"/>
          <w:right w:val="single" w:sz="4" w:space="1" w:color="auto"/>
        </w:pBdr>
        <w:spacing w:after="0"/>
        <w:rPr>
          <w:bCs/>
          <w:i/>
          <w:color w:val="1F497D" w:themeColor="text2"/>
        </w:rPr>
      </w:pPr>
      <w:r>
        <w:rPr>
          <w:bCs/>
          <w:i/>
          <w:color w:val="1F497D" w:themeColor="text2"/>
        </w:rPr>
        <w:t>– Документировать и применять уроки, извлеченные из предпринятых до настоящего времени усилий для укрепления систем здравоохранения;</w:t>
      </w:r>
    </w:p>
    <w:p w14:paraId="3FBEB968" w14:textId="18AB9A41" w:rsidR="009B76A6" w:rsidRPr="00AC0352" w:rsidRDefault="009B76A6" w:rsidP="00AC0352">
      <w:pPr>
        <w:pBdr>
          <w:top w:val="single" w:sz="4" w:space="1" w:color="auto"/>
          <w:left w:val="single" w:sz="4" w:space="1" w:color="auto"/>
          <w:bottom w:val="single" w:sz="4" w:space="1" w:color="auto"/>
          <w:right w:val="single" w:sz="4" w:space="1" w:color="auto"/>
        </w:pBdr>
        <w:spacing w:after="0"/>
        <w:rPr>
          <w:bCs/>
          <w:i/>
          <w:color w:val="1F497D" w:themeColor="text2"/>
        </w:rPr>
      </w:pPr>
      <w:r>
        <w:rPr>
          <w:bCs/>
          <w:i/>
          <w:color w:val="1F497D" w:themeColor="text2"/>
        </w:rPr>
        <w:t>– Обеспечить основу для проверки и обновления Странового стратегического плана действий для повышения уровня готовности и реагирования систем общественного здравоохранения на COVID-19 и других стратегических планов.</w:t>
      </w:r>
    </w:p>
    <w:p w14:paraId="3902481F" w14:textId="77777777" w:rsidR="00AC0352" w:rsidRDefault="00AC0352" w:rsidP="00AC0352">
      <w:pPr>
        <w:pStyle w:val="Heading2"/>
        <w:spacing w:before="0"/>
        <w:ind w:left="360"/>
        <w:rPr>
          <w:rFonts w:asciiTheme="minorHAnsi" w:eastAsia="Calibri" w:hAnsiTheme="minorHAnsi" w:cstheme="minorHAnsi"/>
          <w:color w:val="auto"/>
          <w:sz w:val="28"/>
          <w:szCs w:val="28"/>
        </w:rPr>
      </w:pPr>
    </w:p>
    <w:p w14:paraId="2D10274B" w14:textId="06658801" w:rsidR="0019158F" w:rsidRPr="006E1E16" w:rsidRDefault="006933F2" w:rsidP="006E1E16">
      <w:pPr>
        <w:pStyle w:val="Heading2"/>
        <w:numPr>
          <w:ilvl w:val="0"/>
          <w:numId w:val="14"/>
        </w:numPr>
        <w:spacing w:before="0"/>
        <w:rPr>
          <w:rFonts w:asciiTheme="minorHAnsi" w:eastAsia="Calibri" w:hAnsiTheme="minorHAnsi" w:cstheme="minorHAnsi"/>
          <w:color w:val="auto"/>
          <w:sz w:val="28"/>
          <w:szCs w:val="28"/>
        </w:rPr>
      </w:pPr>
      <w:r>
        <w:rPr>
          <w:rFonts w:asciiTheme="minorHAnsi" w:hAnsiTheme="minorHAnsi"/>
          <w:color w:val="auto"/>
          <w:sz w:val="28"/>
          <w:szCs w:val="28"/>
        </w:rPr>
        <w:t xml:space="preserve">Сфера применения: Рассматриваемые задачи </w:t>
      </w:r>
    </w:p>
    <w:p w14:paraId="723D9D7F" w14:textId="001F5327" w:rsidR="00F3230D" w:rsidRDefault="00F3230D" w:rsidP="00F3230D">
      <w:r>
        <w:t>Что касается структурных элементов ответных мер на COVID-19, каждое правительство должно принять решение о том, следует ли рассматривать один структурный элемент или проводить комплексный обзор различных элементов. Например, страны могут рассмотреть следующие элементы, которые были выделены в документе ВОЗ «Обновленная стратегия борьбы с COVID-19» – стратегическом плане действий для повышения уровня готовности и реагирования систем общественного здравоохранения:</w:t>
      </w:r>
    </w:p>
    <w:p w14:paraId="14B3C0F2" w14:textId="1508AC5A" w:rsidR="008A077A" w:rsidRPr="008A077A" w:rsidRDefault="008A077A" w:rsidP="0042349C">
      <w:pPr>
        <w:pStyle w:val="ListParagraph"/>
        <w:numPr>
          <w:ilvl w:val="0"/>
          <w:numId w:val="25"/>
        </w:numPr>
        <w:spacing w:after="0" w:line="240" w:lineRule="auto"/>
        <w:jc w:val="both"/>
      </w:pPr>
      <w:r>
        <w:t xml:space="preserve">Координация, планирование и мониторинг на страновом уровне  </w:t>
      </w:r>
    </w:p>
    <w:p w14:paraId="4EFDC494" w14:textId="77777777" w:rsidR="008A077A" w:rsidRPr="008A077A" w:rsidRDefault="008A077A" w:rsidP="008A077A">
      <w:pPr>
        <w:pStyle w:val="ListParagraph"/>
        <w:numPr>
          <w:ilvl w:val="0"/>
          <w:numId w:val="24"/>
        </w:numPr>
        <w:spacing w:after="160" w:line="259" w:lineRule="auto"/>
        <w:jc w:val="both"/>
      </w:pPr>
      <w:r>
        <w:t xml:space="preserve">Коммуникация риска и привлечение общественности </w:t>
      </w:r>
    </w:p>
    <w:p w14:paraId="786B323C" w14:textId="77777777" w:rsidR="008A077A" w:rsidRPr="008A077A" w:rsidRDefault="008A077A" w:rsidP="008A077A">
      <w:pPr>
        <w:pStyle w:val="ListParagraph"/>
        <w:numPr>
          <w:ilvl w:val="0"/>
          <w:numId w:val="24"/>
        </w:numPr>
        <w:spacing w:after="160" w:line="259" w:lineRule="auto"/>
        <w:jc w:val="both"/>
      </w:pPr>
      <w:r>
        <w:t>Надзор, расследование случаев заболевания и отслеживание контактов</w:t>
      </w:r>
    </w:p>
    <w:p w14:paraId="43732B25" w14:textId="77777777" w:rsidR="008A077A" w:rsidRPr="008A077A" w:rsidRDefault="008A077A" w:rsidP="008A077A">
      <w:pPr>
        <w:pStyle w:val="ListParagraph"/>
        <w:numPr>
          <w:ilvl w:val="0"/>
          <w:numId w:val="24"/>
        </w:numPr>
        <w:spacing w:after="160" w:line="259" w:lineRule="auto"/>
        <w:jc w:val="both"/>
      </w:pPr>
      <w:r>
        <w:t>Пункты въезда</w:t>
      </w:r>
    </w:p>
    <w:p w14:paraId="344B1451" w14:textId="0D214259" w:rsidR="008A077A" w:rsidRPr="008A077A" w:rsidRDefault="008A077A" w:rsidP="008A077A">
      <w:pPr>
        <w:pStyle w:val="ListParagraph"/>
        <w:numPr>
          <w:ilvl w:val="0"/>
          <w:numId w:val="24"/>
        </w:numPr>
        <w:spacing w:after="160" w:line="259" w:lineRule="auto"/>
        <w:jc w:val="both"/>
      </w:pPr>
      <w:r>
        <w:t>Национальная лабораторная система</w:t>
      </w:r>
    </w:p>
    <w:p w14:paraId="3F573427" w14:textId="77777777" w:rsidR="008A077A" w:rsidRPr="008A077A" w:rsidRDefault="008A077A" w:rsidP="008A077A">
      <w:pPr>
        <w:pStyle w:val="ListParagraph"/>
        <w:numPr>
          <w:ilvl w:val="0"/>
          <w:numId w:val="24"/>
        </w:numPr>
        <w:spacing w:after="160" w:line="259" w:lineRule="auto"/>
        <w:jc w:val="both"/>
      </w:pPr>
      <w:r>
        <w:t>Профилактика и контроль инфекций</w:t>
      </w:r>
    </w:p>
    <w:p w14:paraId="0F789603" w14:textId="77777777" w:rsidR="008A077A" w:rsidRPr="008A077A" w:rsidRDefault="008A077A" w:rsidP="008A077A">
      <w:pPr>
        <w:pStyle w:val="ListParagraph"/>
        <w:numPr>
          <w:ilvl w:val="0"/>
          <w:numId w:val="24"/>
        </w:numPr>
        <w:spacing w:after="160" w:line="259" w:lineRule="auto"/>
        <w:jc w:val="both"/>
      </w:pPr>
      <w:r>
        <w:t>Ведение случаев заболевания и обмен знаниями в области последних инноваций и исследований</w:t>
      </w:r>
    </w:p>
    <w:p w14:paraId="201F9C67" w14:textId="77777777" w:rsidR="008A077A" w:rsidRPr="008A077A" w:rsidRDefault="008A077A" w:rsidP="008A077A">
      <w:pPr>
        <w:pStyle w:val="ListParagraph"/>
        <w:numPr>
          <w:ilvl w:val="0"/>
          <w:numId w:val="24"/>
        </w:numPr>
        <w:spacing w:after="160" w:line="259" w:lineRule="auto"/>
        <w:jc w:val="both"/>
      </w:pPr>
      <w:r>
        <w:t>Оперативная поддержка и логистика в цепочке поставок и управлении персоналом</w:t>
      </w:r>
    </w:p>
    <w:p w14:paraId="77BFCE71" w14:textId="134A8835" w:rsidR="008A077A" w:rsidRDefault="008A077A" w:rsidP="008A077A">
      <w:pPr>
        <w:pStyle w:val="ListParagraph"/>
        <w:numPr>
          <w:ilvl w:val="0"/>
          <w:numId w:val="24"/>
        </w:numPr>
        <w:spacing w:after="160" w:line="259" w:lineRule="auto"/>
        <w:jc w:val="both"/>
      </w:pPr>
      <w:r>
        <w:t xml:space="preserve">Сохранение оказания основных медицинских услуг во время вспышки COVID-19 </w:t>
      </w:r>
    </w:p>
    <w:p w14:paraId="5156EEB4" w14:textId="30990928" w:rsidR="00F3230D" w:rsidRDefault="00F3230D" w:rsidP="00F3230D">
      <w:bookmarkStart w:id="1" w:name="_Hlk41456800"/>
      <w:r>
        <w:t>Вышеприведенный список структурных элементов является только ориентировочным и может быть пересмотрен или адаптирован в соответствии с потребностями и приоритетами страны.</w:t>
      </w:r>
    </w:p>
    <w:p w14:paraId="62CDB5F3" w14:textId="1EEE801C" w:rsidR="00F3230D" w:rsidRDefault="009B76A6" w:rsidP="00F3230D">
      <w:r>
        <w:t xml:space="preserve">Помимо упомянутых выше структурных элементов и в зависимости от актуальных проблем в разных контекстах во время ООМ также могут быть рассмотрены и другие темы или комплексные вопросы. Страны могут также пересмотреть свои меры социального и общественного здравоохранения нефармацевтического характера, включая меры физического дистанцирования, ограничения на передвижение, закрытие предприятий или школ и «новую норму жизни» при последующем открытии, планы обеспечения непрерывности бизнеса, а также исследований и </w:t>
      </w:r>
      <w:r>
        <w:lastRenderedPageBreak/>
        <w:t xml:space="preserve">развития. Кроме того, страны могут использовать ООМ для анализа того, как они перевели свой национальный план действий в чрезвычайных ситуациях, связанных с пандемическим гриппом, в план реагирования на COVID-19. </w:t>
      </w:r>
    </w:p>
    <w:bookmarkEnd w:id="1"/>
    <w:p w14:paraId="5177FA6B" w14:textId="651E0FAE" w:rsidR="00830345" w:rsidRPr="007812E9" w:rsidRDefault="00713663" w:rsidP="0019158F">
      <w:pPr>
        <w:rPr>
          <w:rFonts w:asciiTheme="minorHAnsi" w:hAnsiTheme="minorHAnsi" w:cstheme="minorHAnsi"/>
        </w:rPr>
      </w:pPr>
      <w:r>
        <w:t xml:space="preserve">В области применения также должен быть указан период действия ООМ. Вы можете считать началом момент начала мероприятий по обеспечению готовности к COVID-19 в вашей стране и до настоящего времени. Учитывая, что страны могут проводить несколько ООМ по мере того, как пандемия COVID-19 становится все более затяжной, период обзора может также быть промежуточным периодом с момента последнего ООМ.  </w:t>
      </w:r>
    </w:p>
    <w:p w14:paraId="726A4AA6" w14:textId="77777777" w:rsidR="009E6DE0" w:rsidRPr="007812E9" w:rsidRDefault="009E6DE0" w:rsidP="00FD6983">
      <w:pPr>
        <w:pStyle w:val="Heading2"/>
        <w:numPr>
          <w:ilvl w:val="0"/>
          <w:numId w:val="14"/>
        </w:numPr>
        <w:spacing w:before="0"/>
        <w:rPr>
          <w:rFonts w:asciiTheme="minorHAnsi" w:eastAsia="Calibri" w:hAnsiTheme="minorHAnsi" w:cstheme="minorHAnsi"/>
          <w:color w:val="auto"/>
          <w:sz w:val="28"/>
          <w:szCs w:val="28"/>
        </w:rPr>
      </w:pPr>
      <w:r>
        <w:rPr>
          <w:rFonts w:asciiTheme="minorHAnsi" w:hAnsiTheme="minorHAnsi"/>
          <w:color w:val="auto"/>
          <w:sz w:val="28"/>
          <w:szCs w:val="28"/>
        </w:rPr>
        <w:t>Методология</w:t>
      </w:r>
    </w:p>
    <w:p w14:paraId="651D2C16" w14:textId="2B3138FC" w:rsidR="00941124" w:rsidRPr="007812E9" w:rsidRDefault="00941124" w:rsidP="00941124">
      <w:r>
        <w:t xml:space="preserve">Предлагаемое содержание: </w:t>
      </w:r>
    </w:p>
    <w:p w14:paraId="66E7B1CA" w14:textId="14461AF2" w:rsidR="00941124" w:rsidRPr="007812E9" w:rsidRDefault="00941124" w:rsidP="00941124">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rPr>
      </w:pPr>
      <w:r>
        <w:rPr>
          <w:b/>
          <w:color w:val="1F497D" w:themeColor="text2"/>
        </w:rPr>
        <w:t>Пример описания методологии:</w:t>
      </w:r>
    </w:p>
    <w:p w14:paraId="7688409D" w14:textId="77777777" w:rsidR="002842C1" w:rsidRPr="007812E9" w:rsidRDefault="002842C1" w:rsidP="002842C1">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lang w:eastAsia="ja-JP"/>
        </w:rPr>
      </w:pPr>
    </w:p>
    <w:p w14:paraId="3972D5A8" w14:textId="3D6761BF" w:rsidR="002842C1" w:rsidRDefault="004C635F" w:rsidP="002842C1">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bCs/>
          <w:color w:val="1F497D" w:themeColor="text2"/>
        </w:rPr>
      </w:pPr>
      <w:r>
        <w:rPr>
          <w:color w:val="1F497D" w:themeColor="text2"/>
        </w:rPr>
        <w:t xml:space="preserve">ООМ будет включать интерактивную, структурированную методологию с использованием удобных для пользователя материалов и интерактивных методов координации.  </w:t>
      </w:r>
      <w:r>
        <w:rPr>
          <w:bCs/>
          <w:color w:val="1F497D" w:themeColor="text2"/>
        </w:rPr>
        <w:t>ООМ не является оценкой эффективности действий страны, ее учреждений и отдельных лиц, участвующих в принятии ответных мер на COVID-19.  Напротив, это возможность для респондентов поразмыслить о проделанной работе и определить области улучшения для дальнейшего усовершенствования ответных мер.</w:t>
      </w:r>
    </w:p>
    <w:p w14:paraId="19279464" w14:textId="77777777" w:rsidR="002842C1" w:rsidRDefault="002842C1" w:rsidP="002842C1">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bCs/>
          <w:color w:val="1F497D" w:themeColor="text2"/>
        </w:rPr>
      </w:pPr>
    </w:p>
    <w:p w14:paraId="546ECE5A" w14:textId="37A60C09" w:rsidR="00182EAB" w:rsidRDefault="00182EAB" w:rsidP="00941124">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rPr>
      </w:pPr>
      <w:r>
        <w:rPr>
          <w:color w:val="1F497D" w:themeColor="text2"/>
        </w:rPr>
        <w:t>Участники внесут свой вклад в обзор заранее определенных элементов, но также будут созданы возможности для обмена информацией и проведения перекрестного обучения с другими элементами на протяжении всего процесса. ООМ занимает от 0,5 до 2 дней, его структура представлена ниже.</w:t>
      </w:r>
    </w:p>
    <w:p w14:paraId="467862E0" w14:textId="77777777" w:rsidR="00650C4C" w:rsidRDefault="00650C4C" w:rsidP="00941124">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lang w:eastAsia="ja-JP"/>
        </w:rPr>
      </w:pPr>
    </w:p>
    <w:p w14:paraId="49ED6CD0" w14:textId="280B4F6D" w:rsidR="00650C4C" w:rsidRDefault="00650C4C" w:rsidP="00941124">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rPr>
      </w:pPr>
      <w:r w:rsidRPr="008B1CDD">
        <w:rPr>
          <w:b/>
          <w:bCs/>
          <w:color w:val="1F497D" w:themeColor="text2"/>
        </w:rPr>
        <w:t>Введение:</w:t>
      </w:r>
      <w:r>
        <w:rPr>
          <w:color w:val="1F497D" w:themeColor="text2"/>
        </w:rPr>
        <w:t xml:space="preserve"> Описание мер реагирования для установления исходных условий для проведения обзора. Это описание может включать представление текущей стратегии страны по COVID-19 и плана реагирования; проверку соответствующих документов по COVID-19, таких как политика, планы реагирования, руководящие принципы и отчеты о деятельности. Это также момент для понимания возможностей, которые существовали до принятия мер реагирования на COVID-19, возможностей, разработанных для реагирование на COVID-19 и во время него, а также фактических сроков реагирования на сегодняшний день.  </w:t>
      </w:r>
    </w:p>
    <w:p w14:paraId="2B076D5A" w14:textId="2F711AA6" w:rsidR="00182EAB" w:rsidRDefault="00182EAB" w:rsidP="00941124">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lang w:eastAsia="ja-JP"/>
        </w:rPr>
      </w:pPr>
    </w:p>
    <w:p w14:paraId="21181C09" w14:textId="61C3C4E0" w:rsidR="00650C4C" w:rsidRDefault="00E84F43" w:rsidP="00941124">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rPr>
      </w:pPr>
      <w:r>
        <w:rPr>
          <w:b/>
          <w:bCs/>
          <w:color w:val="1F497D" w:themeColor="text2"/>
        </w:rPr>
        <w:t>Что прошло хорошо? Что прошло не очень хорошо? Почему?</w:t>
      </w:r>
      <w:r>
        <w:rPr>
          <w:color w:val="1F497D" w:themeColor="text2"/>
        </w:rPr>
        <w:t xml:space="preserve"> На основе обзора текущего плана реагирования участники дискуссии начнут выявлять и анализировать, что сработало, что не сработало и почему. Участники совместно проанализируют действия, предпринятые в ходе реагирования на COVID-19 на сегодняшний день, чтобы определить наилучшую практику и возникшие проблемы, их влияние на меры реагирования и причины их возникновения (стимулирующие/ограничивающие факторы). Основное внимание уделяется не тому, кто несет ответственность за то, что произошло, а тому, что произошло и почему.  </w:t>
      </w:r>
    </w:p>
    <w:p w14:paraId="74A3DA54" w14:textId="77777777" w:rsidR="001255CD" w:rsidRDefault="001255CD" w:rsidP="00941124">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lang w:eastAsia="ja-JP"/>
        </w:rPr>
      </w:pPr>
    </w:p>
    <w:p w14:paraId="03CA2185" w14:textId="730BBB7B" w:rsidR="00E84F43" w:rsidRDefault="00E84F43" w:rsidP="00941124">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rPr>
      </w:pPr>
      <w:r>
        <w:rPr>
          <w:b/>
          <w:bCs/>
          <w:color w:val="1F497D" w:themeColor="text2"/>
        </w:rPr>
        <w:t>Что можно сделать для улучшения мер реагирования?</w:t>
      </w:r>
      <w:r>
        <w:rPr>
          <w:color w:val="1F497D" w:themeColor="text2"/>
        </w:rPr>
        <w:t xml:space="preserve"> Участники определят и разработают мероприятия по устранению причин проблем, выявленных в нынешнем плане реагирования на COVID-19, а также мероприятия по приданию передовой практике законного статуса. Участники будут играть важную роль и не только рекомендовать мероприятия, но и определять сроки их осуществления, распределять обязанности между соответствующими координационными центрами, определять возможную необходимую поддержку и определять показатели для мониторинга прогресса. Участники должны будут обеспечить согласованность, реалистичность и </w:t>
      </w:r>
      <w:r>
        <w:rPr>
          <w:color w:val="1F497D" w:themeColor="text2"/>
        </w:rPr>
        <w:lastRenderedPageBreak/>
        <w:t xml:space="preserve">достижимость мероприятий.   </w:t>
      </w:r>
    </w:p>
    <w:p w14:paraId="6E8A380B" w14:textId="77777777" w:rsidR="001255CD" w:rsidRDefault="001255CD" w:rsidP="00941124">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lang w:eastAsia="ja-JP"/>
        </w:rPr>
      </w:pPr>
    </w:p>
    <w:p w14:paraId="5F98835A" w14:textId="3ABB2027" w:rsidR="00C0383B" w:rsidRPr="00941124" w:rsidRDefault="00C0383B" w:rsidP="003770BC">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rPr>
      </w:pPr>
      <w:r>
        <w:rPr>
          <w:b/>
          <w:bCs/>
          <w:color w:val="1F497D" w:themeColor="text2"/>
        </w:rPr>
        <w:t>Возможные варианты действий:</w:t>
      </w:r>
      <w:r>
        <w:rPr>
          <w:color w:val="1F497D" w:themeColor="text2"/>
        </w:rPr>
        <w:t xml:space="preserve"> Будет разработан план осуществления этих мероприятий. Среди мероприятий участники определят, что можно предпринять немедленно для улучшения текущих ответных мер; и что можно сделать в среднесрочной или долгосрочной перспективе для улучшения ответных мер на следующие волны вспышки COVID-19.  Участникам следует тщательно рассмотреть вопрос о создании группы по последующей деятельности и разработать процесс документирования прогресса в осуществлении выявленных ключевых мероприятий. Они также договорятся о наилучшем способе привлечения группы старших руководителей на протяжении всего процесса для поддержки осуществления рекомендаций.</w:t>
      </w:r>
    </w:p>
    <w:p w14:paraId="5203AD0A" w14:textId="53E2A8CE" w:rsidR="00941124" w:rsidRPr="002842C1" w:rsidRDefault="004C635F" w:rsidP="00941124">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rPr>
      </w:pPr>
      <w:r>
        <w:rPr>
          <w:color w:val="1F497D" w:themeColor="text2"/>
        </w:rPr>
        <w:t xml:space="preserve">  </w:t>
      </w:r>
    </w:p>
    <w:p w14:paraId="3A281DD3" w14:textId="77777777" w:rsidR="00105AAF" w:rsidRPr="00105AAF" w:rsidRDefault="00105AAF" w:rsidP="00105AAF">
      <w:pPr>
        <w:pStyle w:val="Heading2"/>
        <w:spacing w:before="0"/>
        <w:ind w:left="360"/>
        <w:rPr>
          <w:rFonts w:asciiTheme="minorHAnsi" w:hAnsiTheme="minorHAnsi" w:cstheme="minorHAnsi"/>
          <w:color w:val="auto"/>
        </w:rPr>
      </w:pPr>
    </w:p>
    <w:p w14:paraId="77352C21" w14:textId="418B4485" w:rsidR="00A77051" w:rsidRPr="00B916C0" w:rsidRDefault="00CC7EA3" w:rsidP="00A77051">
      <w:pPr>
        <w:pStyle w:val="Heading2"/>
        <w:numPr>
          <w:ilvl w:val="0"/>
          <w:numId w:val="14"/>
        </w:numPr>
        <w:spacing w:before="0"/>
        <w:rPr>
          <w:rFonts w:asciiTheme="minorHAnsi" w:hAnsiTheme="minorHAnsi" w:cstheme="minorHAnsi"/>
          <w:color w:val="auto"/>
        </w:rPr>
      </w:pPr>
      <w:r>
        <w:rPr>
          <w:rFonts w:asciiTheme="minorHAnsi" w:hAnsiTheme="minorHAnsi"/>
          <w:color w:val="auto"/>
          <w:sz w:val="28"/>
          <w:szCs w:val="28"/>
        </w:rPr>
        <w:t>Участники обзора осуществляемых мер (ООМ)</w:t>
      </w:r>
    </w:p>
    <w:p w14:paraId="4DEAF4EF" w14:textId="7D938806" w:rsidR="00A77051" w:rsidRPr="001C3C92" w:rsidRDefault="0041698A" w:rsidP="0007717A">
      <w:pPr>
        <w:rPr>
          <w:rFonts w:asciiTheme="minorHAnsi" w:hAnsiTheme="minorHAnsi" w:cstheme="minorHAnsi"/>
        </w:rPr>
      </w:pPr>
      <w:r>
        <w:rPr>
          <w:rFonts w:asciiTheme="minorHAnsi" w:hAnsiTheme="minorHAnsi"/>
        </w:rPr>
        <w:t>Исходя из сферы охвата обзора (т. е. рассмотренных функций/основных компонентов), перечислите участников и их организации. Для того чтобы сделать ООМ страны по COVID-19 более эффективным путем сбалансирования требований разнообразия и экспертных знаний, не ставя под угрозу саму реакцию, идеальное число участников должно составлять от 10 до 20 человек.</w:t>
      </w:r>
    </w:p>
    <w:tbl>
      <w:tblPr>
        <w:tblStyle w:val="a1"/>
        <w:tblW w:w="95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49"/>
        <w:gridCol w:w="2247"/>
        <w:gridCol w:w="3364"/>
      </w:tblGrid>
      <w:tr w:rsidR="006E1E16" w:rsidRPr="001C3C92" w14:paraId="116E831E" w14:textId="77777777" w:rsidTr="008562D2">
        <w:trPr>
          <w:jc w:val="center"/>
        </w:trPr>
        <w:tc>
          <w:tcPr>
            <w:tcW w:w="3949" w:type="dxa"/>
          </w:tcPr>
          <w:p w14:paraId="49C353E8" w14:textId="77777777" w:rsidR="006E1E16" w:rsidRPr="001C3C92" w:rsidRDefault="006E1E16" w:rsidP="006E1E16">
            <w:pPr>
              <w:rPr>
                <w:rFonts w:asciiTheme="minorHAnsi" w:hAnsiTheme="minorHAnsi" w:cstheme="minorHAnsi"/>
              </w:rPr>
            </w:pPr>
            <w:r>
              <w:rPr>
                <w:rFonts w:asciiTheme="minorHAnsi" w:hAnsiTheme="minorHAnsi"/>
                <w:b/>
                <w:i/>
              </w:rPr>
              <w:t>ФИО</w:t>
            </w:r>
          </w:p>
        </w:tc>
        <w:tc>
          <w:tcPr>
            <w:tcW w:w="2247" w:type="dxa"/>
          </w:tcPr>
          <w:p w14:paraId="114C8E5B" w14:textId="1C667B9F" w:rsidR="006E1E16" w:rsidRPr="00002489" w:rsidRDefault="006E1E16" w:rsidP="0007717A">
            <w:pPr>
              <w:rPr>
                <w:rFonts w:asciiTheme="minorHAnsi" w:hAnsiTheme="minorHAnsi" w:cstheme="minorHAnsi"/>
                <w:b/>
                <w:i/>
              </w:rPr>
            </w:pPr>
            <w:r>
              <w:rPr>
                <w:rFonts w:asciiTheme="minorHAnsi" w:hAnsiTheme="minorHAnsi"/>
                <w:b/>
                <w:i/>
              </w:rPr>
              <w:t xml:space="preserve">Функция </w:t>
            </w:r>
          </w:p>
        </w:tc>
        <w:tc>
          <w:tcPr>
            <w:tcW w:w="3364" w:type="dxa"/>
          </w:tcPr>
          <w:p w14:paraId="1B57C6B3" w14:textId="77777777" w:rsidR="006E1E16" w:rsidRPr="001C3C92" w:rsidRDefault="006E1E16" w:rsidP="006E1E16">
            <w:pPr>
              <w:rPr>
                <w:rFonts w:asciiTheme="minorHAnsi" w:hAnsiTheme="minorHAnsi" w:cstheme="minorHAnsi"/>
              </w:rPr>
            </w:pPr>
            <w:r>
              <w:rPr>
                <w:rFonts w:asciiTheme="minorHAnsi" w:hAnsiTheme="minorHAnsi"/>
                <w:b/>
                <w:i/>
              </w:rPr>
              <w:t>Организация</w:t>
            </w:r>
          </w:p>
        </w:tc>
      </w:tr>
      <w:tr w:rsidR="006E1E16" w:rsidRPr="001C3C92" w14:paraId="41855FF9" w14:textId="77777777" w:rsidTr="008562D2">
        <w:trPr>
          <w:jc w:val="center"/>
        </w:trPr>
        <w:tc>
          <w:tcPr>
            <w:tcW w:w="3949" w:type="dxa"/>
          </w:tcPr>
          <w:p w14:paraId="57A8D151" w14:textId="77777777" w:rsidR="006E1E16" w:rsidRPr="001C3C92" w:rsidRDefault="006E1E16" w:rsidP="006E1E16">
            <w:pPr>
              <w:rPr>
                <w:rFonts w:asciiTheme="minorHAnsi" w:hAnsiTheme="minorHAnsi" w:cstheme="minorHAnsi"/>
              </w:rPr>
            </w:pPr>
          </w:p>
        </w:tc>
        <w:tc>
          <w:tcPr>
            <w:tcW w:w="2247" w:type="dxa"/>
          </w:tcPr>
          <w:p w14:paraId="6BF46C92" w14:textId="77777777" w:rsidR="006E1E16" w:rsidRPr="001C3C92" w:rsidRDefault="006E1E16" w:rsidP="006E1E16">
            <w:pPr>
              <w:rPr>
                <w:rFonts w:asciiTheme="minorHAnsi" w:hAnsiTheme="minorHAnsi" w:cstheme="minorHAnsi"/>
              </w:rPr>
            </w:pPr>
          </w:p>
        </w:tc>
        <w:tc>
          <w:tcPr>
            <w:tcW w:w="3364" w:type="dxa"/>
          </w:tcPr>
          <w:p w14:paraId="0DCE61AA" w14:textId="77777777" w:rsidR="006E1E16" w:rsidRPr="001C3C92" w:rsidRDefault="006E1E16" w:rsidP="006E1E16">
            <w:pPr>
              <w:rPr>
                <w:rFonts w:asciiTheme="minorHAnsi" w:hAnsiTheme="minorHAnsi" w:cstheme="minorHAnsi"/>
              </w:rPr>
            </w:pPr>
          </w:p>
        </w:tc>
      </w:tr>
      <w:tr w:rsidR="006E1E16" w:rsidRPr="001C3C92" w14:paraId="39EF1A61" w14:textId="77777777" w:rsidTr="008562D2">
        <w:trPr>
          <w:jc w:val="center"/>
        </w:trPr>
        <w:tc>
          <w:tcPr>
            <w:tcW w:w="3949" w:type="dxa"/>
          </w:tcPr>
          <w:p w14:paraId="34BF9A31" w14:textId="77777777" w:rsidR="006E1E16" w:rsidRPr="001C3C92" w:rsidRDefault="006E1E16" w:rsidP="006E1E16">
            <w:pPr>
              <w:rPr>
                <w:rFonts w:asciiTheme="minorHAnsi" w:hAnsiTheme="minorHAnsi" w:cstheme="minorHAnsi"/>
              </w:rPr>
            </w:pPr>
          </w:p>
        </w:tc>
        <w:tc>
          <w:tcPr>
            <w:tcW w:w="2247" w:type="dxa"/>
          </w:tcPr>
          <w:p w14:paraId="6F0BE26C" w14:textId="77777777" w:rsidR="006E1E16" w:rsidRPr="001C3C92" w:rsidRDefault="006E1E16" w:rsidP="006E1E16">
            <w:pPr>
              <w:rPr>
                <w:rFonts w:asciiTheme="minorHAnsi" w:hAnsiTheme="minorHAnsi" w:cstheme="minorHAnsi"/>
              </w:rPr>
            </w:pPr>
          </w:p>
        </w:tc>
        <w:tc>
          <w:tcPr>
            <w:tcW w:w="3364" w:type="dxa"/>
          </w:tcPr>
          <w:p w14:paraId="32D53F6D" w14:textId="77777777" w:rsidR="006E1E16" w:rsidRPr="001C3C92" w:rsidRDefault="006E1E16" w:rsidP="006E1E16">
            <w:pPr>
              <w:rPr>
                <w:rFonts w:asciiTheme="minorHAnsi" w:hAnsiTheme="minorHAnsi" w:cstheme="minorHAnsi"/>
              </w:rPr>
            </w:pPr>
          </w:p>
        </w:tc>
      </w:tr>
      <w:tr w:rsidR="006E1E16" w:rsidRPr="001C3C92" w14:paraId="6186993F" w14:textId="77777777" w:rsidTr="008562D2">
        <w:trPr>
          <w:jc w:val="center"/>
        </w:trPr>
        <w:tc>
          <w:tcPr>
            <w:tcW w:w="3949" w:type="dxa"/>
          </w:tcPr>
          <w:p w14:paraId="24D3D6A7" w14:textId="77777777" w:rsidR="006E1E16" w:rsidRPr="001C3C92" w:rsidRDefault="006E1E16" w:rsidP="006E1E16">
            <w:pPr>
              <w:rPr>
                <w:rFonts w:asciiTheme="minorHAnsi" w:hAnsiTheme="minorHAnsi" w:cstheme="minorHAnsi"/>
              </w:rPr>
            </w:pPr>
          </w:p>
        </w:tc>
        <w:tc>
          <w:tcPr>
            <w:tcW w:w="2247" w:type="dxa"/>
          </w:tcPr>
          <w:p w14:paraId="5CC38C29" w14:textId="77777777" w:rsidR="006E1E16" w:rsidRPr="001C3C92" w:rsidRDefault="006E1E16" w:rsidP="006E1E16">
            <w:pPr>
              <w:rPr>
                <w:rFonts w:asciiTheme="minorHAnsi" w:hAnsiTheme="minorHAnsi" w:cstheme="minorHAnsi"/>
              </w:rPr>
            </w:pPr>
          </w:p>
        </w:tc>
        <w:tc>
          <w:tcPr>
            <w:tcW w:w="3364" w:type="dxa"/>
          </w:tcPr>
          <w:p w14:paraId="0E294D49" w14:textId="77777777" w:rsidR="006E1E16" w:rsidRPr="001C3C92" w:rsidRDefault="006E1E16" w:rsidP="006E1E16">
            <w:pPr>
              <w:rPr>
                <w:rFonts w:asciiTheme="minorHAnsi" w:hAnsiTheme="minorHAnsi" w:cstheme="minorHAnsi"/>
              </w:rPr>
            </w:pPr>
          </w:p>
        </w:tc>
      </w:tr>
      <w:tr w:rsidR="006E1E16" w:rsidRPr="001C3C92" w14:paraId="245B036F" w14:textId="77777777" w:rsidTr="008562D2">
        <w:trPr>
          <w:jc w:val="center"/>
        </w:trPr>
        <w:tc>
          <w:tcPr>
            <w:tcW w:w="3949" w:type="dxa"/>
          </w:tcPr>
          <w:p w14:paraId="03B1FAC7" w14:textId="77777777" w:rsidR="006E1E16" w:rsidRPr="001C3C92" w:rsidRDefault="006E1E16" w:rsidP="006E1E16">
            <w:pPr>
              <w:rPr>
                <w:rFonts w:asciiTheme="minorHAnsi" w:hAnsiTheme="minorHAnsi" w:cstheme="minorHAnsi"/>
              </w:rPr>
            </w:pPr>
          </w:p>
        </w:tc>
        <w:tc>
          <w:tcPr>
            <w:tcW w:w="2247" w:type="dxa"/>
          </w:tcPr>
          <w:p w14:paraId="6E3D26B6" w14:textId="77777777" w:rsidR="006E1E16" w:rsidRPr="001C3C92" w:rsidRDefault="006E1E16" w:rsidP="006E1E16">
            <w:pPr>
              <w:rPr>
                <w:rFonts w:asciiTheme="minorHAnsi" w:hAnsiTheme="minorHAnsi" w:cstheme="minorHAnsi"/>
              </w:rPr>
            </w:pPr>
          </w:p>
        </w:tc>
        <w:tc>
          <w:tcPr>
            <w:tcW w:w="3364" w:type="dxa"/>
          </w:tcPr>
          <w:p w14:paraId="1DBADA72" w14:textId="77777777" w:rsidR="006E1E16" w:rsidRPr="001C3C92" w:rsidRDefault="006E1E16" w:rsidP="006E1E16">
            <w:pPr>
              <w:rPr>
                <w:rFonts w:asciiTheme="minorHAnsi" w:hAnsiTheme="minorHAnsi" w:cstheme="minorHAnsi"/>
              </w:rPr>
            </w:pPr>
          </w:p>
        </w:tc>
      </w:tr>
    </w:tbl>
    <w:p w14:paraId="529F7FC2" w14:textId="67F27E71" w:rsidR="00A77051" w:rsidRDefault="00A77051" w:rsidP="00A77051">
      <w:pPr>
        <w:pStyle w:val="Heading2"/>
        <w:spacing w:before="0"/>
        <w:rPr>
          <w:rFonts w:asciiTheme="minorHAnsi" w:hAnsiTheme="minorHAnsi" w:cstheme="minorHAnsi"/>
          <w:color w:val="auto"/>
        </w:rPr>
      </w:pPr>
    </w:p>
    <w:p w14:paraId="4B172142" w14:textId="30388B1A" w:rsidR="002842C1" w:rsidRPr="002842C1" w:rsidRDefault="002842C1" w:rsidP="002842C1">
      <w:r>
        <w:t>Если это имеет отношение к вашей стране ООМ по COVID-19, пожалуйста, также перечислите технических экспертов ВОЗ и партнеров, которые могут участвовать в оказании технической поддержки или предоставить объективную точку зрения в ходе обзора.</w:t>
      </w:r>
    </w:p>
    <w:p w14:paraId="726A4AB1" w14:textId="4AF2067D" w:rsidR="00261C20" w:rsidRPr="007812E9" w:rsidRDefault="002842C1" w:rsidP="00FD6983">
      <w:pPr>
        <w:pStyle w:val="Heading2"/>
        <w:numPr>
          <w:ilvl w:val="0"/>
          <w:numId w:val="14"/>
        </w:numPr>
        <w:spacing w:before="0"/>
        <w:rPr>
          <w:rFonts w:asciiTheme="minorHAnsi" w:hAnsiTheme="minorHAnsi" w:cstheme="minorHAnsi"/>
        </w:rPr>
      </w:pPr>
      <w:bookmarkStart w:id="2" w:name="_Hlk39572932"/>
      <w:r>
        <w:rPr>
          <w:rFonts w:asciiTheme="minorHAnsi" w:hAnsiTheme="minorHAnsi"/>
          <w:color w:val="000000"/>
          <w:sz w:val="28"/>
          <w:szCs w:val="28"/>
        </w:rPr>
        <w:t>Команда Обзора осуществляемых мер по COVID-19</w:t>
      </w:r>
      <w:bookmarkEnd w:id="2"/>
      <w:r>
        <w:rPr>
          <w:rFonts w:asciiTheme="minorHAnsi" w:hAnsiTheme="minorHAnsi"/>
          <w:color w:val="000000"/>
          <w:sz w:val="28"/>
          <w:szCs w:val="28"/>
        </w:rPr>
        <w:t>(ООМ)</w:t>
      </w:r>
    </w:p>
    <w:p w14:paraId="6E5370AC" w14:textId="1FCF4796" w:rsidR="00D4285C" w:rsidRPr="007812E9" w:rsidRDefault="00EB00BA" w:rsidP="003D207A">
      <w:pPr>
        <w:jc w:val="both"/>
        <w:rPr>
          <w:rFonts w:asciiTheme="minorHAnsi" w:hAnsiTheme="minorHAnsi" w:cstheme="minorHAnsi"/>
        </w:rPr>
      </w:pPr>
      <w:r>
        <w:rPr>
          <w:rFonts w:asciiTheme="minorHAnsi" w:hAnsiTheme="minorHAnsi"/>
        </w:rPr>
        <w:t xml:space="preserve">Следует создать координационную группу страны, ответственную за подготовку и проведение обзора. Ведущий координатор ООМ отвечает за общее планирование, проведение и последующую деятельность ООМ. </w:t>
      </w:r>
    </w:p>
    <w:p w14:paraId="3455B665" w14:textId="6A261D0D" w:rsidR="00737475" w:rsidRPr="007812E9" w:rsidRDefault="003770BC" w:rsidP="00737475">
      <w:pPr>
        <w:jc w:val="both"/>
        <w:rPr>
          <w:rFonts w:asciiTheme="minorHAnsi" w:hAnsiTheme="minorHAnsi" w:cstheme="minorHAnsi"/>
        </w:rPr>
      </w:pPr>
      <w:r>
        <w:rPr>
          <w:rFonts w:asciiTheme="minorHAnsi" w:hAnsiTheme="minorHAnsi"/>
        </w:rPr>
        <w:t>Ведущему координатору ООМ будет оказывать помощь группа, каждая из которых будет иметь свои задачи и обязанности по подготовке, разработке и внедрению ООМ. Основные роли:</w:t>
      </w:r>
    </w:p>
    <w:p w14:paraId="09C31879" w14:textId="0654127F" w:rsidR="00737475" w:rsidRPr="007812E9" w:rsidRDefault="00CC7EA3" w:rsidP="00737475">
      <w:pPr>
        <w:pStyle w:val="ListParagraph"/>
        <w:numPr>
          <w:ilvl w:val="0"/>
          <w:numId w:val="17"/>
        </w:numPr>
        <w:jc w:val="both"/>
        <w:rPr>
          <w:rFonts w:asciiTheme="minorHAnsi" w:hAnsiTheme="minorHAnsi" w:cstheme="minorHAnsi"/>
        </w:rPr>
      </w:pPr>
      <w:r>
        <w:rPr>
          <w:rFonts w:asciiTheme="minorHAnsi" w:hAnsiTheme="minorHAnsi"/>
        </w:rPr>
        <w:t>Ведущий координатор ООМ (управление проектами)</w:t>
      </w:r>
    </w:p>
    <w:p w14:paraId="7861E949" w14:textId="6256332E" w:rsidR="00737475" w:rsidRPr="007812E9" w:rsidRDefault="00737475" w:rsidP="00050E93">
      <w:pPr>
        <w:pStyle w:val="ListParagraph"/>
        <w:numPr>
          <w:ilvl w:val="0"/>
          <w:numId w:val="17"/>
        </w:numPr>
        <w:jc w:val="both"/>
        <w:rPr>
          <w:rFonts w:asciiTheme="minorHAnsi" w:hAnsiTheme="minorHAnsi" w:cstheme="minorHAnsi"/>
        </w:rPr>
      </w:pPr>
      <w:r>
        <w:rPr>
          <w:rFonts w:asciiTheme="minorHAnsi" w:hAnsiTheme="minorHAnsi"/>
        </w:rPr>
        <w:t>Ведущий куратор и помощники куратора (для решения технических вопросов)</w:t>
      </w:r>
    </w:p>
    <w:p w14:paraId="4BFE7B61" w14:textId="43203B59" w:rsidR="00737475" w:rsidRPr="007812E9" w:rsidRDefault="00737475" w:rsidP="00480C97">
      <w:pPr>
        <w:pStyle w:val="ListParagraph"/>
        <w:numPr>
          <w:ilvl w:val="0"/>
          <w:numId w:val="17"/>
        </w:numPr>
        <w:jc w:val="both"/>
        <w:rPr>
          <w:rFonts w:asciiTheme="minorHAnsi" w:hAnsiTheme="minorHAnsi" w:cstheme="minorHAnsi"/>
        </w:rPr>
      </w:pPr>
      <w:r>
        <w:rPr>
          <w:rFonts w:asciiTheme="minorHAnsi" w:hAnsiTheme="minorHAnsi"/>
        </w:rPr>
        <w:t>Стенографист и составитель отчета</w:t>
      </w:r>
    </w:p>
    <w:p w14:paraId="037663F3" w14:textId="631C68FE" w:rsidR="00EB00BA" w:rsidRDefault="00D4285C" w:rsidP="00C90B3A">
      <w:pPr>
        <w:jc w:val="both"/>
        <w:rPr>
          <w:rFonts w:asciiTheme="minorHAnsi" w:hAnsiTheme="minorHAnsi"/>
        </w:rPr>
      </w:pPr>
      <w:r>
        <w:rPr>
          <w:rFonts w:asciiTheme="minorHAnsi" w:hAnsiTheme="minorHAnsi"/>
        </w:rPr>
        <w:t>В зависимости от области применения ООМ одно лицо может быть назначено на выполнение нескольких ролей или несколько человек могут выполнять определенную роль. Самое главное, пожалуйста, убедитесь, что по крайней мере один член группы содействия обладает техническими знаниями по каждому рассматриваемому компоненту.</w:t>
      </w:r>
    </w:p>
    <w:p w14:paraId="53F4B3E9" w14:textId="6DA6D11A" w:rsidR="00B94651" w:rsidRDefault="00B94651" w:rsidP="00C90B3A">
      <w:pPr>
        <w:jc w:val="both"/>
        <w:rPr>
          <w:rFonts w:asciiTheme="minorHAnsi" w:hAnsiTheme="minorHAnsi"/>
        </w:rPr>
      </w:pPr>
    </w:p>
    <w:p w14:paraId="33B0BC05" w14:textId="77777777" w:rsidR="00B94651" w:rsidRPr="00737475" w:rsidRDefault="00B94651" w:rsidP="00C90B3A">
      <w:pPr>
        <w:jc w:val="both"/>
        <w:rPr>
          <w:rFonts w:asciiTheme="minorHAnsi" w:hAnsiTheme="minorHAnsi" w:cstheme="minorHAnsi"/>
        </w:rPr>
      </w:pPr>
    </w:p>
    <w:p w14:paraId="622D6686" w14:textId="69737645" w:rsidR="006E1E16" w:rsidRPr="009E6DE0" w:rsidRDefault="00D4285C" w:rsidP="00C90B3A">
      <w:pPr>
        <w:jc w:val="both"/>
        <w:rPr>
          <w:rFonts w:asciiTheme="minorHAnsi" w:hAnsiTheme="minorHAnsi" w:cstheme="minorHAnsi"/>
        </w:rPr>
      </w:pPr>
      <w:r>
        <w:rPr>
          <w:rFonts w:asciiTheme="minorHAnsi" w:hAnsiTheme="minorHAnsi"/>
        </w:rPr>
        <w:lastRenderedPageBreak/>
        <w:t>В таблице ниже представлен состав группы ООМ.</w:t>
      </w:r>
    </w:p>
    <w:tbl>
      <w:tblPr>
        <w:tblStyle w:val="a0"/>
        <w:tblW w:w="90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9"/>
        <w:gridCol w:w="2694"/>
        <w:gridCol w:w="1985"/>
        <w:gridCol w:w="2524"/>
      </w:tblGrid>
      <w:tr w:rsidR="00E87EC6" w:rsidRPr="009E6DE0" w14:paraId="726A4AB7" w14:textId="77777777" w:rsidTr="005D211A">
        <w:tc>
          <w:tcPr>
            <w:tcW w:w="1869" w:type="dxa"/>
          </w:tcPr>
          <w:p w14:paraId="726A4AB3" w14:textId="160BCA39" w:rsidR="00261C20" w:rsidRPr="009E6DE0" w:rsidRDefault="00B8542A" w:rsidP="00FF3428">
            <w:pPr>
              <w:rPr>
                <w:rFonts w:asciiTheme="minorHAnsi" w:hAnsiTheme="minorHAnsi" w:cstheme="minorHAnsi"/>
                <w:color w:val="auto"/>
              </w:rPr>
            </w:pPr>
            <w:r>
              <w:rPr>
                <w:rFonts w:asciiTheme="minorHAnsi" w:hAnsiTheme="minorHAnsi"/>
                <w:b/>
                <w:i/>
                <w:color w:val="auto"/>
              </w:rPr>
              <w:t>Роль</w:t>
            </w:r>
          </w:p>
        </w:tc>
        <w:tc>
          <w:tcPr>
            <w:tcW w:w="2694" w:type="dxa"/>
          </w:tcPr>
          <w:p w14:paraId="726A4AB4" w14:textId="77777777" w:rsidR="00261C20" w:rsidRPr="009E6DE0" w:rsidRDefault="007C02C5" w:rsidP="00FF3428">
            <w:pPr>
              <w:rPr>
                <w:rFonts w:asciiTheme="minorHAnsi" w:hAnsiTheme="minorHAnsi" w:cstheme="minorHAnsi"/>
                <w:color w:val="auto"/>
              </w:rPr>
            </w:pPr>
            <w:r>
              <w:rPr>
                <w:rFonts w:asciiTheme="minorHAnsi" w:hAnsiTheme="minorHAnsi"/>
                <w:b/>
                <w:i/>
                <w:color w:val="auto"/>
              </w:rPr>
              <w:t>ФИО</w:t>
            </w:r>
          </w:p>
        </w:tc>
        <w:tc>
          <w:tcPr>
            <w:tcW w:w="1985" w:type="dxa"/>
          </w:tcPr>
          <w:p w14:paraId="726A4AB5" w14:textId="77777777" w:rsidR="00261C20" w:rsidRPr="009E6DE0" w:rsidRDefault="007C02C5" w:rsidP="00FF3428">
            <w:pPr>
              <w:rPr>
                <w:rFonts w:asciiTheme="minorHAnsi" w:hAnsiTheme="minorHAnsi" w:cstheme="minorHAnsi"/>
                <w:color w:val="auto"/>
              </w:rPr>
            </w:pPr>
            <w:r>
              <w:rPr>
                <w:rFonts w:asciiTheme="minorHAnsi" w:hAnsiTheme="minorHAnsi"/>
                <w:b/>
                <w:i/>
                <w:color w:val="auto"/>
              </w:rPr>
              <w:t>Организация</w:t>
            </w:r>
          </w:p>
        </w:tc>
        <w:tc>
          <w:tcPr>
            <w:tcW w:w="2524" w:type="dxa"/>
          </w:tcPr>
          <w:p w14:paraId="726A4AB6" w14:textId="4D9C1DF8" w:rsidR="00261C20" w:rsidRPr="009E6DE0" w:rsidRDefault="007C02C5" w:rsidP="001A7976">
            <w:pPr>
              <w:rPr>
                <w:rFonts w:asciiTheme="minorHAnsi" w:hAnsiTheme="minorHAnsi" w:cstheme="minorHAnsi"/>
                <w:color w:val="auto"/>
              </w:rPr>
            </w:pPr>
            <w:r>
              <w:rPr>
                <w:rFonts w:asciiTheme="minorHAnsi" w:hAnsiTheme="minorHAnsi"/>
                <w:b/>
                <w:i/>
                <w:color w:val="auto"/>
              </w:rPr>
              <w:t>Обязанность</w:t>
            </w:r>
          </w:p>
        </w:tc>
      </w:tr>
      <w:tr w:rsidR="00E87EC6" w:rsidRPr="009E6DE0" w14:paraId="726A4ABC" w14:textId="77777777" w:rsidTr="005D211A">
        <w:trPr>
          <w:trHeight w:val="339"/>
        </w:trPr>
        <w:tc>
          <w:tcPr>
            <w:tcW w:w="1869" w:type="dxa"/>
          </w:tcPr>
          <w:p w14:paraId="726A4AB8" w14:textId="518ADDB7" w:rsidR="00261C20" w:rsidRPr="009E6DE0" w:rsidRDefault="00480C97" w:rsidP="001A7976">
            <w:pPr>
              <w:rPr>
                <w:rFonts w:asciiTheme="minorHAnsi" w:hAnsiTheme="minorHAnsi" w:cstheme="minorHAnsi"/>
                <w:iCs/>
                <w:color w:val="auto"/>
              </w:rPr>
            </w:pPr>
            <w:r>
              <w:rPr>
                <w:rFonts w:asciiTheme="minorHAnsi" w:hAnsiTheme="minorHAnsi"/>
              </w:rPr>
              <w:t>Ведущий координатор ООМ</w:t>
            </w:r>
          </w:p>
        </w:tc>
        <w:tc>
          <w:tcPr>
            <w:tcW w:w="2694" w:type="dxa"/>
          </w:tcPr>
          <w:p w14:paraId="726A4AB9" w14:textId="77777777" w:rsidR="00261C20" w:rsidRPr="009E6DE0" w:rsidRDefault="00261C20" w:rsidP="00FF3428">
            <w:pPr>
              <w:rPr>
                <w:rFonts w:asciiTheme="minorHAnsi" w:hAnsiTheme="minorHAnsi" w:cstheme="minorHAnsi"/>
                <w:color w:val="auto"/>
              </w:rPr>
            </w:pPr>
          </w:p>
        </w:tc>
        <w:tc>
          <w:tcPr>
            <w:tcW w:w="1985" w:type="dxa"/>
          </w:tcPr>
          <w:p w14:paraId="726A4ABA" w14:textId="77777777" w:rsidR="00261C20" w:rsidRPr="009E6DE0" w:rsidRDefault="00261C20" w:rsidP="00FF3428">
            <w:pPr>
              <w:rPr>
                <w:rFonts w:asciiTheme="minorHAnsi" w:hAnsiTheme="minorHAnsi" w:cstheme="minorHAnsi"/>
                <w:color w:val="auto"/>
              </w:rPr>
            </w:pPr>
          </w:p>
        </w:tc>
        <w:tc>
          <w:tcPr>
            <w:tcW w:w="2524" w:type="dxa"/>
          </w:tcPr>
          <w:p w14:paraId="726A4ABB" w14:textId="2B9ACE0D" w:rsidR="00261C20" w:rsidRPr="009E6DE0" w:rsidRDefault="00B06681" w:rsidP="00FF3428">
            <w:pPr>
              <w:rPr>
                <w:rFonts w:asciiTheme="minorHAnsi" w:hAnsiTheme="minorHAnsi" w:cstheme="minorHAnsi"/>
                <w:color w:val="auto"/>
              </w:rPr>
            </w:pPr>
            <w:r>
              <w:rPr>
                <w:rFonts w:asciiTheme="minorHAnsi" w:hAnsiTheme="minorHAnsi"/>
                <w:color w:val="auto"/>
              </w:rPr>
              <w:t>Надзор ООМ</w:t>
            </w:r>
          </w:p>
        </w:tc>
      </w:tr>
      <w:tr w:rsidR="00105AAF" w:rsidRPr="009E6DE0" w14:paraId="726A4AC1" w14:textId="77777777" w:rsidTr="005D211A">
        <w:tc>
          <w:tcPr>
            <w:tcW w:w="1869" w:type="dxa"/>
          </w:tcPr>
          <w:p w14:paraId="726A4ABD" w14:textId="7C2D64DD" w:rsidR="00105AAF" w:rsidRPr="00A719D4" w:rsidRDefault="00480C97" w:rsidP="002D6905">
            <w:pPr>
              <w:rPr>
                <w:rFonts w:asciiTheme="minorHAnsi" w:hAnsiTheme="minorHAnsi" w:cstheme="minorHAnsi"/>
                <w:iCs/>
                <w:color w:val="auto"/>
              </w:rPr>
            </w:pPr>
            <w:r>
              <w:rPr>
                <w:rFonts w:asciiTheme="minorHAnsi" w:hAnsiTheme="minorHAnsi"/>
                <w:iCs/>
                <w:color w:val="auto"/>
              </w:rPr>
              <w:t>Кураторы ООМ</w:t>
            </w:r>
            <w:r w:rsidR="00A719D4">
              <w:rPr>
                <w:rFonts w:asciiTheme="minorHAnsi" w:hAnsiTheme="minorHAnsi"/>
                <w:iCs/>
                <w:color w:val="auto"/>
                <w:lang w:val="en-US"/>
              </w:rPr>
              <w:t>/</w:t>
            </w:r>
            <w:r w:rsidR="00A719D4">
              <w:rPr>
                <w:rFonts w:asciiTheme="minorHAnsi" w:hAnsiTheme="minorHAnsi"/>
                <w:iCs/>
                <w:color w:val="auto"/>
              </w:rPr>
              <w:t>ассистенты фасилитаторов</w:t>
            </w:r>
          </w:p>
        </w:tc>
        <w:tc>
          <w:tcPr>
            <w:tcW w:w="2694" w:type="dxa"/>
          </w:tcPr>
          <w:p w14:paraId="726A4ABE" w14:textId="77777777" w:rsidR="00105AAF" w:rsidRPr="009E6DE0" w:rsidRDefault="00105AAF" w:rsidP="00FF3428">
            <w:pPr>
              <w:rPr>
                <w:rFonts w:asciiTheme="minorHAnsi" w:hAnsiTheme="minorHAnsi" w:cstheme="minorHAnsi"/>
                <w:color w:val="auto"/>
              </w:rPr>
            </w:pPr>
          </w:p>
        </w:tc>
        <w:tc>
          <w:tcPr>
            <w:tcW w:w="1985" w:type="dxa"/>
          </w:tcPr>
          <w:p w14:paraId="726A4ABF" w14:textId="77777777" w:rsidR="00105AAF" w:rsidRPr="009E6DE0" w:rsidRDefault="00105AAF" w:rsidP="00FF3428">
            <w:pPr>
              <w:rPr>
                <w:rFonts w:asciiTheme="minorHAnsi" w:hAnsiTheme="minorHAnsi" w:cstheme="minorHAnsi"/>
                <w:color w:val="auto"/>
              </w:rPr>
            </w:pPr>
          </w:p>
        </w:tc>
        <w:tc>
          <w:tcPr>
            <w:tcW w:w="2524" w:type="dxa"/>
          </w:tcPr>
          <w:p w14:paraId="726A4AC0" w14:textId="5CEF2B33" w:rsidR="00105AAF" w:rsidRPr="009E6DE0" w:rsidRDefault="00105AAF" w:rsidP="00C5004E">
            <w:pPr>
              <w:rPr>
                <w:rFonts w:asciiTheme="minorHAnsi" w:hAnsiTheme="minorHAnsi" w:cstheme="minorHAnsi"/>
                <w:color w:val="auto"/>
              </w:rPr>
            </w:pPr>
            <w:r>
              <w:rPr>
                <w:rFonts w:asciiTheme="minorHAnsi" w:hAnsiTheme="minorHAnsi"/>
                <w:color w:val="auto"/>
              </w:rPr>
              <w:t>Руководство координацией сессий в качестве ведущего куратора</w:t>
            </w:r>
          </w:p>
        </w:tc>
      </w:tr>
      <w:tr w:rsidR="00105AAF" w:rsidRPr="009E6DE0" w14:paraId="10978BC9" w14:textId="77777777" w:rsidTr="005D211A">
        <w:tc>
          <w:tcPr>
            <w:tcW w:w="1869" w:type="dxa"/>
          </w:tcPr>
          <w:p w14:paraId="2EF72F81" w14:textId="5F2A3869" w:rsidR="00105AAF" w:rsidRPr="009E6DE0" w:rsidRDefault="00A719D4" w:rsidP="00FF3428">
            <w:pPr>
              <w:rPr>
                <w:rFonts w:asciiTheme="minorHAnsi" w:hAnsiTheme="minorHAnsi" w:cstheme="minorHAnsi"/>
                <w:color w:val="auto"/>
              </w:rPr>
            </w:pPr>
            <w:r>
              <w:rPr>
                <w:rFonts w:asciiTheme="minorHAnsi" w:hAnsiTheme="minorHAnsi" w:cstheme="minorHAnsi"/>
                <w:color w:val="auto"/>
              </w:rPr>
              <w:t>Протоколист/репортер</w:t>
            </w:r>
          </w:p>
        </w:tc>
        <w:tc>
          <w:tcPr>
            <w:tcW w:w="2694" w:type="dxa"/>
          </w:tcPr>
          <w:p w14:paraId="5BE638B6" w14:textId="77777777" w:rsidR="00105AAF" w:rsidRPr="009E6DE0" w:rsidRDefault="00105AAF" w:rsidP="00FF3428">
            <w:pPr>
              <w:rPr>
                <w:rFonts w:asciiTheme="minorHAnsi" w:hAnsiTheme="minorHAnsi" w:cstheme="minorHAnsi"/>
                <w:color w:val="auto"/>
              </w:rPr>
            </w:pPr>
          </w:p>
        </w:tc>
        <w:tc>
          <w:tcPr>
            <w:tcW w:w="1985" w:type="dxa"/>
          </w:tcPr>
          <w:p w14:paraId="2A1A7795" w14:textId="77777777" w:rsidR="00105AAF" w:rsidRPr="009E6DE0" w:rsidRDefault="00105AAF" w:rsidP="00FF3428">
            <w:pPr>
              <w:rPr>
                <w:rFonts w:asciiTheme="minorHAnsi" w:hAnsiTheme="minorHAnsi" w:cstheme="minorHAnsi"/>
                <w:color w:val="auto"/>
              </w:rPr>
            </w:pPr>
          </w:p>
        </w:tc>
        <w:tc>
          <w:tcPr>
            <w:tcW w:w="2524" w:type="dxa"/>
          </w:tcPr>
          <w:p w14:paraId="546A6452" w14:textId="5E5931E5" w:rsidR="00105AAF" w:rsidRPr="009E6DE0" w:rsidRDefault="00AE6C01" w:rsidP="00FF3428">
            <w:pPr>
              <w:rPr>
                <w:rFonts w:asciiTheme="minorHAnsi" w:hAnsiTheme="minorHAnsi" w:cstheme="minorHAnsi"/>
                <w:color w:val="auto"/>
              </w:rPr>
            </w:pPr>
            <w:r>
              <w:rPr>
                <w:rFonts w:asciiTheme="minorHAnsi" w:hAnsiTheme="minorHAnsi"/>
                <w:color w:val="auto"/>
              </w:rPr>
              <w:t>Запись обсуждения в качестве стенографиста и составителя отчета</w:t>
            </w:r>
          </w:p>
        </w:tc>
      </w:tr>
      <w:tr w:rsidR="00105AAF" w:rsidRPr="009E6DE0" w14:paraId="63227527" w14:textId="77777777" w:rsidTr="005D211A">
        <w:tc>
          <w:tcPr>
            <w:tcW w:w="1869" w:type="dxa"/>
            <w:vMerge w:val="restart"/>
          </w:tcPr>
          <w:p w14:paraId="39551EC2" w14:textId="1EDC0D63" w:rsidR="00105AAF" w:rsidRPr="009E6DE0" w:rsidRDefault="00105AAF" w:rsidP="00FF3428">
            <w:pPr>
              <w:rPr>
                <w:rFonts w:asciiTheme="minorHAnsi" w:hAnsiTheme="minorHAnsi" w:cstheme="minorHAnsi"/>
                <w:color w:val="auto"/>
              </w:rPr>
            </w:pPr>
            <w:r>
              <w:rPr>
                <w:rFonts w:asciiTheme="minorHAnsi" w:hAnsiTheme="minorHAnsi"/>
                <w:color w:val="auto"/>
              </w:rPr>
              <w:t>Дополнительный вспомогательный персонал</w:t>
            </w:r>
          </w:p>
        </w:tc>
        <w:tc>
          <w:tcPr>
            <w:tcW w:w="2694" w:type="dxa"/>
          </w:tcPr>
          <w:p w14:paraId="1189DA69" w14:textId="77777777" w:rsidR="00105AAF" w:rsidRPr="009E6DE0" w:rsidRDefault="00105AAF" w:rsidP="00FF3428">
            <w:pPr>
              <w:rPr>
                <w:rFonts w:asciiTheme="minorHAnsi" w:hAnsiTheme="minorHAnsi" w:cstheme="minorHAnsi"/>
                <w:color w:val="auto"/>
              </w:rPr>
            </w:pPr>
          </w:p>
        </w:tc>
        <w:tc>
          <w:tcPr>
            <w:tcW w:w="1985" w:type="dxa"/>
          </w:tcPr>
          <w:p w14:paraId="708CB121" w14:textId="77777777" w:rsidR="00105AAF" w:rsidRPr="009E6DE0" w:rsidRDefault="00105AAF" w:rsidP="00FF3428">
            <w:pPr>
              <w:rPr>
                <w:rFonts w:asciiTheme="minorHAnsi" w:hAnsiTheme="minorHAnsi" w:cstheme="minorHAnsi"/>
                <w:color w:val="auto"/>
              </w:rPr>
            </w:pPr>
          </w:p>
        </w:tc>
        <w:tc>
          <w:tcPr>
            <w:tcW w:w="2524" w:type="dxa"/>
          </w:tcPr>
          <w:p w14:paraId="607427A9" w14:textId="043C2294" w:rsidR="00105AAF" w:rsidRPr="009E6DE0" w:rsidRDefault="00105AAF" w:rsidP="00FF3428">
            <w:pPr>
              <w:rPr>
                <w:rFonts w:asciiTheme="minorHAnsi" w:hAnsiTheme="minorHAnsi" w:cstheme="minorHAnsi"/>
                <w:color w:val="auto"/>
              </w:rPr>
            </w:pPr>
            <w:r>
              <w:rPr>
                <w:rFonts w:asciiTheme="minorHAnsi" w:hAnsiTheme="minorHAnsi"/>
                <w:color w:val="auto"/>
              </w:rPr>
              <w:t>Администратор и ИТ поддержка</w:t>
            </w:r>
          </w:p>
        </w:tc>
      </w:tr>
      <w:tr w:rsidR="00105AAF" w:rsidRPr="009E6DE0" w14:paraId="31494646" w14:textId="77777777" w:rsidTr="005D211A">
        <w:tc>
          <w:tcPr>
            <w:tcW w:w="1869" w:type="dxa"/>
            <w:vMerge/>
          </w:tcPr>
          <w:p w14:paraId="5CE3B7B2" w14:textId="77777777" w:rsidR="00105AAF" w:rsidRDefault="00105AAF" w:rsidP="00FF3428">
            <w:pPr>
              <w:rPr>
                <w:rFonts w:asciiTheme="minorHAnsi" w:hAnsiTheme="minorHAnsi" w:cstheme="minorHAnsi"/>
                <w:color w:val="auto"/>
              </w:rPr>
            </w:pPr>
          </w:p>
        </w:tc>
        <w:tc>
          <w:tcPr>
            <w:tcW w:w="2694" w:type="dxa"/>
          </w:tcPr>
          <w:p w14:paraId="270B05A0" w14:textId="77777777" w:rsidR="00105AAF" w:rsidRPr="009E6DE0" w:rsidRDefault="00105AAF" w:rsidP="00FF3428">
            <w:pPr>
              <w:rPr>
                <w:rFonts w:asciiTheme="minorHAnsi" w:hAnsiTheme="minorHAnsi" w:cstheme="minorHAnsi"/>
                <w:color w:val="auto"/>
              </w:rPr>
            </w:pPr>
          </w:p>
        </w:tc>
        <w:tc>
          <w:tcPr>
            <w:tcW w:w="1985" w:type="dxa"/>
          </w:tcPr>
          <w:p w14:paraId="6CE39C6B" w14:textId="77777777" w:rsidR="00105AAF" w:rsidRPr="009E6DE0" w:rsidRDefault="00105AAF" w:rsidP="00FF3428">
            <w:pPr>
              <w:rPr>
                <w:rFonts w:asciiTheme="minorHAnsi" w:hAnsiTheme="minorHAnsi" w:cstheme="minorHAnsi"/>
                <w:color w:val="auto"/>
              </w:rPr>
            </w:pPr>
          </w:p>
        </w:tc>
        <w:tc>
          <w:tcPr>
            <w:tcW w:w="2524" w:type="dxa"/>
          </w:tcPr>
          <w:p w14:paraId="72F4B825" w14:textId="12072B5C" w:rsidR="00105AAF" w:rsidRPr="009E6DE0" w:rsidRDefault="00105AAF" w:rsidP="00FF3428">
            <w:pPr>
              <w:rPr>
                <w:rFonts w:asciiTheme="minorHAnsi" w:hAnsiTheme="minorHAnsi" w:cstheme="minorHAnsi"/>
                <w:color w:val="auto"/>
              </w:rPr>
            </w:pPr>
            <w:r>
              <w:rPr>
                <w:rFonts w:asciiTheme="minorHAnsi" w:hAnsiTheme="minorHAnsi"/>
                <w:color w:val="auto"/>
              </w:rPr>
              <w:t>Финансы</w:t>
            </w:r>
          </w:p>
        </w:tc>
      </w:tr>
    </w:tbl>
    <w:p w14:paraId="24E223AF" w14:textId="77777777" w:rsidR="008B1CDD" w:rsidRDefault="008B1CDD" w:rsidP="00FF3428">
      <w:pPr>
        <w:spacing w:after="0" w:line="240" w:lineRule="auto"/>
        <w:rPr>
          <w:rFonts w:asciiTheme="minorHAnsi" w:hAnsiTheme="minorHAnsi" w:cstheme="minorHAnsi"/>
          <w:b/>
          <w:i/>
          <w:sz w:val="20"/>
          <w:szCs w:val="20"/>
          <w:u w:val="single"/>
          <w:shd w:val="clear" w:color="auto" w:fill="D9D9D9"/>
        </w:rPr>
      </w:pPr>
    </w:p>
    <w:p w14:paraId="12DBB248" w14:textId="77777777" w:rsidR="00DC6EE7" w:rsidRDefault="00DC6EE7" w:rsidP="00FF3428">
      <w:pPr>
        <w:spacing w:after="0" w:line="240" w:lineRule="auto"/>
        <w:rPr>
          <w:rFonts w:asciiTheme="minorHAnsi" w:hAnsiTheme="minorHAnsi" w:cstheme="minorHAnsi"/>
          <w:b/>
          <w:i/>
          <w:sz w:val="20"/>
          <w:szCs w:val="20"/>
          <w:u w:val="single"/>
          <w:shd w:val="clear" w:color="auto" w:fill="D9D9D9"/>
        </w:rPr>
      </w:pPr>
    </w:p>
    <w:p w14:paraId="726A4AEC" w14:textId="45CE4F29" w:rsidR="00FF3428" w:rsidRPr="00737475" w:rsidRDefault="00FF3428" w:rsidP="00A77051">
      <w:pPr>
        <w:pStyle w:val="Heading2"/>
        <w:numPr>
          <w:ilvl w:val="0"/>
          <w:numId w:val="14"/>
        </w:numPr>
        <w:spacing w:before="0"/>
        <w:rPr>
          <w:rFonts w:asciiTheme="minorHAnsi" w:eastAsia="Calibri" w:hAnsiTheme="minorHAnsi" w:cstheme="minorHAnsi"/>
          <w:color w:val="000000"/>
          <w:sz w:val="28"/>
          <w:szCs w:val="28"/>
        </w:rPr>
      </w:pPr>
      <w:r>
        <w:rPr>
          <w:rFonts w:asciiTheme="minorHAnsi" w:hAnsiTheme="minorHAnsi"/>
          <w:color w:val="000000"/>
          <w:sz w:val="28"/>
          <w:szCs w:val="28"/>
        </w:rPr>
        <w:t xml:space="preserve">Финансы </w:t>
      </w:r>
    </w:p>
    <w:p w14:paraId="726A4AED" w14:textId="1FF5B77F" w:rsidR="00261C20" w:rsidRDefault="007C02C5" w:rsidP="00AB3237">
      <w:pPr>
        <w:rPr>
          <w:rFonts w:asciiTheme="minorHAnsi" w:hAnsiTheme="minorHAnsi" w:cstheme="minorHAnsi"/>
        </w:rPr>
      </w:pPr>
      <w:r>
        <w:rPr>
          <w:rFonts w:asciiTheme="minorHAnsi" w:hAnsiTheme="minorHAnsi"/>
        </w:rPr>
        <w:t>Подтверждение бюджета для ООМ и то, как он будет поддерживаться. Бюджет может варьироваться в зависимости от того, проводится ли ООМ онлайн или очно.</w:t>
      </w:r>
    </w:p>
    <w:p w14:paraId="726A4AF0" w14:textId="77777777" w:rsidR="00B916C0" w:rsidRDefault="00B916C0" w:rsidP="00B916C0">
      <w:pPr>
        <w:spacing w:after="0" w:line="240" w:lineRule="auto"/>
        <w:rPr>
          <w:rFonts w:asciiTheme="minorHAnsi" w:hAnsiTheme="minorHAnsi" w:cstheme="minorHAnsi"/>
          <w:b/>
          <w:i/>
          <w:sz w:val="20"/>
          <w:szCs w:val="20"/>
          <w:u w:val="single"/>
          <w:shd w:val="clear" w:color="auto" w:fill="D9D9D9"/>
        </w:rPr>
      </w:pPr>
    </w:p>
    <w:p w14:paraId="726A4AF1" w14:textId="01FE37B3" w:rsidR="00261C20" w:rsidRPr="007812E9" w:rsidRDefault="00DE24F7" w:rsidP="00A77051">
      <w:pPr>
        <w:pStyle w:val="Heading2"/>
        <w:numPr>
          <w:ilvl w:val="0"/>
          <w:numId w:val="14"/>
        </w:numPr>
        <w:spacing w:before="0"/>
        <w:rPr>
          <w:rFonts w:asciiTheme="minorHAnsi" w:eastAsia="Calibri" w:hAnsiTheme="minorHAnsi" w:cstheme="minorHAnsi"/>
          <w:color w:val="auto"/>
          <w:sz w:val="28"/>
          <w:szCs w:val="28"/>
        </w:rPr>
      </w:pPr>
      <w:r>
        <w:rPr>
          <w:rFonts w:asciiTheme="minorHAnsi" w:hAnsiTheme="minorHAnsi"/>
          <w:color w:val="auto"/>
          <w:sz w:val="28"/>
          <w:szCs w:val="28"/>
        </w:rPr>
        <w:t>Результаты странового обзора осуществляемых мер (ООМ) по COVID-19</w:t>
      </w:r>
    </w:p>
    <w:p w14:paraId="70A54F02" w14:textId="0082E626" w:rsidR="00B367F2" w:rsidRDefault="00480C97" w:rsidP="005D211A">
      <w:pPr>
        <w:rPr>
          <w:rFonts w:asciiTheme="minorHAnsi" w:hAnsiTheme="minorHAnsi"/>
        </w:rPr>
      </w:pPr>
      <w:r>
        <w:rPr>
          <w:rFonts w:asciiTheme="minorHAnsi" w:hAnsiTheme="minorHAnsi"/>
        </w:rPr>
        <w:t>Окончательный доклад ООМ будет подготовлен стенографистом при поддержке координатора (координаторов).  Этот отчет будет передан участникам ООМ для рассмотрения с целью обеспечения точного сбора информации, а затем передан высшему руководству Министерства здравоохранения или других соответствующих учреждений для окончательного рассмотрения и утверждения.</w:t>
      </w:r>
    </w:p>
    <w:p w14:paraId="4E8514AE" w14:textId="77777777" w:rsidR="00EA5311" w:rsidRDefault="002D1FC5" w:rsidP="008E716B">
      <w:r w:rsidRPr="008E716B">
        <w:t xml:space="preserve"> </w:t>
      </w:r>
    </w:p>
    <w:p w14:paraId="06E2B1D1" w14:textId="0C41AC8B" w:rsidR="001231F8" w:rsidRPr="001231F8" w:rsidRDefault="008E716B" w:rsidP="008E716B">
      <w:pPr>
        <w:rPr>
          <w:i/>
          <w:lang w:val="en-US"/>
        </w:rPr>
      </w:pPr>
      <w:r w:rsidRPr="002C76E6">
        <w:rPr>
          <w:lang w:val="en-US"/>
        </w:rPr>
        <w:t>Originally issued in English by the World Health Organization HQ in Geneva, under the title</w:t>
      </w:r>
      <w:r>
        <w:rPr>
          <w:lang w:val="en-US"/>
        </w:rPr>
        <w:t xml:space="preserve"> </w:t>
      </w:r>
      <w:r w:rsidR="001231F8" w:rsidRPr="001231F8">
        <w:rPr>
          <w:i/>
          <w:lang w:val="en-US"/>
        </w:rPr>
        <w:t>Country COVID-19 intra-action review (‎‎‎‎‎‎</w:t>
      </w:r>
      <w:proofErr w:type="gramStart"/>
      <w:r w:rsidR="001231F8" w:rsidRPr="001231F8">
        <w:rPr>
          <w:i/>
          <w:lang w:val="en-US"/>
        </w:rPr>
        <w:t>IAR)‎‎</w:t>
      </w:r>
      <w:proofErr w:type="gramEnd"/>
      <w:r w:rsidR="001231F8" w:rsidRPr="001231F8">
        <w:rPr>
          <w:i/>
          <w:lang w:val="en-US"/>
        </w:rPr>
        <w:t>‎‎‎‎: concept note template, 23 July 2020</w:t>
      </w:r>
    </w:p>
    <w:p w14:paraId="100B5D16" w14:textId="77777777" w:rsidR="001231F8" w:rsidRPr="001231F8" w:rsidRDefault="001231F8" w:rsidP="00F763BC">
      <w:pPr>
        <w:pStyle w:val="ListParagraph"/>
        <w:ind w:left="0"/>
        <w:rPr>
          <w:lang w:val="en-US"/>
        </w:rPr>
      </w:pPr>
      <w:r w:rsidRPr="001231F8">
        <w:rPr>
          <w:lang w:val="en-US"/>
        </w:rPr>
        <w:t>WHO/2019-nCoV/Country_IAR/templates/concept_note/2020.1</w:t>
      </w:r>
    </w:p>
    <w:p w14:paraId="2F3AF6D2" w14:textId="77777777" w:rsidR="001231F8" w:rsidRPr="008B1CDD" w:rsidRDefault="001231F8" w:rsidP="00F763BC">
      <w:pPr>
        <w:pStyle w:val="ListParagraph"/>
        <w:ind w:left="0"/>
        <w:rPr>
          <w:rFonts w:ascii="Helvetica" w:hAnsi="Helvetica" w:cs="Helvetica"/>
          <w:color w:val="333333"/>
          <w:sz w:val="20"/>
          <w:szCs w:val="20"/>
          <w:shd w:val="clear" w:color="auto" w:fill="FFFFFF"/>
        </w:rPr>
      </w:pPr>
    </w:p>
    <w:p w14:paraId="151A061D" w14:textId="77777777" w:rsidR="00EA5311" w:rsidRDefault="00EA5311" w:rsidP="00EA5311">
      <w:pPr>
        <w:tabs>
          <w:tab w:val="left" w:pos="2730"/>
        </w:tabs>
      </w:pPr>
      <w:r>
        <w:t>© Всемирная организация здравоохранения, 2020. Некоторые права защищены. Данная работа распространяется на условиях лицензии CC BY-NC-SA 3.0 IGO.</w:t>
      </w:r>
    </w:p>
    <w:p w14:paraId="22695536" w14:textId="77777777" w:rsidR="00EA5311" w:rsidRDefault="00EA5311" w:rsidP="00EA5311"/>
    <w:p w14:paraId="441E8C5D" w14:textId="77777777" w:rsidR="008E716B" w:rsidRDefault="008E716B" w:rsidP="008E716B">
      <w:pPr>
        <w:jc w:val="both"/>
      </w:pPr>
    </w:p>
    <w:p w14:paraId="678DD744" w14:textId="77777777" w:rsidR="00B725F3" w:rsidRDefault="00B725F3" w:rsidP="005D211A">
      <w:pPr>
        <w:rPr>
          <w:rFonts w:asciiTheme="minorHAnsi" w:hAnsiTheme="minorHAnsi"/>
        </w:rPr>
      </w:pPr>
    </w:p>
    <w:sectPr w:rsidR="00B725F3">
      <w:headerReference w:type="even" r:id="rId9"/>
      <w:headerReference w:type="default" r:id="rId10"/>
      <w:footerReference w:type="default" r:id="rId11"/>
      <w:headerReference w:type="first" r:id="rId12"/>
      <w:pgSz w:w="11906" w:h="16838"/>
      <w:pgMar w:top="1440" w:right="1440" w:bottom="1440" w:left="1440" w:header="720" w:footer="720" w:gutter="0"/>
      <w:pgNumType w:start="1"/>
      <w:cols w:space="720" w:equalWidth="0">
        <w:col w:w="9360"/>
      </w:cols>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36C65" w16cex:dateUtc="2020-09-21T16:1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0CE14" w14:textId="77777777" w:rsidR="003436D8" w:rsidRDefault="003436D8">
      <w:pPr>
        <w:spacing w:after="0" w:line="240" w:lineRule="auto"/>
      </w:pPr>
      <w:r>
        <w:separator/>
      </w:r>
    </w:p>
  </w:endnote>
  <w:endnote w:type="continuationSeparator" w:id="0">
    <w:p w14:paraId="15EAC772" w14:textId="77777777" w:rsidR="003436D8" w:rsidRDefault="00343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799298"/>
      <w:docPartObj>
        <w:docPartGallery w:val="Page Numbers (Bottom of Page)"/>
        <w:docPartUnique/>
      </w:docPartObj>
    </w:sdtPr>
    <w:sdtEndPr>
      <w:rPr>
        <w:noProof/>
      </w:rPr>
    </w:sdtEndPr>
    <w:sdtContent>
      <w:p w14:paraId="726A4BAE" w14:textId="622AF15A" w:rsidR="00806458" w:rsidRDefault="00806458">
        <w:pPr>
          <w:pStyle w:val="Footer"/>
          <w:jc w:val="right"/>
        </w:pPr>
        <w:r>
          <w:fldChar w:fldCharType="begin"/>
        </w:r>
        <w:r>
          <w:instrText xml:space="preserve"> PAGE   \* MERGEFORMAT </w:instrText>
        </w:r>
        <w:r>
          <w:fldChar w:fldCharType="separate"/>
        </w:r>
        <w:r w:rsidR="00B464B3">
          <w:t>1</w:t>
        </w:r>
        <w:r>
          <w:fldChar w:fldCharType="end"/>
        </w:r>
      </w:p>
    </w:sdtContent>
  </w:sdt>
  <w:p w14:paraId="726A4BAF" w14:textId="77777777" w:rsidR="00806458" w:rsidRDefault="00806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B8482" w14:textId="77777777" w:rsidR="003436D8" w:rsidRDefault="003436D8">
      <w:pPr>
        <w:spacing w:after="0" w:line="240" w:lineRule="auto"/>
      </w:pPr>
      <w:r>
        <w:separator/>
      </w:r>
    </w:p>
  </w:footnote>
  <w:footnote w:type="continuationSeparator" w:id="0">
    <w:p w14:paraId="203F8EE1" w14:textId="77777777" w:rsidR="003436D8" w:rsidRDefault="00343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A4BAB" w14:textId="0A393722" w:rsidR="00806458" w:rsidRDefault="008064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A4BAC" w14:textId="5004C76D" w:rsidR="00806458" w:rsidRDefault="006F01C9" w:rsidP="00566A3B">
    <w:pPr>
      <w:tabs>
        <w:tab w:val="left" w:pos="5854"/>
      </w:tabs>
      <w:spacing w:after="0" w:line="240" w:lineRule="auto"/>
    </w:pPr>
    <w:r>
      <w:tab/>
    </w:r>
  </w:p>
  <w:p w14:paraId="726A4BAD" w14:textId="77777777" w:rsidR="00806458" w:rsidRDefault="00806458" w:rsidP="00566A3B">
    <w:pPr>
      <w:tabs>
        <w:tab w:val="center" w:pos="4513"/>
        <w:tab w:val="right" w:pos="9026"/>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A4BB0" w14:textId="79DF652C" w:rsidR="00806458" w:rsidRDefault="00806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602D"/>
    <w:multiLevelType w:val="hybridMultilevel"/>
    <w:tmpl w:val="86E48366"/>
    <w:lvl w:ilvl="0" w:tplc="4EEADC3A">
      <w:start w:val="1"/>
      <w:numFmt w:val="bullet"/>
      <w:lvlText w:val=""/>
      <w:lvlJc w:val="left"/>
      <w:pPr>
        <w:ind w:left="1080" w:hanging="360"/>
      </w:pPr>
      <w:rPr>
        <w:rFonts w:ascii="Symbol" w:hAnsi="Symbol" w:hint="default"/>
        <w:color w:val="auto"/>
        <w:sz w:val="22"/>
        <w:szCs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2039AB"/>
    <w:multiLevelType w:val="hybridMultilevel"/>
    <w:tmpl w:val="13365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21A7F"/>
    <w:multiLevelType w:val="hybridMultilevel"/>
    <w:tmpl w:val="D10C6DFA"/>
    <w:lvl w:ilvl="0" w:tplc="C71889D6">
      <w:start w:val="9"/>
      <w:numFmt w:val="decimal"/>
      <w:lvlText w:val="%1."/>
      <w:lvlJc w:val="left"/>
      <w:pPr>
        <w:ind w:left="375" w:hanging="375"/>
      </w:pPr>
      <w:rPr>
        <w:rFonts w:eastAsia="Calibri" w:hint="default"/>
        <w:sz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049037A"/>
    <w:multiLevelType w:val="multilevel"/>
    <w:tmpl w:val="C0365828"/>
    <w:lvl w:ilvl="0">
      <w:start w:val="1"/>
      <w:numFmt w:val="decimal"/>
      <w:lvlText w:val="%1."/>
      <w:lvlJc w:val="left"/>
      <w:pPr>
        <w:ind w:left="360" w:hanging="360"/>
      </w:pPr>
      <w:rPr>
        <w:rFonts w:hint="default"/>
        <w:b/>
        <w:color w:val="auto"/>
        <w:sz w:val="28"/>
        <w:szCs w:val="28"/>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4" w15:restartNumberingAfterBreak="0">
    <w:nsid w:val="117D2805"/>
    <w:multiLevelType w:val="multilevel"/>
    <w:tmpl w:val="36F25836"/>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15813353"/>
    <w:multiLevelType w:val="hybridMultilevel"/>
    <w:tmpl w:val="32F2D198"/>
    <w:lvl w:ilvl="0" w:tplc="F2D4402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943BF"/>
    <w:multiLevelType w:val="hybridMultilevel"/>
    <w:tmpl w:val="810051E8"/>
    <w:lvl w:ilvl="0" w:tplc="6DDADD88">
      <w:start w:val="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E1747"/>
    <w:multiLevelType w:val="multilevel"/>
    <w:tmpl w:val="4A565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4AD4146"/>
    <w:multiLevelType w:val="hybridMultilevel"/>
    <w:tmpl w:val="CF64EE58"/>
    <w:lvl w:ilvl="0" w:tplc="45D0C66C">
      <w:start w:val="1"/>
      <w:numFmt w:val="decimal"/>
      <w:lvlText w:val="%1."/>
      <w:lvlJc w:val="left"/>
      <w:pPr>
        <w:ind w:left="360" w:hanging="360"/>
      </w:pPr>
      <w:rPr>
        <w:rFonts w:asciiTheme="minorHAnsi" w:hAnsiTheme="minorHAnsi" w:cstheme="minorHAnsi" w:hint="default"/>
        <w:b/>
        <w:bCs w:val="0"/>
        <w:color w:val="auto"/>
        <w:sz w:val="28"/>
        <w:szCs w:val="28"/>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9C11264"/>
    <w:multiLevelType w:val="hybridMultilevel"/>
    <w:tmpl w:val="6C6C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C41C8"/>
    <w:multiLevelType w:val="multilevel"/>
    <w:tmpl w:val="C21EB2B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1" w15:restartNumberingAfterBreak="0">
    <w:nsid w:val="34C4751A"/>
    <w:multiLevelType w:val="hybridMultilevel"/>
    <w:tmpl w:val="64AE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A1070"/>
    <w:multiLevelType w:val="multilevel"/>
    <w:tmpl w:val="8B188016"/>
    <w:lvl w:ilvl="0">
      <w:start w:val="1"/>
      <w:numFmt w:val="decimal"/>
      <w:lvlText w:val="%1."/>
      <w:lvlJc w:val="left"/>
      <w:pPr>
        <w:ind w:left="360" w:firstLine="0"/>
      </w:pPr>
      <w:rPr>
        <w:b/>
        <w:sz w:val="28"/>
        <w:szCs w:val="28"/>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3" w15:restartNumberingAfterBreak="0">
    <w:nsid w:val="408032CB"/>
    <w:multiLevelType w:val="multilevel"/>
    <w:tmpl w:val="B52626AE"/>
    <w:lvl w:ilvl="0">
      <w:start w:val="8"/>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4143789E"/>
    <w:multiLevelType w:val="multilevel"/>
    <w:tmpl w:val="35D21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3C10E78"/>
    <w:multiLevelType w:val="hybridMultilevel"/>
    <w:tmpl w:val="2968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A12A36"/>
    <w:multiLevelType w:val="multilevel"/>
    <w:tmpl w:val="4AEEF2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2CE4F4B"/>
    <w:multiLevelType w:val="hybridMultilevel"/>
    <w:tmpl w:val="7ADE3020"/>
    <w:lvl w:ilvl="0" w:tplc="F2D4402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E9368A"/>
    <w:multiLevelType w:val="multilevel"/>
    <w:tmpl w:val="17626E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6FF1C82"/>
    <w:multiLevelType w:val="multilevel"/>
    <w:tmpl w:val="A9EC3DE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0" w15:restartNumberingAfterBreak="0">
    <w:nsid w:val="697F051D"/>
    <w:multiLevelType w:val="hybridMultilevel"/>
    <w:tmpl w:val="62C0D508"/>
    <w:lvl w:ilvl="0" w:tplc="E04AFF94">
      <w:numFmt w:val="bullet"/>
      <w:lvlText w:val="·"/>
      <w:lvlJc w:val="left"/>
      <w:pPr>
        <w:ind w:left="765" w:hanging="405"/>
      </w:pPr>
      <w:rPr>
        <w:rFonts w:ascii="Calibri" w:eastAsia="Calibri" w:hAnsi="Calibri" w:cs="Calibri"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CB085D"/>
    <w:multiLevelType w:val="multilevel"/>
    <w:tmpl w:val="CF64EE58"/>
    <w:lvl w:ilvl="0">
      <w:start w:val="1"/>
      <w:numFmt w:val="decimal"/>
      <w:lvlText w:val="%1."/>
      <w:lvlJc w:val="left"/>
      <w:pPr>
        <w:ind w:left="360" w:hanging="360"/>
      </w:pPr>
      <w:rPr>
        <w:rFonts w:asciiTheme="minorHAnsi" w:hAnsiTheme="minorHAnsi" w:cstheme="minorHAnsi" w:hint="default"/>
        <w:b/>
        <w:bCs w:val="0"/>
        <w:color w:val="auto"/>
        <w:sz w:val="28"/>
        <w:szCs w:val="28"/>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2" w15:restartNumberingAfterBreak="0">
    <w:nsid w:val="76561383"/>
    <w:multiLevelType w:val="hybridMultilevel"/>
    <w:tmpl w:val="9B84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F41E8E"/>
    <w:multiLevelType w:val="hybridMultilevel"/>
    <w:tmpl w:val="EAB00C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7D0B703B"/>
    <w:multiLevelType w:val="hybridMultilevel"/>
    <w:tmpl w:val="6C0C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8"/>
  </w:num>
  <w:num w:numId="4">
    <w:abstractNumId w:val="4"/>
  </w:num>
  <w:num w:numId="5">
    <w:abstractNumId w:val="8"/>
  </w:num>
  <w:num w:numId="6">
    <w:abstractNumId w:val="19"/>
  </w:num>
  <w:num w:numId="7">
    <w:abstractNumId w:val="7"/>
  </w:num>
  <w:num w:numId="8">
    <w:abstractNumId w:val="0"/>
  </w:num>
  <w:num w:numId="9">
    <w:abstractNumId w:val="20"/>
  </w:num>
  <w:num w:numId="10">
    <w:abstractNumId w:val="23"/>
  </w:num>
  <w:num w:numId="11">
    <w:abstractNumId w:val="13"/>
  </w:num>
  <w:num w:numId="12">
    <w:abstractNumId w:val="21"/>
  </w:num>
  <w:num w:numId="13">
    <w:abstractNumId w:val="10"/>
  </w:num>
  <w:num w:numId="14">
    <w:abstractNumId w:val="3"/>
  </w:num>
  <w:num w:numId="15">
    <w:abstractNumId w:val="2"/>
  </w:num>
  <w:num w:numId="16">
    <w:abstractNumId w:val="12"/>
  </w:num>
  <w:num w:numId="17">
    <w:abstractNumId w:val="6"/>
  </w:num>
  <w:num w:numId="18">
    <w:abstractNumId w:val="9"/>
  </w:num>
  <w:num w:numId="19">
    <w:abstractNumId w:val="15"/>
  </w:num>
  <w:num w:numId="20">
    <w:abstractNumId w:val="22"/>
  </w:num>
  <w:num w:numId="21">
    <w:abstractNumId w:val="11"/>
  </w:num>
  <w:num w:numId="22">
    <w:abstractNumId w:val="24"/>
  </w:num>
  <w:num w:numId="23">
    <w:abstractNumId w:val="1"/>
  </w:num>
  <w:num w:numId="24">
    <w:abstractNumId w:val="17"/>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zMTcwNDa0MLc0NzFV0lEKTi0uzszPAymwrAUAyW81GywAAAA="/>
  </w:docVars>
  <w:rsids>
    <w:rsidRoot w:val="00261C20"/>
    <w:rsid w:val="00002489"/>
    <w:rsid w:val="00011D27"/>
    <w:rsid w:val="00050E93"/>
    <w:rsid w:val="00051F7A"/>
    <w:rsid w:val="00073B72"/>
    <w:rsid w:val="0007717A"/>
    <w:rsid w:val="000830EE"/>
    <w:rsid w:val="000A23AA"/>
    <w:rsid w:val="000A47F8"/>
    <w:rsid w:val="000D6154"/>
    <w:rsid w:val="00103636"/>
    <w:rsid w:val="00104F36"/>
    <w:rsid w:val="00105AAF"/>
    <w:rsid w:val="001110EE"/>
    <w:rsid w:val="001231F8"/>
    <w:rsid w:val="00123CDF"/>
    <w:rsid w:val="001255CD"/>
    <w:rsid w:val="00130083"/>
    <w:rsid w:val="00132419"/>
    <w:rsid w:val="001467CD"/>
    <w:rsid w:val="001568DA"/>
    <w:rsid w:val="00182EAB"/>
    <w:rsid w:val="0018435A"/>
    <w:rsid w:val="0019158F"/>
    <w:rsid w:val="001A1443"/>
    <w:rsid w:val="001A3747"/>
    <w:rsid w:val="001A7976"/>
    <w:rsid w:val="001C3C92"/>
    <w:rsid w:val="001F278D"/>
    <w:rsid w:val="00205D33"/>
    <w:rsid w:val="002458A2"/>
    <w:rsid w:val="00261C20"/>
    <w:rsid w:val="0026536C"/>
    <w:rsid w:val="002761D4"/>
    <w:rsid w:val="002842C1"/>
    <w:rsid w:val="002A13A2"/>
    <w:rsid w:val="002C4BB6"/>
    <w:rsid w:val="002C76E6"/>
    <w:rsid w:val="002D1FC5"/>
    <w:rsid w:val="002D3429"/>
    <w:rsid w:val="002D6905"/>
    <w:rsid w:val="002E2CBC"/>
    <w:rsid w:val="00301BD7"/>
    <w:rsid w:val="00303AD6"/>
    <w:rsid w:val="003436D8"/>
    <w:rsid w:val="0034519D"/>
    <w:rsid w:val="003467FF"/>
    <w:rsid w:val="00350B7C"/>
    <w:rsid w:val="0035525F"/>
    <w:rsid w:val="00355640"/>
    <w:rsid w:val="00373E3D"/>
    <w:rsid w:val="003770BC"/>
    <w:rsid w:val="003D207A"/>
    <w:rsid w:val="00405041"/>
    <w:rsid w:val="0041698A"/>
    <w:rsid w:val="0042193D"/>
    <w:rsid w:val="0042349C"/>
    <w:rsid w:val="00462B6B"/>
    <w:rsid w:val="00475AEE"/>
    <w:rsid w:val="00480C97"/>
    <w:rsid w:val="00480D2E"/>
    <w:rsid w:val="004B07B6"/>
    <w:rsid w:val="004B12C6"/>
    <w:rsid w:val="004C2840"/>
    <w:rsid w:val="004C3C93"/>
    <w:rsid w:val="004C635F"/>
    <w:rsid w:val="004D29A7"/>
    <w:rsid w:val="004D4B9D"/>
    <w:rsid w:val="00563D20"/>
    <w:rsid w:val="00566A3B"/>
    <w:rsid w:val="0057230F"/>
    <w:rsid w:val="005751F2"/>
    <w:rsid w:val="0059131A"/>
    <w:rsid w:val="005A69FC"/>
    <w:rsid w:val="005A7391"/>
    <w:rsid w:val="005C5070"/>
    <w:rsid w:val="005D211A"/>
    <w:rsid w:val="00612145"/>
    <w:rsid w:val="00625F04"/>
    <w:rsid w:val="00637C5C"/>
    <w:rsid w:val="00650C4C"/>
    <w:rsid w:val="006701E5"/>
    <w:rsid w:val="006933F2"/>
    <w:rsid w:val="0069686D"/>
    <w:rsid w:val="006B61CC"/>
    <w:rsid w:val="006E1E16"/>
    <w:rsid w:val="006F01C9"/>
    <w:rsid w:val="006F0FDC"/>
    <w:rsid w:val="006F2666"/>
    <w:rsid w:val="007128F2"/>
    <w:rsid w:val="00713663"/>
    <w:rsid w:val="00731251"/>
    <w:rsid w:val="00737475"/>
    <w:rsid w:val="00744F67"/>
    <w:rsid w:val="00745F9F"/>
    <w:rsid w:val="00761B74"/>
    <w:rsid w:val="007812E9"/>
    <w:rsid w:val="00785BE8"/>
    <w:rsid w:val="007A5BE0"/>
    <w:rsid w:val="007A71E5"/>
    <w:rsid w:val="007C02C5"/>
    <w:rsid w:val="007D31D5"/>
    <w:rsid w:val="007D48E4"/>
    <w:rsid w:val="007F6A13"/>
    <w:rsid w:val="008044F7"/>
    <w:rsid w:val="0080590D"/>
    <w:rsid w:val="00806458"/>
    <w:rsid w:val="00811208"/>
    <w:rsid w:val="00830345"/>
    <w:rsid w:val="00844B78"/>
    <w:rsid w:val="008562D2"/>
    <w:rsid w:val="008A077A"/>
    <w:rsid w:val="008B1CDD"/>
    <w:rsid w:val="008B5C27"/>
    <w:rsid w:val="008C5BA5"/>
    <w:rsid w:val="008E716B"/>
    <w:rsid w:val="008E766A"/>
    <w:rsid w:val="008F6604"/>
    <w:rsid w:val="00903DDE"/>
    <w:rsid w:val="00915D3F"/>
    <w:rsid w:val="00941124"/>
    <w:rsid w:val="00952C66"/>
    <w:rsid w:val="009539F9"/>
    <w:rsid w:val="00955EBB"/>
    <w:rsid w:val="0095786F"/>
    <w:rsid w:val="00990039"/>
    <w:rsid w:val="00991DB1"/>
    <w:rsid w:val="009B76A6"/>
    <w:rsid w:val="009E0AAE"/>
    <w:rsid w:val="009E6DE0"/>
    <w:rsid w:val="009F23BA"/>
    <w:rsid w:val="009F5EB9"/>
    <w:rsid w:val="00A2144F"/>
    <w:rsid w:val="00A40925"/>
    <w:rsid w:val="00A719D4"/>
    <w:rsid w:val="00A72FA1"/>
    <w:rsid w:val="00A7344C"/>
    <w:rsid w:val="00A754FF"/>
    <w:rsid w:val="00A77051"/>
    <w:rsid w:val="00AB3237"/>
    <w:rsid w:val="00AB5956"/>
    <w:rsid w:val="00AC0352"/>
    <w:rsid w:val="00AD0086"/>
    <w:rsid w:val="00AE613F"/>
    <w:rsid w:val="00AE6C01"/>
    <w:rsid w:val="00AF6545"/>
    <w:rsid w:val="00B06681"/>
    <w:rsid w:val="00B21C86"/>
    <w:rsid w:val="00B367F2"/>
    <w:rsid w:val="00B464B3"/>
    <w:rsid w:val="00B46D1C"/>
    <w:rsid w:val="00B725F3"/>
    <w:rsid w:val="00B8542A"/>
    <w:rsid w:val="00B9080D"/>
    <w:rsid w:val="00B911CE"/>
    <w:rsid w:val="00B916C0"/>
    <w:rsid w:val="00B92AF8"/>
    <w:rsid w:val="00B94651"/>
    <w:rsid w:val="00B97BA0"/>
    <w:rsid w:val="00BB25B1"/>
    <w:rsid w:val="00BD380A"/>
    <w:rsid w:val="00BE4393"/>
    <w:rsid w:val="00BF1CB3"/>
    <w:rsid w:val="00C0383B"/>
    <w:rsid w:val="00C04B97"/>
    <w:rsid w:val="00C242EC"/>
    <w:rsid w:val="00C32D0C"/>
    <w:rsid w:val="00C5004E"/>
    <w:rsid w:val="00C77ECC"/>
    <w:rsid w:val="00C90B3A"/>
    <w:rsid w:val="00CA4725"/>
    <w:rsid w:val="00CB5E6C"/>
    <w:rsid w:val="00CC7EA3"/>
    <w:rsid w:val="00CD50B6"/>
    <w:rsid w:val="00D22649"/>
    <w:rsid w:val="00D26E16"/>
    <w:rsid w:val="00D4285C"/>
    <w:rsid w:val="00D626EE"/>
    <w:rsid w:val="00D77A98"/>
    <w:rsid w:val="00D87B7F"/>
    <w:rsid w:val="00D93EE7"/>
    <w:rsid w:val="00DB06E1"/>
    <w:rsid w:val="00DC3CBF"/>
    <w:rsid w:val="00DC6EE7"/>
    <w:rsid w:val="00DE24F7"/>
    <w:rsid w:val="00DF266E"/>
    <w:rsid w:val="00E01D81"/>
    <w:rsid w:val="00E12524"/>
    <w:rsid w:val="00E500A6"/>
    <w:rsid w:val="00E84F43"/>
    <w:rsid w:val="00E87EC6"/>
    <w:rsid w:val="00EA5311"/>
    <w:rsid w:val="00EA5B52"/>
    <w:rsid w:val="00EA7EEF"/>
    <w:rsid w:val="00EB00BA"/>
    <w:rsid w:val="00EB0847"/>
    <w:rsid w:val="00EC29D8"/>
    <w:rsid w:val="00ED5050"/>
    <w:rsid w:val="00EE75A8"/>
    <w:rsid w:val="00EF500B"/>
    <w:rsid w:val="00F0515F"/>
    <w:rsid w:val="00F123BF"/>
    <w:rsid w:val="00F14E0F"/>
    <w:rsid w:val="00F24CFC"/>
    <w:rsid w:val="00F302A6"/>
    <w:rsid w:val="00F3230D"/>
    <w:rsid w:val="00F64678"/>
    <w:rsid w:val="00F679DB"/>
    <w:rsid w:val="00F763BC"/>
    <w:rsid w:val="00F856A6"/>
    <w:rsid w:val="00FB372C"/>
    <w:rsid w:val="00FD6983"/>
    <w:rsid w:val="00FF342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6A4A62"/>
  <w15:docId w15:val="{A7629A43-E588-45FF-BD4C-BFBD4FA3A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color w:val="000000"/>
        <w:sz w:val="22"/>
        <w:szCs w:val="22"/>
        <w:lang w:val="ru-R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C3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C92"/>
    <w:rPr>
      <w:rFonts w:ascii="Tahoma" w:hAnsi="Tahoma" w:cs="Tahoma"/>
      <w:sz w:val="16"/>
      <w:szCs w:val="16"/>
    </w:rPr>
  </w:style>
  <w:style w:type="paragraph" w:styleId="Header">
    <w:name w:val="header"/>
    <w:basedOn w:val="Normal"/>
    <w:link w:val="HeaderChar"/>
    <w:uiPriority w:val="99"/>
    <w:unhideWhenUsed/>
    <w:rsid w:val="001C3C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C92"/>
  </w:style>
  <w:style w:type="paragraph" w:styleId="Footer">
    <w:name w:val="footer"/>
    <w:basedOn w:val="Normal"/>
    <w:link w:val="FooterChar"/>
    <w:uiPriority w:val="99"/>
    <w:unhideWhenUsed/>
    <w:rsid w:val="001C3C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C92"/>
  </w:style>
  <w:style w:type="paragraph" w:styleId="ListParagraph">
    <w:name w:val="List Paragraph"/>
    <w:aliases w:val="Numbered Para 1,Dot pt,No Spacing1,List Paragraph Char Char Char,Indicator Text,List Paragraph1,Bullet 1,Bullet Points,F5 List Paragraph,Colorful List - Accent 11,List Paragraph2,Normal numbered,List Paragraph11,OBC Bullet"/>
    <w:basedOn w:val="Normal"/>
    <w:link w:val="ListParagraphChar"/>
    <w:uiPriority w:val="34"/>
    <w:qFormat/>
    <w:rsid w:val="001C3C92"/>
    <w:pPr>
      <w:ind w:left="720"/>
      <w:contextualSpacing/>
    </w:pPr>
  </w:style>
  <w:style w:type="paragraph" w:styleId="Revision">
    <w:name w:val="Revision"/>
    <w:hidden/>
    <w:uiPriority w:val="99"/>
    <w:semiHidden/>
    <w:rsid w:val="00011D27"/>
    <w:pPr>
      <w:spacing w:after="0" w:line="240" w:lineRule="auto"/>
    </w:pPr>
  </w:style>
  <w:style w:type="paragraph" w:styleId="CommentSubject">
    <w:name w:val="annotation subject"/>
    <w:basedOn w:val="CommentText"/>
    <w:next w:val="CommentText"/>
    <w:link w:val="CommentSubjectChar"/>
    <w:uiPriority w:val="99"/>
    <w:semiHidden/>
    <w:unhideWhenUsed/>
    <w:rsid w:val="0007717A"/>
    <w:rPr>
      <w:b/>
      <w:bCs/>
    </w:rPr>
  </w:style>
  <w:style w:type="character" w:customStyle="1" w:styleId="CommentSubjectChar">
    <w:name w:val="Comment Subject Char"/>
    <w:basedOn w:val="CommentTextChar"/>
    <w:link w:val="CommentSubject"/>
    <w:uiPriority w:val="99"/>
    <w:semiHidden/>
    <w:rsid w:val="0007717A"/>
    <w:rPr>
      <w:b/>
      <w:bCs/>
      <w:sz w:val="20"/>
      <w:szCs w:val="20"/>
    </w:rPr>
  </w:style>
  <w:style w:type="table" w:styleId="TableGrid">
    <w:name w:val="Table Grid"/>
    <w:basedOn w:val="TableNormal"/>
    <w:uiPriority w:val="59"/>
    <w:unhideWhenUsed/>
    <w:rsid w:val="00856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Numbered Para 1 Char,Dot pt Char,No Spacing1 Char,List Paragraph Char Char Char Char,Indicator Text Char,List Paragraph1 Char,Bullet 1 Char,Bullet Points Char,F5 List Paragraph Char,Colorful List - Accent 11 Char,List Paragraph2 Char"/>
    <w:basedOn w:val="DefaultParagraphFont"/>
    <w:link w:val="ListParagraph"/>
    <w:uiPriority w:val="34"/>
    <w:qFormat/>
    <w:rsid w:val="008A077A"/>
  </w:style>
  <w:style w:type="paragraph" w:styleId="FootnoteText">
    <w:name w:val="footnote text"/>
    <w:basedOn w:val="Normal"/>
    <w:link w:val="FootnoteTextChar"/>
    <w:uiPriority w:val="99"/>
    <w:unhideWhenUsed/>
    <w:rsid w:val="00F3230D"/>
    <w:pPr>
      <w:spacing w:after="0" w:line="240" w:lineRule="auto"/>
      <w:jc w:val="both"/>
    </w:pPr>
    <w:rPr>
      <w:rFonts w:ascii="Segoe UI" w:eastAsiaTheme="minorHAnsi" w:hAnsi="Segoe UI" w:cs="Segoe UI"/>
      <w:sz w:val="20"/>
      <w:szCs w:val="20"/>
      <w:lang w:eastAsia="en-US"/>
    </w:rPr>
  </w:style>
  <w:style w:type="character" w:customStyle="1" w:styleId="FootnoteTextChar">
    <w:name w:val="Footnote Text Char"/>
    <w:basedOn w:val="DefaultParagraphFont"/>
    <w:link w:val="FootnoteText"/>
    <w:uiPriority w:val="99"/>
    <w:rsid w:val="00F3230D"/>
    <w:rPr>
      <w:rFonts w:ascii="Segoe UI" w:eastAsiaTheme="minorHAnsi" w:hAnsi="Segoe UI" w:cs="Segoe UI"/>
      <w:sz w:val="20"/>
      <w:szCs w:val="20"/>
      <w:lang w:val="ru-RU" w:eastAsia="en-US"/>
    </w:rPr>
  </w:style>
  <w:style w:type="character" w:styleId="FootnoteReference">
    <w:name w:val="footnote reference"/>
    <w:basedOn w:val="DefaultParagraphFont"/>
    <w:uiPriority w:val="99"/>
    <w:semiHidden/>
    <w:unhideWhenUsed/>
    <w:rsid w:val="00F3230D"/>
    <w:rPr>
      <w:vertAlign w:val="superscript"/>
    </w:rPr>
  </w:style>
  <w:style w:type="character" w:styleId="SubtleReference">
    <w:name w:val="Subtle Reference"/>
    <w:aliases w:val="Foot reference"/>
    <w:uiPriority w:val="31"/>
    <w:qFormat/>
    <w:rsid w:val="00F3230D"/>
    <w:rPr>
      <w:color w:val="000000" w:themeColor="text1"/>
      <w:sz w:val="16"/>
      <w:szCs w:val="16"/>
    </w:rPr>
  </w:style>
  <w:style w:type="character" w:styleId="Hyperlink">
    <w:name w:val="Hyperlink"/>
    <w:basedOn w:val="DefaultParagraphFont"/>
    <w:uiPriority w:val="99"/>
    <w:semiHidden/>
    <w:unhideWhenUsed/>
    <w:rsid w:val="00B725F3"/>
    <w:rPr>
      <w:rFonts w:ascii="Times New Roman" w:hAnsi="Times New Roman" w:cs="Times New Roman" w:hint="default"/>
      <w:color w:val="000000"/>
      <w:u w:val="single"/>
    </w:rPr>
  </w:style>
  <w:style w:type="paragraph" w:styleId="NormalWeb">
    <w:name w:val="Normal (Web)"/>
    <w:basedOn w:val="Normal"/>
    <w:uiPriority w:val="99"/>
    <w:semiHidden/>
    <w:unhideWhenUsed/>
    <w:rsid w:val="002D1FC5"/>
    <w:pPr>
      <w:spacing w:before="100" w:beforeAutospacing="1" w:after="100" w:afterAutospacing="1" w:line="240" w:lineRule="auto"/>
    </w:pPr>
    <w:rPr>
      <w:rFonts w:eastAsia="Times New Roman"/>
      <w:color w:val="auto"/>
      <w:lang w:val="en-US" w:eastAsia="en-US"/>
    </w:rPr>
  </w:style>
  <w:style w:type="paragraph" w:styleId="HTMLPreformatted">
    <w:name w:val="HTML Preformatted"/>
    <w:basedOn w:val="Normal"/>
    <w:link w:val="HTMLPreformattedChar"/>
    <w:uiPriority w:val="99"/>
    <w:semiHidden/>
    <w:unhideWhenUsed/>
    <w:rsid w:val="00625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625F04"/>
    <w:rPr>
      <w:rFonts w:ascii="Courier New" w:eastAsia="Times New Roman" w:hAnsi="Courier New" w:cs="Courier New"/>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72261">
      <w:bodyDiv w:val="1"/>
      <w:marLeft w:val="0"/>
      <w:marRight w:val="0"/>
      <w:marTop w:val="0"/>
      <w:marBottom w:val="0"/>
      <w:divBdr>
        <w:top w:val="none" w:sz="0" w:space="0" w:color="auto"/>
        <w:left w:val="none" w:sz="0" w:space="0" w:color="auto"/>
        <w:bottom w:val="none" w:sz="0" w:space="0" w:color="auto"/>
        <w:right w:val="none" w:sz="0" w:space="0" w:color="auto"/>
      </w:divBdr>
    </w:div>
    <w:div w:id="564417520">
      <w:bodyDiv w:val="1"/>
      <w:marLeft w:val="0"/>
      <w:marRight w:val="0"/>
      <w:marTop w:val="0"/>
      <w:marBottom w:val="0"/>
      <w:divBdr>
        <w:top w:val="none" w:sz="0" w:space="0" w:color="auto"/>
        <w:left w:val="none" w:sz="0" w:space="0" w:color="auto"/>
        <w:bottom w:val="none" w:sz="0" w:space="0" w:color="auto"/>
        <w:right w:val="none" w:sz="0" w:space="0" w:color="auto"/>
      </w:divBdr>
    </w:div>
    <w:div w:id="748159686">
      <w:bodyDiv w:val="1"/>
      <w:marLeft w:val="0"/>
      <w:marRight w:val="0"/>
      <w:marTop w:val="0"/>
      <w:marBottom w:val="0"/>
      <w:divBdr>
        <w:top w:val="none" w:sz="0" w:space="0" w:color="auto"/>
        <w:left w:val="none" w:sz="0" w:space="0" w:color="auto"/>
        <w:bottom w:val="none" w:sz="0" w:space="0" w:color="auto"/>
        <w:right w:val="none" w:sz="0" w:space="0" w:color="auto"/>
      </w:divBdr>
    </w:div>
    <w:div w:id="926111562">
      <w:bodyDiv w:val="1"/>
      <w:marLeft w:val="0"/>
      <w:marRight w:val="0"/>
      <w:marTop w:val="0"/>
      <w:marBottom w:val="0"/>
      <w:divBdr>
        <w:top w:val="none" w:sz="0" w:space="0" w:color="auto"/>
        <w:left w:val="none" w:sz="0" w:space="0" w:color="auto"/>
        <w:bottom w:val="none" w:sz="0" w:space="0" w:color="auto"/>
        <w:right w:val="none" w:sz="0" w:space="0" w:color="auto"/>
      </w:divBdr>
    </w:div>
    <w:div w:id="1085881022">
      <w:bodyDiv w:val="1"/>
      <w:marLeft w:val="0"/>
      <w:marRight w:val="0"/>
      <w:marTop w:val="0"/>
      <w:marBottom w:val="0"/>
      <w:divBdr>
        <w:top w:val="none" w:sz="0" w:space="0" w:color="auto"/>
        <w:left w:val="none" w:sz="0" w:space="0" w:color="auto"/>
        <w:bottom w:val="none" w:sz="0" w:space="0" w:color="auto"/>
        <w:right w:val="none" w:sz="0" w:space="0" w:color="auto"/>
      </w:divBdr>
    </w:div>
    <w:div w:id="1139034991">
      <w:bodyDiv w:val="1"/>
      <w:marLeft w:val="0"/>
      <w:marRight w:val="0"/>
      <w:marTop w:val="0"/>
      <w:marBottom w:val="0"/>
      <w:divBdr>
        <w:top w:val="none" w:sz="0" w:space="0" w:color="auto"/>
        <w:left w:val="none" w:sz="0" w:space="0" w:color="auto"/>
        <w:bottom w:val="none" w:sz="0" w:space="0" w:color="auto"/>
        <w:right w:val="none" w:sz="0" w:space="0" w:color="auto"/>
      </w:divBdr>
    </w:div>
    <w:div w:id="1174153935">
      <w:bodyDiv w:val="1"/>
      <w:marLeft w:val="0"/>
      <w:marRight w:val="0"/>
      <w:marTop w:val="0"/>
      <w:marBottom w:val="0"/>
      <w:divBdr>
        <w:top w:val="none" w:sz="0" w:space="0" w:color="auto"/>
        <w:left w:val="none" w:sz="0" w:space="0" w:color="auto"/>
        <w:bottom w:val="none" w:sz="0" w:space="0" w:color="auto"/>
        <w:right w:val="none" w:sz="0" w:space="0" w:color="auto"/>
      </w:divBdr>
    </w:div>
    <w:div w:id="1588732290">
      <w:bodyDiv w:val="1"/>
      <w:marLeft w:val="0"/>
      <w:marRight w:val="0"/>
      <w:marTop w:val="0"/>
      <w:marBottom w:val="0"/>
      <w:divBdr>
        <w:top w:val="none" w:sz="0" w:space="0" w:color="auto"/>
        <w:left w:val="none" w:sz="0" w:space="0" w:color="auto"/>
        <w:bottom w:val="none" w:sz="0" w:space="0" w:color="auto"/>
        <w:right w:val="none" w:sz="0" w:space="0" w:color="auto"/>
      </w:divBdr>
    </w:div>
    <w:div w:id="1708406685">
      <w:bodyDiv w:val="1"/>
      <w:marLeft w:val="0"/>
      <w:marRight w:val="0"/>
      <w:marTop w:val="0"/>
      <w:marBottom w:val="0"/>
      <w:divBdr>
        <w:top w:val="none" w:sz="0" w:space="0" w:color="auto"/>
        <w:left w:val="none" w:sz="0" w:space="0" w:color="auto"/>
        <w:bottom w:val="none" w:sz="0" w:space="0" w:color="auto"/>
        <w:right w:val="none" w:sz="0" w:space="0" w:color="auto"/>
      </w:divBdr>
    </w:div>
    <w:div w:id="1995598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0C336-3796-45F2-80DE-912A3FFB9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1588</Words>
  <Characters>9054</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WHO</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BLINKENBERG, Nina Lillian</dc:creator>
  <cp:lastModifiedBy>LEWANDOWSKA, Anna Maria</cp:lastModifiedBy>
  <cp:revision>2</cp:revision>
  <dcterms:created xsi:type="dcterms:W3CDTF">2020-09-25T10:32:00Z</dcterms:created>
  <dcterms:modified xsi:type="dcterms:W3CDTF">2020-09-25T10:32:00Z</dcterms:modified>
</cp:coreProperties>
</file>