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DB89" w14:textId="77777777" w:rsidR="005F03D4" w:rsidRPr="003B270A" w:rsidRDefault="005F03D4" w:rsidP="003B270A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14317" w:type="dxa"/>
        <w:tblLayout w:type="fixed"/>
        <w:tblLook w:val="04A0" w:firstRow="1" w:lastRow="0" w:firstColumn="1" w:lastColumn="0" w:noHBand="0" w:noVBand="1"/>
      </w:tblPr>
      <w:tblGrid>
        <w:gridCol w:w="4508"/>
        <w:gridCol w:w="9809"/>
      </w:tblGrid>
      <w:tr w:rsidR="005F03D4" w:rsidRPr="003B270A" w14:paraId="34A8709E" w14:textId="77777777" w:rsidTr="005F03D4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D5FD46" w14:textId="382588AC" w:rsidR="005F03D4" w:rsidRPr="003B270A" w:rsidRDefault="005F03D4" w:rsidP="003B270A">
            <w:pPr>
              <w:spacing w:after="360"/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</w:rPr>
            </w:pP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国家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COVID-19</w:t>
            </w:r>
            <w:r w:rsidR="003B4A57"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行动内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审查</w:t>
            </w:r>
            <w:r w:rsidR="00147F70">
              <w:rPr>
                <w:rFonts w:ascii="Times New Roman" w:eastAsia="STXihei" w:hAnsi="Times New Roman" w:cs="Times New Roman" w:hint="eastAsia"/>
                <w:b/>
                <w:bCs/>
                <w:sz w:val="24"/>
                <w:szCs w:val="24"/>
                <w:lang w:val="zh-CN"/>
              </w:rPr>
              <w:t>（</w:t>
            </w:r>
            <w:r w:rsidR="00DB0C7B"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IAR</w:t>
            </w:r>
            <w:r w:rsidR="00147F70">
              <w:rPr>
                <w:rFonts w:ascii="Times New Roman" w:eastAsia="STXihei" w:hAnsi="Times New Roman" w:cs="Times New Roman" w:hint="eastAsia"/>
                <w:b/>
                <w:bCs/>
                <w:sz w:val="24"/>
                <w:szCs w:val="24"/>
                <w:lang w:val="zh-CN"/>
              </w:rPr>
              <w:t>）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：</w:t>
            </w:r>
          </w:p>
          <w:p w14:paraId="3F622C7D" w14:textId="7CBEF657" w:rsidR="005F03D4" w:rsidRPr="003B270A" w:rsidRDefault="005F03D4" w:rsidP="003B270A">
            <w:pPr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</w:rPr>
            </w:pP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笔记模板</w:t>
            </w:r>
          </w:p>
          <w:p w14:paraId="34518AE2" w14:textId="775BD767" w:rsidR="005F03D4" w:rsidRPr="003B270A" w:rsidRDefault="005F03D4" w:rsidP="003B270A">
            <w:pPr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</w:rPr>
            </w:pP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2020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年</w:t>
            </w:r>
            <w:r w:rsidR="008E3214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</w:rPr>
              <w:t>7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月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23</w:t>
            </w:r>
            <w:r w:rsidRPr="003B270A">
              <w:rPr>
                <w:rFonts w:ascii="Times New Roman" w:eastAsia="STXihei" w:hAnsi="Times New Roman" w:cs="Times New Roman"/>
                <w:b/>
                <w:bCs/>
                <w:sz w:val="24"/>
                <w:szCs w:val="24"/>
                <w:lang w:val="zh-CN"/>
              </w:rPr>
              <w:t>日</w:t>
            </w:r>
          </w:p>
          <w:p w14:paraId="3749C0EA" w14:textId="77777777" w:rsidR="005F03D4" w:rsidRPr="003B270A" w:rsidRDefault="005F03D4" w:rsidP="003B270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809" w:type="dxa"/>
            <w:tcBorders>
              <w:top w:val="nil"/>
              <w:left w:val="nil"/>
              <w:bottom w:val="nil"/>
              <w:right w:val="nil"/>
            </w:tcBorders>
          </w:tcPr>
          <w:p w14:paraId="237AAF6B" w14:textId="701B53C7" w:rsidR="005F03D4" w:rsidRPr="003B270A" w:rsidRDefault="00D34C3F" w:rsidP="003B270A">
            <w:pPr>
              <w:spacing w:line="240" w:lineRule="auto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noProof/>
                <w:sz w:val="24"/>
                <w:szCs w:val="24"/>
              </w:rPr>
              <w:drawing>
                <wp:inline distT="0" distB="0" distL="0" distR="0" wp14:anchorId="1FCD0329" wp14:editId="033A56A9">
                  <wp:extent cx="170307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574BA" w14:textId="77777777" w:rsidR="005F03D4" w:rsidRDefault="005F03D4" w:rsidP="00C4576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582329" w14:textId="2DAF783A" w:rsidR="00EA3E53" w:rsidRPr="003B270A" w:rsidRDefault="00AF7E09" w:rsidP="003B270A">
      <w:pPr>
        <w:overflowPunct w:val="0"/>
        <w:spacing w:after="240" w:line="400" w:lineRule="exact"/>
        <w:jc w:val="center"/>
        <w:rPr>
          <w:rFonts w:eastAsia="STXihei" w:cs="Times New Roman"/>
          <w:b/>
          <w:bCs/>
          <w:sz w:val="28"/>
          <w:szCs w:val="28"/>
        </w:rPr>
      </w:pPr>
      <w:r w:rsidRPr="003B270A">
        <w:rPr>
          <w:rFonts w:eastAsia="STXihei" w:cs="Times New Roman"/>
          <w:b/>
          <w:bCs/>
          <w:sz w:val="28"/>
          <w:szCs w:val="28"/>
          <w:lang w:val="zh-CN"/>
        </w:rPr>
        <w:t>国家</w:t>
      </w:r>
      <w:r w:rsidRPr="003B270A">
        <w:rPr>
          <w:rFonts w:eastAsia="STXihei" w:cs="Times New Roman"/>
          <w:b/>
          <w:bCs/>
          <w:sz w:val="28"/>
          <w:szCs w:val="28"/>
          <w:lang w:val="zh-CN"/>
        </w:rPr>
        <w:t>COVID-19</w:t>
      </w:r>
      <w:r w:rsidRPr="003B270A">
        <w:rPr>
          <w:rFonts w:eastAsia="STXihei" w:cs="Times New Roman"/>
          <w:b/>
          <w:bCs/>
          <w:sz w:val="28"/>
          <w:szCs w:val="28"/>
          <w:lang w:val="zh-CN"/>
        </w:rPr>
        <w:t>行动</w:t>
      </w:r>
      <w:r w:rsidR="003B4A57" w:rsidRPr="003B270A">
        <w:rPr>
          <w:rFonts w:eastAsia="STXihei" w:cs="Times New Roman"/>
          <w:b/>
          <w:bCs/>
          <w:sz w:val="28"/>
          <w:szCs w:val="28"/>
          <w:lang w:val="zh-CN"/>
        </w:rPr>
        <w:t>内</w:t>
      </w:r>
      <w:r w:rsidRPr="003B270A">
        <w:rPr>
          <w:rFonts w:eastAsia="STXihei" w:cs="Times New Roman"/>
          <w:b/>
          <w:bCs/>
          <w:sz w:val="28"/>
          <w:szCs w:val="28"/>
          <w:lang w:val="zh-CN"/>
        </w:rPr>
        <w:t>审查</w:t>
      </w:r>
      <w:r w:rsidR="00147F70">
        <w:rPr>
          <w:rFonts w:eastAsia="STXihei" w:cs="Times New Roman" w:hint="eastAsia"/>
          <w:b/>
          <w:bCs/>
          <w:sz w:val="28"/>
          <w:szCs w:val="28"/>
          <w:lang w:val="zh-CN"/>
        </w:rPr>
        <w:t>（</w:t>
      </w:r>
      <w:r w:rsidR="00DB0C7B" w:rsidRPr="003B270A">
        <w:rPr>
          <w:rFonts w:eastAsia="STXihei" w:cs="Times New Roman"/>
          <w:b/>
          <w:bCs/>
          <w:sz w:val="28"/>
          <w:szCs w:val="28"/>
          <w:lang w:val="zh-CN"/>
        </w:rPr>
        <w:t>IAR</w:t>
      </w:r>
      <w:r w:rsidR="00147F70">
        <w:rPr>
          <w:rFonts w:eastAsia="STXihei" w:cs="Times New Roman" w:hint="eastAsia"/>
          <w:b/>
          <w:bCs/>
          <w:sz w:val="28"/>
          <w:szCs w:val="28"/>
          <w:lang w:val="zh-CN"/>
        </w:rPr>
        <w:t>）</w:t>
      </w:r>
      <w:r w:rsidRPr="003B270A">
        <w:rPr>
          <w:rFonts w:eastAsia="STXihei" w:cs="Times New Roman"/>
          <w:b/>
          <w:bCs/>
          <w:sz w:val="28"/>
          <w:szCs w:val="28"/>
          <w:lang w:val="zh-CN"/>
        </w:rPr>
        <w:t>笔记模板</w:t>
      </w:r>
    </w:p>
    <w:p w14:paraId="6249AE3D" w14:textId="77777777" w:rsidR="00EA3E53" w:rsidRPr="003B270A" w:rsidRDefault="00EA3E53" w:rsidP="003B270A">
      <w:pPr>
        <w:tabs>
          <w:tab w:val="left" w:pos="567"/>
        </w:tabs>
        <w:overflowPunct w:val="0"/>
        <w:spacing w:after="240" w:line="400" w:lineRule="exact"/>
        <w:jc w:val="center"/>
        <w:rPr>
          <w:rFonts w:eastAsia="STXihei" w:cs="Times New Roman"/>
          <w:b/>
          <w:bCs/>
          <w:sz w:val="28"/>
          <w:szCs w:val="28"/>
        </w:rPr>
      </w:pPr>
      <w:r w:rsidRPr="003B270A">
        <w:rPr>
          <w:rFonts w:eastAsia="STXihei" w:cs="Times New Roman"/>
          <w:b/>
          <w:bCs/>
          <w:sz w:val="28"/>
          <w:szCs w:val="28"/>
          <w:highlight w:val="yellow"/>
          <w:lang w:val="zh-CN"/>
        </w:rPr>
        <w:t>[</w:t>
      </w:r>
      <w:r w:rsidRPr="003B270A">
        <w:rPr>
          <w:rFonts w:eastAsia="STXihei" w:cs="Times New Roman"/>
          <w:b/>
          <w:bCs/>
          <w:sz w:val="28"/>
          <w:szCs w:val="28"/>
          <w:highlight w:val="yellow"/>
          <w:lang w:val="zh-CN"/>
        </w:rPr>
        <w:t>国家</w:t>
      </w:r>
      <w:r w:rsidRPr="003B270A">
        <w:rPr>
          <w:rFonts w:eastAsia="STXihei" w:cs="Times New Roman"/>
          <w:b/>
          <w:bCs/>
          <w:sz w:val="28"/>
          <w:szCs w:val="28"/>
          <w:highlight w:val="yellow"/>
          <w:lang w:val="zh-CN"/>
        </w:rPr>
        <w:t>]</w:t>
      </w:r>
    </w:p>
    <w:p w14:paraId="3FAE4BE7" w14:textId="6AB1A6C4" w:rsidR="00EA3E53" w:rsidRPr="003B270A" w:rsidRDefault="00EA3E53" w:rsidP="003B270A">
      <w:pPr>
        <w:overflowPunct w:val="0"/>
        <w:spacing w:after="240" w:line="400" w:lineRule="exact"/>
        <w:jc w:val="center"/>
        <w:rPr>
          <w:rFonts w:eastAsia="STXihei" w:cs="Times New Roman"/>
          <w:b/>
          <w:sz w:val="28"/>
          <w:szCs w:val="28"/>
        </w:rPr>
      </w:pPr>
      <w:r w:rsidRPr="003B270A">
        <w:rPr>
          <w:rFonts w:eastAsia="STXihei" w:cs="Times New Roman"/>
          <w:b/>
          <w:sz w:val="28"/>
          <w:szCs w:val="28"/>
          <w:lang w:val="zh-CN"/>
        </w:rPr>
        <w:t>行动</w:t>
      </w:r>
      <w:r w:rsidR="003B4A57" w:rsidRPr="003B270A">
        <w:rPr>
          <w:rFonts w:eastAsia="STXihei" w:cs="Times New Roman"/>
          <w:b/>
          <w:sz w:val="28"/>
          <w:szCs w:val="28"/>
          <w:lang w:val="zh-CN"/>
        </w:rPr>
        <w:t>内</w:t>
      </w:r>
      <w:r w:rsidRPr="003B270A">
        <w:rPr>
          <w:rFonts w:eastAsia="STXihei" w:cs="Times New Roman"/>
          <w:b/>
          <w:sz w:val="28"/>
          <w:szCs w:val="28"/>
          <w:lang w:val="zh-CN"/>
        </w:rPr>
        <w:t>审查日期：</w:t>
      </w:r>
      <w:r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[</w:t>
      </w:r>
      <w:r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年</w:t>
      </w:r>
      <w:r w:rsidR="003B4A57"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/</w:t>
      </w:r>
      <w:r w:rsidR="003B4A57"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月</w:t>
      </w:r>
      <w:r w:rsidR="003B4A57"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/</w:t>
      </w:r>
      <w:r w:rsidR="003B4A57"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日</w:t>
      </w:r>
      <w:r w:rsidRPr="003B270A">
        <w:rPr>
          <w:rFonts w:eastAsia="STXihei" w:cs="Times New Roman"/>
          <w:b/>
          <w:sz w:val="28"/>
          <w:szCs w:val="28"/>
          <w:highlight w:val="yellow"/>
          <w:lang w:val="zh-CN"/>
        </w:rPr>
        <w:t>]</w:t>
      </w:r>
    </w:p>
    <w:p w14:paraId="27BD53FF" w14:textId="7F029760" w:rsidR="00EA3E53" w:rsidRPr="00C8092B" w:rsidRDefault="00EA3E53" w:rsidP="00C4576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61390B" w14:textId="77777777" w:rsidR="00C8092B" w:rsidRPr="003B270A" w:rsidRDefault="00C8092B" w:rsidP="003B270A">
      <w:pPr>
        <w:overflowPunct w:val="0"/>
        <w:autoSpaceDE/>
        <w:autoSpaceDN/>
        <w:spacing w:afterLines="50" w:line="360" w:lineRule="exact"/>
        <w:rPr>
          <w:rFonts w:eastAsia="KaiTi" w:cs="Times New Roman"/>
          <w:iCs/>
          <w:color w:val="336666"/>
          <w:sz w:val="22"/>
          <w:szCs w:val="22"/>
          <w:u w:val="single"/>
        </w:rPr>
      </w:pPr>
      <w:r w:rsidRPr="003B270A">
        <w:rPr>
          <w:rFonts w:eastAsia="KaiTi" w:cs="Times New Roman"/>
          <w:iCs/>
          <w:sz w:val="22"/>
          <w:szCs w:val="22"/>
          <w:u w:val="single"/>
          <w:lang w:val="zh-CN"/>
        </w:rPr>
        <w:t>说明</w:t>
      </w:r>
      <w:r w:rsidRPr="003B270A">
        <w:rPr>
          <w:rFonts w:eastAsia="KaiTi" w:cs="Times New Roman"/>
          <w:iCs/>
          <w:sz w:val="22"/>
          <w:szCs w:val="22"/>
          <w:lang w:val="zh-CN"/>
        </w:rPr>
        <w:t>：</w:t>
      </w:r>
    </w:p>
    <w:p w14:paraId="1A688DB8" w14:textId="57CD76D1" w:rsidR="00C8092B" w:rsidRPr="003B270A" w:rsidRDefault="00C8092B" w:rsidP="003B270A">
      <w:pPr>
        <w:pStyle w:val="ListParagraph"/>
        <w:numPr>
          <w:ilvl w:val="0"/>
          <w:numId w:val="7"/>
        </w:numPr>
        <w:tabs>
          <w:tab w:val="left" w:pos="812"/>
        </w:tabs>
        <w:overflowPunct w:val="0"/>
        <w:spacing w:afterLines="50" w:after="120" w:line="360" w:lineRule="exact"/>
        <w:ind w:left="462" w:firstLine="0"/>
        <w:contextualSpacing w:val="0"/>
        <w:rPr>
          <w:rFonts w:ascii="Times New Roman" w:eastAsia="KaiTi" w:hAnsi="Times New Roman" w:cs="Times New Roman"/>
          <w:iCs/>
          <w:color w:val="336666"/>
        </w:rPr>
      </w:pPr>
      <w:r w:rsidRPr="003B270A">
        <w:rPr>
          <w:rFonts w:ascii="Times New Roman" w:eastAsia="KaiTi" w:hAnsi="Times New Roman" w:cs="Times New Roman"/>
          <w:iCs/>
          <w:lang w:val="zh-CN"/>
        </w:rPr>
        <w:t>本模板供记</w:t>
      </w:r>
      <w:r w:rsidR="001416E0" w:rsidRPr="003B270A">
        <w:rPr>
          <w:rFonts w:ascii="Times New Roman" w:eastAsia="KaiTi" w:hAnsi="Times New Roman" w:cs="Times New Roman"/>
          <w:iCs/>
          <w:lang w:val="zh-CN"/>
        </w:rPr>
        <w:t>录</w:t>
      </w:r>
      <w:r w:rsidRPr="003B270A">
        <w:rPr>
          <w:rFonts w:ascii="Times New Roman" w:eastAsia="KaiTi" w:hAnsi="Times New Roman" w:cs="Times New Roman"/>
          <w:iCs/>
          <w:lang w:val="zh-CN"/>
        </w:rPr>
        <w:t>员在</w:t>
      </w:r>
      <w:r w:rsidR="00343425" w:rsidRPr="003B270A">
        <w:rPr>
          <w:rFonts w:ascii="Times New Roman" w:eastAsia="KaiTi" w:hAnsi="Times New Roman" w:cs="Times New Roman"/>
          <w:iCs/>
          <w:lang w:val="zh-CN"/>
        </w:rPr>
        <w:t>行动</w:t>
      </w:r>
      <w:r w:rsidRPr="003B270A">
        <w:rPr>
          <w:rFonts w:ascii="Times New Roman" w:eastAsia="KaiTi" w:hAnsi="Times New Roman" w:cs="Times New Roman"/>
          <w:iCs/>
          <w:lang w:val="zh-CN"/>
        </w:rPr>
        <w:t>内审查期间使用。</w:t>
      </w:r>
    </w:p>
    <w:p w14:paraId="060B72EB" w14:textId="1D42EEBC" w:rsidR="00887ABA" w:rsidRPr="003B270A" w:rsidRDefault="00C8092B" w:rsidP="003B270A">
      <w:pPr>
        <w:pStyle w:val="ListParagraph"/>
        <w:numPr>
          <w:ilvl w:val="0"/>
          <w:numId w:val="7"/>
        </w:numPr>
        <w:tabs>
          <w:tab w:val="left" w:pos="812"/>
        </w:tabs>
        <w:overflowPunct w:val="0"/>
        <w:spacing w:afterLines="50" w:after="120" w:line="360" w:lineRule="exact"/>
        <w:ind w:left="462" w:firstLine="0"/>
        <w:contextualSpacing w:val="0"/>
        <w:rPr>
          <w:rFonts w:ascii="Times New Roman" w:eastAsia="KaiTi" w:hAnsi="Times New Roman" w:cs="Times New Roman"/>
          <w:iCs/>
          <w:color w:val="336666"/>
        </w:rPr>
      </w:pPr>
      <w:r w:rsidRPr="003B270A">
        <w:rPr>
          <w:rFonts w:ascii="Times New Roman" w:eastAsia="KaiTi" w:hAnsi="Times New Roman" w:cs="Times New Roman"/>
          <w:iCs/>
          <w:lang w:val="zh-CN"/>
        </w:rPr>
        <w:t>下表应当进行复制，以便针对所审查的每项技术职能</w:t>
      </w:r>
      <w:r w:rsidRPr="003B270A">
        <w:rPr>
          <w:rFonts w:ascii="Times New Roman" w:eastAsia="KaiTi" w:hAnsi="Times New Roman" w:cs="Times New Roman"/>
          <w:iCs/>
          <w:lang w:val="zh-CN"/>
        </w:rPr>
        <w:t>/</w:t>
      </w:r>
      <w:r w:rsidRPr="003B270A">
        <w:rPr>
          <w:rFonts w:ascii="Times New Roman" w:eastAsia="KaiTi" w:hAnsi="Times New Roman" w:cs="Times New Roman"/>
          <w:iCs/>
          <w:lang w:val="zh-CN"/>
        </w:rPr>
        <w:t>支柱填写一个表格。</w:t>
      </w:r>
    </w:p>
    <w:p w14:paraId="122DE4A9" w14:textId="4BD0B575" w:rsidR="00C8092B" w:rsidRPr="003B270A" w:rsidRDefault="00C8092B" w:rsidP="003B270A">
      <w:pPr>
        <w:pStyle w:val="ListParagraph"/>
        <w:numPr>
          <w:ilvl w:val="0"/>
          <w:numId w:val="7"/>
        </w:numPr>
        <w:tabs>
          <w:tab w:val="left" w:pos="812"/>
        </w:tabs>
        <w:overflowPunct w:val="0"/>
        <w:spacing w:afterLines="50" w:after="120" w:line="360" w:lineRule="exact"/>
        <w:ind w:left="462" w:firstLine="0"/>
        <w:contextualSpacing w:val="0"/>
        <w:rPr>
          <w:rFonts w:ascii="Times New Roman" w:eastAsia="KaiTi" w:hAnsi="Times New Roman" w:cs="Times New Roman"/>
          <w:iCs/>
          <w:color w:val="336666"/>
        </w:rPr>
      </w:pPr>
      <w:r w:rsidRPr="003B270A">
        <w:rPr>
          <w:rFonts w:ascii="Times New Roman" w:eastAsia="KaiTi" w:hAnsi="Times New Roman" w:cs="Times New Roman"/>
          <w:iCs/>
          <w:lang w:val="zh-CN"/>
        </w:rPr>
        <w:t>表中关于</w:t>
      </w:r>
      <w:r w:rsidRPr="003B270A">
        <w:rPr>
          <w:rFonts w:ascii="KaiTi" w:eastAsia="KaiTi" w:hAnsi="KaiTi" w:cs="Times New Roman"/>
          <w:iCs/>
          <w:lang w:val="zh-CN"/>
        </w:rPr>
        <w:t>“最佳做法”和“挑战”的部分应当在“</w:t>
      </w:r>
      <w:r w:rsidRPr="00147F70">
        <w:rPr>
          <w:rFonts w:ascii="Times New Roman" w:eastAsia="KaiTi" w:hAnsi="Times New Roman" w:cs="Times New Roman"/>
          <w:iCs/>
          <w:lang w:val="zh-CN"/>
        </w:rPr>
        <w:t>步骤</w:t>
      </w:r>
      <w:r w:rsidRPr="00147F70">
        <w:rPr>
          <w:rFonts w:ascii="Times New Roman" w:eastAsia="KaiTi" w:hAnsi="Times New Roman" w:cs="Times New Roman"/>
          <w:iCs/>
          <w:lang w:val="zh-CN"/>
        </w:rPr>
        <w:t>1</w:t>
      </w:r>
      <w:r w:rsidRPr="003B270A">
        <w:rPr>
          <w:rFonts w:ascii="KaiTi" w:eastAsia="KaiTi" w:hAnsi="KaiTi" w:cs="Times New Roman"/>
          <w:iCs/>
          <w:lang w:val="zh-CN"/>
        </w:rPr>
        <w:t>”单元期间完成。关于“建议的行动”部分应当在“步骤</w:t>
      </w:r>
      <w:r w:rsidRPr="00147F70">
        <w:rPr>
          <w:rFonts w:ascii="Times New Roman" w:eastAsia="KaiTi" w:hAnsi="Times New Roman" w:cs="Times New Roman"/>
          <w:iCs/>
          <w:lang w:val="zh-CN"/>
        </w:rPr>
        <w:t>2</w:t>
      </w:r>
      <w:r w:rsidRPr="003B270A">
        <w:rPr>
          <w:rFonts w:ascii="KaiTi" w:eastAsia="KaiTi" w:hAnsi="KaiTi" w:cs="Times New Roman"/>
          <w:iCs/>
          <w:lang w:val="zh-CN"/>
        </w:rPr>
        <w:t>”单元期间完</w:t>
      </w:r>
      <w:r w:rsidRPr="003B270A">
        <w:rPr>
          <w:rFonts w:ascii="Times New Roman" w:eastAsia="KaiTi" w:hAnsi="Times New Roman" w:cs="Times New Roman"/>
          <w:iCs/>
          <w:lang w:val="zh-CN"/>
        </w:rPr>
        <w:t>成。</w:t>
      </w:r>
    </w:p>
    <w:p w14:paraId="39437AB9" w14:textId="77777777" w:rsidR="001D2BB6" w:rsidRPr="00C8092B" w:rsidRDefault="001D2BB6" w:rsidP="00C4576B">
      <w:pPr>
        <w:tabs>
          <w:tab w:val="center" w:pos="4252"/>
          <w:tab w:val="right" w:pos="8504"/>
        </w:tabs>
        <w:autoSpaceDE/>
        <w:autoSpaceDN/>
        <w:spacing w:after="0" w:line="240" w:lineRule="auto"/>
        <w:jc w:val="center"/>
        <w:rPr>
          <w:rFonts w:ascii="Arial" w:eastAsia="Calibri" w:hAnsi="Arial" w:cs="Arial"/>
          <w:b/>
          <w:sz w:val="22"/>
          <w:szCs w:val="22"/>
          <w:lang w:val="en-GB"/>
        </w:rPr>
      </w:pPr>
      <w:bookmarkStart w:id="0" w:name="_Hlk484588110"/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878"/>
        <w:gridCol w:w="2945"/>
        <w:gridCol w:w="3540"/>
        <w:gridCol w:w="6371"/>
      </w:tblGrid>
      <w:tr w:rsidR="00DA48FF" w:rsidRPr="00C8092B" w14:paraId="3EFADC8C" w14:textId="77777777" w:rsidTr="00887ABA">
        <w:tc>
          <w:tcPr>
            <w:tcW w:w="1314" w:type="dxa"/>
            <w:gridSpan w:val="2"/>
            <w:shd w:val="clear" w:color="auto" w:fill="336666"/>
            <w:vAlign w:val="center"/>
          </w:tcPr>
          <w:p w14:paraId="6581A4F3" w14:textId="0465A612" w:rsidR="00DA48FF" w:rsidRPr="003B270A" w:rsidRDefault="00DA48FF" w:rsidP="00C4576B">
            <w:pPr>
              <w:autoSpaceDE/>
              <w:autoSpaceDN/>
              <w:spacing w:after="0" w:line="259" w:lineRule="auto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支柱：</w:t>
            </w:r>
          </w:p>
        </w:tc>
        <w:tc>
          <w:tcPr>
            <w:tcW w:w="12856" w:type="dxa"/>
            <w:gridSpan w:val="3"/>
            <w:shd w:val="clear" w:color="auto" w:fill="auto"/>
            <w:vAlign w:val="center"/>
          </w:tcPr>
          <w:p w14:paraId="13C9C798" w14:textId="77777777" w:rsidR="00DA48FF" w:rsidRPr="003B270A" w:rsidRDefault="00DA48FF" w:rsidP="00C4576B">
            <w:pPr>
              <w:spacing w:after="0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  <w:lang w:val="en-GB"/>
              </w:rPr>
            </w:pPr>
          </w:p>
        </w:tc>
      </w:tr>
      <w:tr w:rsidR="00C8092B" w:rsidRPr="00C8092B" w14:paraId="48A4541F" w14:textId="77777777" w:rsidTr="00887ABA">
        <w:tc>
          <w:tcPr>
            <w:tcW w:w="4259" w:type="dxa"/>
            <w:gridSpan w:val="3"/>
            <w:shd w:val="clear" w:color="auto" w:fill="45B29D"/>
            <w:vAlign w:val="center"/>
          </w:tcPr>
          <w:p w14:paraId="29829A47" w14:textId="77777777" w:rsidR="00C8092B" w:rsidRPr="003B270A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最佳做法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12655A5B" w14:textId="77777777" w:rsidR="00C8092B" w:rsidRPr="003B270A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影响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55481040" w14:textId="77777777" w:rsidR="00C8092B" w:rsidRPr="003B270A" w:rsidRDefault="00C8092B" w:rsidP="00C4576B">
            <w:pPr>
              <w:spacing w:after="0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促进性因素</w:t>
            </w:r>
          </w:p>
        </w:tc>
      </w:tr>
      <w:tr w:rsidR="00C8092B" w:rsidRPr="00D8027E" w14:paraId="4A6E1CB0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633C002D" w14:textId="0509D13E" w:rsidR="00C8092B" w:rsidRPr="003B270A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1.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FDFB32A" w14:textId="77777777" w:rsidR="00C8092B" w:rsidRPr="003B270A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最佳做法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13E90C8E" w14:textId="77777777" w:rsidR="00C8092B" w:rsidRPr="003B270A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  <w:p w14:paraId="6E936333" w14:textId="77777777" w:rsidR="00C8092B" w:rsidRPr="003B270A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7517D89" w14:textId="77777777" w:rsidR="00C8092B" w:rsidRPr="003B270A" w:rsidRDefault="00C8092B" w:rsidP="00C4576B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  <w:p w14:paraId="7C49BAB8" w14:textId="77777777" w:rsidR="00C8092B" w:rsidRPr="003B270A" w:rsidRDefault="00C8092B" w:rsidP="00C4576B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  <w:p w14:paraId="338D2FC3" w14:textId="77777777" w:rsidR="00C8092B" w:rsidRPr="003B270A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</w:tc>
      </w:tr>
      <w:tr w:rsidR="00D8027E" w:rsidRPr="00D8027E" w14:paraId="719BAC35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D4F6566" w14:textId="313CD024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lastRenderedPageBreak/>
              <w:t>2.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69F1F59C" w14:textId="77777777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最佳做法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3181ADD8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  <w:p w14:paraId="02684FBF" w14:textId="56F7053E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5D910A31" w14:textId="77777777" w:rsidR="00D8027E" w:rsidRPr="003B270A" w:rsidRDefault="00D8027E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  <w:p w14:paraId="2040DE82" w14:textId="77777777" w:rsidR="00D8027E" w:rsidRPr="003B270A" w:rsidRDefault="00D8027E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  <w:p w14:paraId="76C7FF57" w14:textId="73A4D97F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</w:tc>
      </w:tr>
      <w:tr w:rsidR="00D8027E" w:rsidRPr="00D8027E" w14:paraId="0257F4D9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7C2A6AE8" w14:textId="4F23F362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3.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25437A7" w14:textId="4AAF49C2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最佳做法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5FAA6A23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  <w:p w14:paraId="73E7AE66" w14:textId="27B6A652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51756F5" w14:textId="77777777" w:rsidR="00D8027E" w:rsidRPr="003B270A" w:rsidRDefault="00D8027E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  <w:p w14:paraId="0B6FAD34" w14:textId="77777777" w:rsidR="00D8027E" w:rsidRPr="003B270A" w:rsidRDefault="00D8027E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  <w:p w14:paraId="1A1A69C2" w14:textId="56546035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促进性因素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</w:tc>
      </w:tr>
      <w:tr w:rsidR="00D8027E" w:rsidRPr="00C8092B" w14:paraId="53A1BD11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595E4AF" w14:textId="269A621E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…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1272FFFE" w14:textId="59760A9F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……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60D374D6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6371" w:type="dxa"/>
            <w:shd w:val="clear" w:color="auto" w:fill="F2F2F2"/>
            <w:vAlign w:val="center"/>
          </w:tcPr>
          <w:p w14:paraId="2B360D1C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  <w:lang w:eastAsia="en-US"/>
              </w:rPr>
            </w:pPr>
          </w:p>
        </w:tc>
      </w:tr>
    </w:tbl>
    <w:p w14:paraId="27F38C71" w14:textId="77777777" w:rsidR="00D8027E" w:rsidRDefault="00D8027E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3823"/>
        <w:gridCol w:w="3540"/>
        <w:gridCol w:w="6371"/>
      </w:tblGrid>
      <w:tr w:rsidR="001A1FC3" w:rsidRPr="001A1FC3" w14:paraId="640EA7F3" w14:textId="77777777" w:rsidTr="00887ABA">
        <w:tc>
          <w:tcPr>
            <w:tcW w:w="4259" w:type="dxa"/>
            <w:gridSpan w:val="2"/>
            <w:shd w:val="clear" w:color="auto" w:fill="45B29D"/>
            <w:vAlign w:val="center"/>
          </w:tcPr>
          <w:p w14:paraId="6CC7E485" w14:textId="77777777" w:rsidR="001D2BB6" w:rsidRPr="003B270A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挑战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4B96AFF0" w14:textId="77777777" w:rsidR="001D2BB6" w:rsidRPr="003B270A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影响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62D6C349" w14:textId="00540619" w:rsidR="001D2BB6" w:rsidRPr="003B270A" w:rsidRDefault="00E6638C" w:rsidP="00C4576B">
            <w:pPr>
              <w:spacing w:after="0"/>
              <w:jc w:val="center"/>
              <w:rPr>
                <w:rFonts w:ascii="STXihei" w:eastAsia="STXihei" w:hAnsi="STXihei" w:cs="Arial"/>
                <w:b/>
                <w:color w:val="FFFFFF" w:themeColor="background1"/>
                <w:sz w:val="22"/>
                <w:szCs w:val="22"/>
              </w:rPr>
            </w:pPr>
            <w:r w:rsidRPr="003B270A">
              <w:rPr>
                <w:rFonts w:ascii="STXihei" w:eastAsia="STXihei" w:hAnsi="STXihei" w:hint="eastAsia"/>
                <w:b/>
                <w:bCs/>
                <w:color w:val="FFFFFF" w:themeColor="background1"/>
                <w:sz w:val="22"/>
                <w:szCs w:val="22"/>
                <w:lang w:val="zh-CN"/>
              </w:rPr>
              <w:t>限制性</w:t>
            </w:r>
            <w:r w:rsidR="001D2BB6" w:rsidRPr="003B270A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因素</w:t>
            </w:r>
          </w:p>
        </w:tc>
      </w:tr>
      <w:tr w:rsidR="00C8092B" w:rsidRPr="00D8027E" w14:paraId="2CDBB147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214E0CB7" w14:textId="3C22F298" w:rsidR="001D2BB6" w:rsidRPr="003B270A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1.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4A4A907C" w14:textId="09E4FC83" w:rsidR="001D2BB6" w:rsidRPr="003B270A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挑战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2995D43E" w14:textId="77777777" w:rsidR="001D2BB6" w:rsidRPr="003B270A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  <w:p w14:paraId="73FC1747" w14:textId="77777777" w:rsidR="001D2BB6" w:rsidRPr="003B270A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2915E6F2" w14:textId="2BCD6C67" w:rsidR="001D2BB6" w:rsidRPr="003B270A" w:rsidRDefault="003B4A57" w:rsidP="00C4576B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</w:rPr>
              <w:t>1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</w:rPr>
              <w:t>：</w:t>
            </w:r>
          </w:p>
          <w:p w14:paraId="484997F9" w14:textId="02C4778D" w:rsidR="001D2BB6" w:rsidRPr="003B270A" w:rsidRDefault="003B4A57" w:rsidP="00C4576B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</w:rPr>
              <w:t>2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</w:rPr>
              <w:t>：</w:t>
            </w:r>
          </w:p>
          <w:p w14:paraId="4A57FEED" w14:textId="462AFE51" w:rsidR="001D2BB6" w:rsidRPr="003B270A" w:rsidRDefault="003B4A57" w:rsidP="00C4576B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</w:t>
            </w:r>
            <w:r w:rsidR="001D2BB6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</w:tc>
      </w:tr>
      <w:tr w:rsidR="00D8027E" w:rsidRPr="00D8027E" w14:paraId="68C3F7D5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032CA8D8" w14:textId="23C18D62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2.</w:t>
            </w:r>
          </w:p>
        </w:tc>
        <w:tc>
          <w:tcPr>
            <w:tcW w:w="3823" w:type="dxa"/>
            <w:shd w:val="clear" w:color="auto" w:fill="F2F2F2"/>
            <w:vAlign w:val="center"/>
          </w:tcPr>
          <w:p w14:paraId="635614D9" w14:textId="2450A84A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挑战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22D7036D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  <w:p w14:paraId="786AB361" w14:textId="2DAB2FBC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1B530F8C" w14:textId="7A6B35B4" w:rsidR="00D8027E" w:rsidRPr="003B270A" w:rsidRDefault="003B4A57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1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：</w:t>
            </w:r>
          </w:p>
          <w:p w14:paraId="5C8835F0" w14:textId="7DF827C8" w:rsidR="00D8027E" w:rsidRPr="003B270A" w:rsidRDefault="003B4A57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2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：</w:t>
            </w:r>
          </w:p>
          <w:p w14:paraId="30708C52" w14:textId="341B2B5A" w:rsidR="00D8027E" w:rsidRPr="003B270A" w:rsidRDefault="003B4A57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</w:tc>
      </w:tr>
      <w:tr w:rsidR="00D8027E" w:rsidRPr="00D8027E" w14:paraId="016CAACA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4107A29C" w14:textId="5359AC1C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3.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5CF61AA7" w14:textId="0D475469" w:rsidR="00D8027E" w:rsidRPr="003B270A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eastAsia="KaiTi" w:cs="Times New Roman"/>
                <w:bCs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挑战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63541F5A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1:</w:t>
            </w:r>
          </w:p>
          <w:p w14:paraId="68696CA8" w14:textId="2D439F01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影响</w:t>
            </w: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1637C501" w14:textId="115AF3BD" w:rsidR="00D8027E" w:rsidRPr="003B270A" w:rsidRDefault="003B4A57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1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：</w:t>
            </w:r>
          </w:p>
          <w:p w14:paraId="748D7075" w14:textId="69455D8B" w:rsidR="00D8027E" w:rsidRPr="003B270A" w:rsidRDefault="003B4A57" w:rsidP="00D8027E">
            <w:pPr>
              <w:jc w:val="center"/>
              <w:rPr>
                <w:rFonts w:eastAsia="KaiTi" w:cs="Times New Roman"/>
                <w:iCs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2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</w:rPr>
              <w:t>：</w:t>
            </w:r>
          </w:p>
          <w:p w14:paraId="2F7A49C4" w14:textId="25228D11" w:rsidR="00D8027E" w:rsidRPr="003B270A" w:rsidRDefault="003B4A57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限制性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因素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3</w:t>
            </w:r>
            <w:r w:rsidR="00D8027E" w:rsidRPr="003B270A">
              <w:rPr>
                <w:rFonts w:eastAsia="KaiTi" w:cs="Times New Roman"/>
                <w:iCs/>
                <w:sz w:val="22"/>
                <w:szCs w:val="22"/>
                <w:lang w:val="zh-CN"/>
              </w:rPr>
              <w:t>：</w:t>
            </w:r>
          </w:p>
        </w:tc>
      </w:tr>
      <w:tr w:rsidR="00D8027E" w:rsidRPr="00C8092B" w14:paraId="5FFBAD01" w14:textId="77777777" w:rsidTr="003B270A">
        <w:trPr>
          <w:trHeight w:val="915"/>
        </w:trPr>
        <w:tc>
          <w:tcPr>
            <w:tcW w:w="436" w:type="dxa"/>
            <w:vAlign w:val="center"/>
          </w:tcPr>
          <w:p w14:paraId="12588EA7" w14:textId="06BC2D30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…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6A654786" w14:textId="590E8530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</w:rPr>
            </w:pPr>
            <w:r w:rsidRPr="003B270A">
              <w:rPr>
                <w:rFonts w:eastAsia="KaiTi" w:cs="Times New Roman"/>
                <w:sz w:val="22"/>
                <w:szCs w:val="22"/>
                <w:lang w:val="zh-CN"/>
              </w:rPr>
              <w:t>……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4A75DBFC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  <w:lang w:val="pt-PT" w:eastAsia="en-US"/>
              </w:rPr>
            </w:pPr>
          </w:p>
        </w:tc>
        <w:tc>
          <w:tcPr>
            <w:tcW w:w="6371" w:type="dxa"/>
            <w:shd w:val="clear" w:color="auto" w:fill="auto"/>
            <w:vAlign w:val="center"/>
          </w:tcPr>
          <w:p w14:paraId="26853980" w14:textId="77777777" w:rsidR="00D8027E" w:rsidRPr="003B270A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eastAsia="KaiTi" w:cs="Times New Roman"/>
                <w:sz w:val="22"/>
                <w:szCs w:val="22"/>
                <w:lang w:eastAsia="en-US"/>
              </w:rPr>
            </w:pPr>
          </w:p>
        </w:tc>
      </w:tr>
    </w:tbl>
    <w:p w14:paraId="7C2A2689" w14:textId="58FDF7DA" w:rsidR="00D8027E" w:rsidRDefault="00D8027E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576"/>
        <w:gridCol w:w="2577"/>
        <w:gridCol w:w="2577"/>
        <w:gridCol w:w="2577"/>
        <w:gridCol w:w="3427"/>
      </w:tblGrid>
      <w:tr w:rsidR="007A3007" w:rsidRPr="00C8092B" w14:paraId="402E8C20" w14:textId="77777777" w:rsidTr="00887ABA">
        <w:trPr>
          <w:trHeight w:val="1134"/>
        </w:trPr>
        <w:tc>
          <w:tcPr>
            <w:tcW w:w="3012" w:type="dxa"/>
            <w:gridSpan w:val="2"/>
            <w:shd w:val="clear" w:color="auto" w:fill="336666"/>
            <w:vAlign w:val="center"/>
          </w:tcPr>
          <w:p w14:paraId="0B504D26" w14:textId="259CFBCF" w:rsidR="007A3007" w:rsidRPr="00BD4DF9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STXihei" w:eastAsia="STXihei" w:hAnsi="STXihei" w:cs="Arial"/>
                <w:color w:val="FFFFFF" w:themeColor="background1"/>
                <w:sz w:val="22"/>
                <w:szCs w:val="22"/>
              </w:rPr>
            </w:pPr>
            <w:r w:rsidRPr="00BD4DF9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lastRenderedPageBreak/>
              <w:t>建议的行动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2AC512C" w14:textId="75A9B1E7" w:rsidR="007A3007" w:rsidRPr="00BD4DF9" w:rsidRDefault="007A3007" w:rsidP="00AF7E09">
            <w:pPr>
              <w:autoSpaceDE/>
              <w:autoSpaceDN/>
              <w:spacing w:after="160" w:line="259" w:lineRule="auto"/>
              <w:jc w:val="center"/>
              <w:rPr>
                <w:rFonts w:ascii="STXihei" w:eastAsia="STXihei" w:hAnsi="STXihei" w:cs="Arial"/>
                <w:color w:val="FFFFFF" w:themeColor="background1"/>
                <w:sz w:val="22"/>
                <w:szCs w:val="22"/>
              </w:rPr>
            </w:pPr>
            <w:r w:rsidRPr="00BD4DF9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预定完成日期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47B2B876" w14:textId="0A1ADED6" w:rsidR="007A3007" w:rsidRPr="00BD4DF9" w:rsidRDefault="007A3007">
            <w:pPr>
              <w:autoSpaceDE/>
              <w:autoSpaceDN/>
              <w:spacing w:after="160" w:line="259" w:lineRule="auto"/>
              <w:jc w:val="center"/>
              <w:rPr>
                <w:rFonts w:ascii="STXihei" w:eastAsia="STXihei" w:hAnsi="STXihei" w:cs="Arial"/>
                <w:color w:val="FFFFFF" w:themeColor="background1"/>
                <w:sz w:val="22"/>
                <w:szCs w:val="22"/>
              </w:rPr>
            </w:pPr>
            <w:r w:rsidRPr="00BD4DF9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责任归口单位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E5B588A" w14:textId="7C498AD5" w:rsidR="007A3007" w:rsidRPr="00BD4DF9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STXihei" w:eastAsia="STXihei" w:hAnsi="STXihei" w:cs="Arial"/>
                <w:color w:val="FFFFFF" w:themeColor="background1"/>
                <w:sz w:val="22"/>
                <w:szCs w:val="22"/>
              </w:rPr>
            </w:pPr>
            <w:r w:rsidRPr="00BD4DF9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需要的支持</w:t>
            </w:r>
          </w:p>
        </w:tc>
        <w:tc>
          <w:tcPr>
            <w:tcW w:w="3427" w:type="dxa"/>
            <w:shd w:val="clear" w:color="auto" w:fill="336666"/>
            <w:vAlign w:val="center"/>
          </w:tcPr>
          <w:p w14:paraId="0DF30C61" w14:textId="2C600198" w:rsidR="007A3007" w:rsidRPr="00BD4DF9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STXihei" w:eastAsia="STXihei" w:hAnsi="STXihei" w:cs="Arial"/>
                <w:color w:val="FFFFFF" w:themeColor="background1"/>
                <w:sz w:val="22"/>
                <w:szCs w:val="22"/>
              </w:rPr>
            </w:pPr>
            <w:r w:rsidRPr="00BD4DF9">
              <w:rPr>
                <w:rFonts w:ascii="STXihei" w:eastAsia="STXihei" w:hAnsi="STXihei"/>
                <w:b/>
                <w:bCs/>
                <w:color w:val="FFFFFF" w:themeColor="background1"/>
                <w:sz w:val="22"/>
                <w:szCs w:val="22"/>
                <w:lang w:val="zh-CN"/>
              </w:rPr>
              <w:t>指标</w:t>
            </w:r>
          </w:p>
        </w:tc>
      </w:tr>
      <w:tr w:rsidR="007A3007" w:rsidRPr="001A1FC3" w14:paraId="23EEB0EE" w14:textId="77777777" w:rsidTr="00887ABA">
        <w:trPr>
          <w:trHeight w:val="290"/>
        </w:trPr>
        <w:tc>
          <w:tcPr>
            <w:tcW w:w="14170" w:type="dxa"/>
            <w:gridSpan w:val="6"/>
            <w:vAlign w:val="center"/>
          </w:tcPr>
          <w:p w14:paraId="5F42E241" w14:textId="15A8F851" w:rsidR="007A3007" w:rsidRPr="00BD4DF9" w:rsidRDefault="007A3007" w:rsidP="00C4576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/>
              <w:jc w:val="center"/>
              <w:rPr>
                <w:rFonts w:ascii="Times New Roman" w:eastAsia="SimSun" w:hAnsi="Times New Roman" w:cs="Times New Roman"/>
              </w:rPr>
            </w:pPr>
            <w:r w:rsidRPr="00BD4DF9">
              <w:rPr>
                <w:rFonts w:ascii="Times New Roman" w:eastAsia="SimSun" w:hAnsi="Times New Roman" w:cs="Times New Roman"/>
                <w:lang w:val="zh-CN"/>
              </w:rPr>
              <w:t>立即实施：</w:t>
            </w:r>
          </w:p>
        </w:tc>
      </w:tr>
      <w:tr w:rsidR="007A3007" w:rsidRPr="00BD4DF9" w14:paraId="17E2199C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7BE12C4" w14:textId="5AC17006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bookmarkStart w:id="1" w:name="_Hlk39662531"/>
            <w:r w:rsidRPr="00BD4DF9">
              <w:rPr>
                <w:rFonts w:cs="Times New Roman"/>
                <w:sz w:val="22"/>
                <w:szCs w:val="22"/>
                <w:lang w:val="zh-CN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1E2D38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5D9B23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B96CF7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3A18F6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8080CD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58A4671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7FD264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5B32D65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5E131D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B42D1A4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1D7138B4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B9906BE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59A294FC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36139C72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9659902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ABA22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879073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615A5C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785F8B2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0FEA33C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D3A7CF6" w14:textId="1F2DD2AD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7D8B50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FA6525F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AB2C528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7423D5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336FF3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1097889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6D04B3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FE2E14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DE998F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59E27B3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F65F469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55E600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0D83F40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060201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2BACE6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8DB915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F024F25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6A3034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6C2780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42DC4AB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1A353C3C" w14:textId="317ABD1A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7548A2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14521D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6430BC0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CAA40D8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A86725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29912627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182B3EA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E0F3CE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A102A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0F071A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343EB9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FB2631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02FB2697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0717F1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D261FF3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AA491C2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6788935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93485E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F01CBF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42C3A1E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29954FF5" w14:textId="5B6504F8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0292CB0" w14:textId="75670636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……</w:t>
            </w: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6A44F1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87B7942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219DB3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32CA505" w14:textId="2E1CCE0F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3126317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0DFDA118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619D90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8A6D98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F4B60F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A446D2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DF9545D" w14:textId="3A12B206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254862F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143F56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72B189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B5BF37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198BB94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84494F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B610D50" w14:textId="401672F2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0263FDA4" w14:textId="77777777" w:rsidTr="00BD4DF9">
        <w:trPr>
          <w:trHeight w:val="447"/>
        </w:trPr>
        <w:tc>
          <w:tcPr>
            <w:tcW w:w="14170" w:type="dxa"/>
            <w:gridSpan w:val="6"/>
            <w:vAlign w:val="center"/>
          </w:tcPr>
          <w:p w14:paraId="4E1E7B10" w14:textId="59EBF77F" w:rsidR="007A3007" w:rsidRPr="00BD4DF9" w:rsidRDefault="007A3007" w:rsidP="00BD4DF9">
            <w:pPr>
              <w:pStyle w:val="ListParagraph"/>
              <w:numPr>
                <w:ilvl w:val="0"/>
                <w:numId w:val="8"/>
              </w:numPr>
              <w:spacing w:after="0" w:line="260" w:lineRule="exact"/>
              <w:ind w:left="0" w:hanging="357"/>
              <w:jc w:val="center"/>
              <w:rPr>
                <w:rFonts w:ascii="Times New Roman" w:eastAsia="SimSun" w:hAnsi="Times New Roman" w:cs="Times New Roman"/>
              </w:rPr>
            </w:pPr>
            <w:r w:rsidRPr="00BD4DF9">
              <w:rPr>
                <w:rFonts w:ascii="Times New Roman" w:eastAsia="SimSun" w:hAnsi="Times New Roman" w:cs="Times New Roman"/>
                <w:lang w:val="zh-CN"/>
              </w:rPr>
              <w:t>在中长期内实施、以改进目前的</w:t>
            </w:r>
            <w:r w:rsidRPr="00BD4DF9">
              <w:rPr>
                <w:rFonts w:ascii="Times New Roman" w:eastAsia="SimSun" w:hAnsi="Times New Roman" w:cs="Times New Roman"/>
                <w:lang w:val="zh-CN"/>
              </w:rPr>
              <w:t>COVID-19</w:t>
            </w:r>
            <w:r w:rsidRPr="00BD4DF9">
              <w:rPr>
                <w:rFonts w:ascii="Times New Roman" w:eastAsia="SimSun" w:hAnsi="Times New Roman" w:cs="Times New Roman"/>
                <w:lang w:val="zh-CN"/>
              </w:rPr>
              <w:t>疫情（包括下一波）应</w:t>
            </w:r>
            <w:r w:rsidR="002442E4" w:rsidRPr="00BD4DF9">
              <w:rPr>
                <w:rFonts w:ascii="Times New Roman" w:eastAsia="SimSun" w:hAnsi="Times New Roman" w:cs="Times New Roman"/>
                <w:lang w:val="zh-CN"/>
              </w:rPr>
              <w:t>对</w:t>
            </w:r>
            <w:r w:rsidRPr="00BD4DF9">
              <w:rPr>
                <w:rFonts w:ascii="Times New Roman" w:eastAsia="SimSun" w:hAnsi="Times New Roman" w:cs="Times New Roman"/>
                <w:lang w:val="zh-CN"/>
              </w:rPr>
              <w:t>：</w:t>
            </w:r>
          </w:p>
        </w:tc>
      </w:tr>
      <w:tr w:rsidR="007A3007" w:rsidRPr="00BD4DF9" w14:paraId="207358F7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CBFCB59" w14:textId="0E4B0828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74E8FD68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94E641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F6269A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DC6229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19A1DBA" w14:textId="3270D5C8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1E80ACAB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48E167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3A01A1A3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BA2B71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C56D52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2D50D6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A3B42DC" w14:textId="550819DD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73E7481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96CDF2F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0BAD75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AE48A43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C98FBD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082CD3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5402363B" w14:textId="47DDBC04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3BAF483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5BD15906" w14:textId="6F849A01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951115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61358D4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F437A29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D21851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5241B3" w14:textId="071F0C24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6CF14383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370375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3071868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24042E5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53215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FB252C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E339BEB" w14:textId="4D8DB054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45CA43B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7EB7DAD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528939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F672EF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480A84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5886B6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6C52FDF" w14:textId="6BB262E2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442F0C05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F0A4C33" w14:textId="4D151066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91A19B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9587AFC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272EDA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22280B9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E58151E" w14:textId="23D29ECA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14C42BCE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54390CE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C170BE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B3040F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538DF0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F6F81C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1D007B3" w14:textId="02897C3A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bookmarkEnd w:id="1"/>
      <w:tr w:rsidR="007A3007" w:rsidRPr="00BD4DF9" w14:paraId="26AA040F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4D14624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B7CB7C9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AA3524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98CA89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1220E4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9EA196" w14:textId="19ECEBE2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3E1C7785" w14:textId="77777777" w:rsidTr="00887ABA">
        <w:trPr>
          <w:trHeight w:val="289"/>
        </w:trPr>
        <w:tc>
          <w:tcPr>
            <w:tcW w:w="436" w:type="dxa"/>
            <w:vMerge w:val="restart"/>
            <w:vAlign w:val="center"/>
          </w:tcPr>
          <w:p w14:paraId="0C08DDAC" w14:textId="4D7C81F9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</w:rPr>
            </w:pPr>
            <w:r w:rsidRPr="00BD4DF9">
              <w:rPr>
                <w:rFonts w:cs="Times New Roman"/>
                <w:sz w:val="22"/>
                <w:szCs w:val="22"/>
                <w:lang w:val="zh-CN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B2CCBF3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0991986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C74E0E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AE4D2BE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77567D1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22D32E55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652204CD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51F245B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6C2A8DF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4D56FD8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B307CA0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29C0B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tr w:rsidR="007A3007" w:rsidRPr="00BD4DF9" w14:paraId="2CFD551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1AA5447A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140CEBE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E48215F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03504E3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D096E54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DDA5BB7" w14:textId="77777777" w:rsidR="007A3007" w:rsidRPr="00BD4DF9" w:rsidRDefault="007A3007" w:rsidP="00BD4DF9">
            <w:pPr>
              <w:autoSpaceDE/>
              <w:autoSpaceDN/>
              <w:spacing w:after="0" w:line="200" w:lineRule="exact"/>
              <w:jc w:val="center"/>
              <w:rPr>
                <w:rFonts w:eastAsia="Calibri" w:cs="Times New Roman"/>
                <w:sz w:val="22"/>
                <w:szCs w:val="22"/>
                <w:lang w:eastAsia="en-US"/>
              </w:rPr>
            </w:pPr>
          </w:p>
        </w:tc>
      </w:tr>
      <w:bookmarkEnd w:id="0"/>
    </w:tbl>
    <w:p w14:paraId="1975DF1C" w14:textId="5F98A28A" w:rsidR="00836F6B" w:rsidRPr="00BD4DF9" w:rsidRDefault="00836F6B" w:rsidP="00BD4DF9">
      <w:pPr>
        <w:spacing w:after="0" w:line="200" w:lineRule="exact"/>
        <w:rPr>
          <w:rFonts w:cs="Times New Roman"/>
          <w:sz w:val="22"/>
          <w:szCs w:val="22"/>
        </w:rPr>
      </w:pPr>
    </w:p>
    <w:p w14:paraId="7DA07D9E" w14:textId="1D030353" w:rsidR="005F03D4" w:rsidRDefault="005F03D4" w:rsidP="00D8027E">
      <w:pPr>
        <w:rPr>
          <w:rFonts w:ascii="Arial" w:hAnsi="Arial" w:cs="Arial"/>
        </w:rPr>
      </w:pPr>
    </w:p>
    <w:p w14:paraId="17A340ED" w14:textId="6CFE794B" w:rsidR="00D464AB" w:rsidRDefault="00D464AB" w:rsidP="00D8027E">
      <w:pPr>
        <w:rPr>
          <w:rFonts w:ascii="Arial" w:hAnsi="Arial" w:cs="Arial"/>
        </w:rPr>
      </w:pPr>
    </w:p>
    <w:p w14:paraId="79803119" w14:textId="7A9A116F" w:rsid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039BB694" w14:textId="07B80AEF" w:rsid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3A882B05" w14:textId="14E74180" w:rsid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06C88772" w14:textId="5600DFE1" w:rsid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7A998ECE" w14:textId="70086D65" w:rsid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0E599F93" w14:textId="77777777" w:rsidR="00D464AB" w:rsidRP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46A19C98" w14:textId="77777777" w:rsidR="00D34C3F" w:rsidRDefault="00D34C3F" w:rsidP="00D34C3F">
      <w:pPr>
        <w:pStyle w:val="BodyText"/>
      </w:pPr>
    </w:p>
    <w:p w14:paraId="4101480A" w14:textId="77777777" w:rsidR="00D34C3F" w:rsidRDefault="00D34C3F" w:rsidP="00D34C3F">
      <w:pPr>
        <w:pStyle w:val="BodyText"/>
      </w:pPr>
      <w:r>
        <w:t xml:space="preserve">© </w:t>
      </w:r>
      <w:r>
        <w:rPr>
          <w:rFonts w:ascii="DengXian" w:eastAsia="DengXian" w:hAnsi="DengXian" w:hint="eastAsia"/>
        </w:rPr>
        <w:t>世界卫生组织</w:t>
      </w:r>
      <w:r>
        <w:t>2020</w:t>
      </w:r>
      <w:r>
        <w:rPr>
          <w:rFonts w:ascii="DengXian" w:eastAsia="DengXian" w:hAnsi="DengXian" w:hint="eastAsia"/>
        </w:rPr>
        <w:t>年。保留部分版权。本作品可在知识共享署名——非商业性使用——相同方式共享</w:t>
      </w:r>
      <w:r>
        <w:t>3.0</w:t>
      </w:r>
      <w:r>
        <w:rPr>
          <w:rFonts w:ascii="DengXian" w:eastAsia="DengXian" w:hAnsi="DengXian" w:hint="eastAsia"/>
        </w:rPr>
        <w:t>政府间组织（</w:t>
      </w:r>
      <w:hyperlink r:id="rId9" w:tgtFrame="_blank" w:history="1">
        <w:r>
          <w:rPr>
            <w:rStyle w:val="Hyperlink"/>
          </w:rPr>
          <w:t xml:space="preserve">CC-BY-NC-SA 3.0 </w:t>
        </w:r>
        <w:proofErr w:type="spellStart"/>
        <w:r>
          <w:rPr>
            <w:rStyle w:val="Hyperlink"/>
          </w:rPr>
          <w:t>IGO</w:t>
        </w:r>
      </w:hyperlink>
      <w:r>
        <w:rPr>
          <w:rFonts w:ascii="DengXian" w:eastAsia="DengXian" w:hAnsi="DengXian" w:hint="eastAsia"/>
        </w:rPr>
        <w:t>）许可协议下使用</w:t>
      </w:r>
      <w:proofErr w:type="spellEnd"/>
      <w:r>
        <w:rPr>
          <w:rFonts w:ascii="DengXian" w:eastAsia="DengXian" w:hAnsi="DengXian" w:hint="eastAsia"/>
        </w:rPr>
        <w:t>。</w:t>
      </w:r>
    </w:p>
    <w:p w14:paraId="72F8E1A5" w14:textId="50F55F04" w:rsidR="00D464AB" w:rsidRPr="00D464AB" w:rsidRDefault="00D464AB" w:rsidP="00D8027E">
      <w:pPr>
        <w:rPr>
          <w:rFonts w:ascii="Arial" w:hAnsi="Arial" w:cs="Arial"/>
          <w:sz w:val="22"/>
          <w:szCs w:val="22"/>
        </w:rPr>
      </w:pPr>
    </w:p>
    <w:p w14:paraId="02977E16" w14:textId="42D1EF4D" w:rsidR="00D464AB" w:rsidRPr="00D34C3F" w:rsidRDefault="00D34C3F" w:rsidP="00D8027E">
      <w:pPr>
        <w:rPr>
          <w:rFonts w:cs="Times New Roman"/>
          <w:color w:val="0000FF"/>
          <w:sz w:val="22"/>
          <w:szCs w:val="22"/>
        </w:rPr>
      </w:pPr>
      <w:r w:rsidRPr="00D34C3F">
        <w:rPr>
          <w:rFonts w:eastAsia="DengXian" w:cs="Times New Roman"/>
          <w:sz w:val="22"/>
          <w:szCs w:val="22"/>
          <w:lang w:val="zh-CN"/>
        </w:rPr>
        <w:t>W</w:t>
      </w:r>
      <w:r w:rsidRPr="00D34C3F">
        <w:rPr>
          <w:rFonts w:eastAsia="DengXian" w:cs="Times New Roman"/>
          <w:sz w:val="22"/>
          <w:szCs w:val="22"/>
          <w:lang w:val="en-GB"/>
        </w:rPr>
        <w:t xml:space="preserve">HO reference number: </w:t>
      </w:r>
      <w:bookmarkStart w:id="2" w:name="_GoBack"/>
      <w:r w:rsidR="001A1FC3" w:rsidRPr="00D34C3F">
        <w:rPr>
          <w:rFonts w:cs="Times New Roman"/>
          <w:color w:val="0000FF"/>
          <w:sz w:val="22"/>
          <w:szCs w:val="22"/>
        </w:rPr>
        <w:t>WHO/2019-nCoV/</w:t>
      </w:r>
      <w:proofErr w:type="spellStart"/>
      <w:r w:rsidR="001A1FC3" w:rsidRPr="00D34C3F">
        <w:rPr>
          <w:rFonts w:cs="Times New Roman"/>
          <w:color w:val="0000FF"/>
          <w:sz w:val="22"/>
          <w:szCs w:val="22"/>
        </w:rPr>
        <w:t>Country_IAR</w:t>
      </w:r>
      <w:proofErr w:type="spellEnd"/>
      <w:r w:rsidR="001A1FC3" w:rsidRPr="00D34C3F">
        <w:rPr>
          <w:rFonts w:cs="Times New Roman"/>
          <w:color w:val="0000FF"/>
          <w:sz w:val="22"/>
          <w:szCs w:val="22"/>
        </w:rPr>
        <w:t>/templates/</w:t>
      </w:r>
      <w:proofErr w:type="spellStart"/>
      <w:r w:rsidR="001A1FC3" w:rsidRPr="00D34C3F">
        <w:rPr>
          <w:rFonts w:cs="Times New Roman"/>
          <w:color w:val="0000FF"/>
          <w:sz w:val="22"/>
          <w:szCs w:val="22"/>
        </w:rPr>
        <w:t>note_taking</w:t>
      </w:r>
      <w:proofErr w:type="spellEnd"/>
      <w:r w:rsidR="001A1FC3" w:rsidRPr="00D34C3F">
        <w:rPr>
          <w:rFonts w:cs="Times New Roman"/>
          <w:color w:val="0000FF"/>
          <w:sz w:val="22"/>
          <w:szCs w:val="22"/>
        </w:rPr>
        <w:t>/2020.1</w:t>
      </w:r>
      <w:bookmarkEnd w:id="2"/>
    </w:p>
    <w:p w14:paraId="328F3394" w14:textId="77777777" w:rsidR="00D464AB" w:rsidRPr="00687F03" w:rsidRDefault="00D464AB" w:rsidP="00D8027E">
      <w:pPr>
        <w:rPr>
          <w:rFonts w:ascii="Arial" w:hAnsi="Arial" w:cs="Arial"/>
          <w:sz w:val="22"/>
          <w:szCs w:val="22"/>
        </w:rPr>
      </w:pPr>
    </w:p>
    <w:sectPr w:rsidR="00D464AB" w:rsidRPr="00687F03" w:rsidSect="00D802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021" w:right="1276" w:bottom="102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F706A" w14:textId="77777777" w:rsidR="009C561A" w:rsidRDefault="009C561A" w:rsidP="00BD01B6">
      <w:pPr>
        <w:spacing w:after="0" w:line="240" w:lineRule="auto"/>
      </w:pPr>
      <w:r>
        <w:separator/>
      </w:r>
    </w:p>
  </w:endnote>
  <w:endnote w:type="continuationSeparator" w:id="0">
    <w:p w14:paraId="36DDD1D8" w14:textId="77777777" w:rsidR="009C561A" w:rsidRDefault="009C561A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he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9CD9D" w14:textId="77777777" w:rsidR="00740BA9" w:rsidRDefault="00740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7E94D" w14:textId="77777777" w:rsidR="00740BA9" w:rsidRDefault="00740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35E9B" w14:textId="77777777" w:rsidR="00740BA9" w:rsidRDefault="00740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EB76" w14:textId="77777777" w:rsidR="009C561A" w:rsidRDefault="009C561A" w:rsidP="00BD01B6">
      <w:pPr>
        <w:spacing w:after="0" w:line="240" w:lineRule="auto"/>
      </w:pPr>
      <w:r>
        <w:separator/>
      </w:r>
    </w:p>
  </w:footnote>
  <w:footnote w:type="continuationSeparator" w:id="0">
    <w:p w14:paraId="19174A66" w14:textId="77777777" w:rsidR="009C561A" w:rsidRDefault="009C561A" w:rsidP="00BD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C4B5" w14:textId="77777777" w:rsidR="00740BA9" w:rsidRDefault="00740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77A93" w14:textId="77777777" w:rsidR="00740BA9" w:rsidRDefault="00740B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3429" w14:textId="77777777" w:rsidR="00740BA9" w:rsidRDefault="00740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E82944"/>
    <w:multiLevelType w:val="hybridMultilevel"/>
    <w:tmpl w:val="D9705224"/>
    <w:lvl w:ilvl="0" w:tplc="ADC851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8"/>
    <w:lvlOverride w:ilvl="0">
      <w:lvl w:ilvl="0" w:tplc="0409000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3"/>
    <w:lvlOverride w:ilvl="0">
      <w:lvl w:ilvl="0" w:tplc="ADC85138">
        <w:start w:val="1"/>
        <w:numFmt w:val="lowerLetter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sjA2MLIwMrE0MrZQ0lEKTi0uzszPAykwqwUA0DDDoSwAAAA="/>
  </w:docVars>
  <w:rsids>
    <w:rsidRoot w:val="00EA3E53"/>
    <w:rsid w:val="00015B84"/>
    <w:rsid w:val="00056B38"/>
    <w:rsid w:val="000B4B37"/>
    <w:rsid w:val="000D568B"/>
    <w:rsid w:val="000E15CE"/>
    <w:rsid w:val="00101F89"/>
    <w:rsid w:val="001416E0"/>
    <w:rsid w:val="00147F70"/>
    <w:rsid w:val="00167BCF"/>
    <w:rsid w:val="0018426C"/>
    <w:rsid w:val="00192AF3"/>
    <w:rsid w:val="001A1FC3"/>
    <w:rsid w:val="001C3422"/>
    <w:rsid w:val="001D2BB6"/>
    <w:rsid w:val="001E01DE"/>
    <w:rsid w:val="001F21DA"/>
    <w:rsid w:val="00204817"/>
    <w:rsid w:val="002442E4"/>
    <w:rsid w:val="002B734E"/>
    <w:rsid w:val="002C4E3D"/>
    <w:rsid w:val="002D3464"/>
    <w:rsid w:val="00315252"/>
    <w:rsid w:val="00343425"/>
    <w:rsid w:val="003B270A"/>
    <w:rsid w:val="003B4A57"/>
    <w:rsid w:val="003D4D49"/>
    <w:rsid w:val="003E6565"/>
    <w:rsid w:val="003F5171"/>
    <w:rsid w:val="00411D8B"/>
    <w:rsid w:val="00412C64"/>
    <w:rsid w:val="004336A0"/>
    <w:rsid w:val="0045727D"/>
    <w:rsid w:val="00494567"/>
    <w:rsid w:val="004D1334"/>
    <w:rsid w:val="004D3C03"/>
    <w:rsid w:val="00542471"/>
    <w:rsid w:val="00576E69"/>
    <w:rsid w:val="005B02AC"/>
    <w:rsid w:val="005D4310"/>
    <w:rsid w:val="005F03D4"/>
    <w:rsid w:val="00630E49"/>
    <w:rsid w:val="006333F8"/>
    <w:rsid w:val="00647F24"/>
    <w:rsid w:val="006779B3"/>
    <w:rsid w:val="00687F03"/>
    <w:rsid w:val="006A45AA"/>
    <w:rsid w:val="006A5714"/>
    <w:rsid w:val="006B0AEB"/>
    <w:rsid w:val="006E26EE"/>
    <w:rsid w:val="006E6CE7"/>
    <w:rsid w:val="00702A4C"/>
    <w:rsid w:val="00740BA9"/>
    <w:rsid w:val="007A3007"/>
    <w:rsid w:val="007B46BE"/>
    <w:rsid w:val="008268E6"/>
    <w:rsid w:val="00836F6B"/>
    <w:rsid w:val="00887ABA"/>
    <w:rsid w:val="008B192E"/>
    <w:rsid w:val="008D497D"/>
    <w:rsid w:val="008E3214"/>
    <w:rsid w:val="00903A0A"/>
    <w:rsid w:val="00977012"/>
    <w:rsid w:val="009C561A"/>
    <w:rsid w:val="00A126EA"/>
    <w:rsid w:val="00A147A8"/>
    <w:rsid w:val="00A757C9"/>
    <w:rsid w:val="00AE1789"/>
    <w:rsid w:val="00AF121E"/>
    <w:rsid w:val="00AF1CB8"/>
    <w:rsid w:val="00AF7E09"/>
    <w:rsid w:val="00B2683D"/>
    <w:rsid w:val="00B51FD7"/>
    <w:rsid w:val="00BB5847"/>
    <w:rsid w:val="00BD01B6"/>
    <w:rsid w:val="00BD4DF9"/>
    <w:rsid w:val="00C02B98"/>
    <w:rsid w:val="00C27638"/>
    <w:rsid w:val="00C30A95"/>
    <w:rsid w:val="00C4576B"/>
    <w:rsid w:val="00C63707"/>
    <w:rsid w:val="00C73EDC"/>
    <w:rsid w:val="00C8092B"/>
    <w:rsid w:val="00C9290E"/>
    <w:rsid w:val="00CC0CE1"/>
    <w:rsid w:val="00CC31E7"/>
    <w:rsid w:val="00CD0537"/>
    <w:rsid w:val="00D34C3F"/>
    <w:rsid w:val="00D43658"/>
    <w:rsid w:val="00D464AB"/>
    <w:rsid w:val="00D8027E"/>
    <w:rsid w:val="00D82F68"/>
    <w:rsid w:val="00DA48FF"/>
    <w:rsid w:val="00DB0C7B"/>
    <w:rsid w:val="00DC3889"/>
    <w:rsid w:val="00DC539A"/>
    <w:rsid w:val="00E6638C"/>
    <w:rsid w:val="00E66803"/>
    <w:rsid w:val="00E71D09"/>
    <w:rsid w:val="00E83188"/>
    <w:rsid w:val="00E8716D"/>
    <w:rsid w:val="00EA3E53"/>
    <w:rsid w:val="00EB05D0"/>
    <w:rsid w:val="00ED761C"/>
    <w:rsid w:val="00F45EFC"/>
    <w:rsid w:val="00F80A56"/>
    <w:rsid w:val="00FB6482"/>
    <w:rsid w:val="00FC1442"/>
    <w:rsid w:val="00FD3FA5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D3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80" w:lineRule="exact"/>
      <w:jc w:val="both"/>
    </w:pPr>
    <w:rPr>
      <w:rFonts w:eastAsia="Roboto" w:cs="Roboto"/>
      <w:sz w:val="21"/>
      <w:szCs w:val="10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eastAsia="PMingLiU"/>
      <w:noProof/>
      <w:sz w:val="1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  <w:rPr>
      <w:rFonts w:eastAsia="PMingLiU"/>
      <w:b/>
      <w:noProof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8716D"/>
    <w:rPr>
      <w:rFonts w:ascii="Times New Roman" w:eastAsia="SimSun" w:hAnsi="Times New Roman"/>
      <w:sz w:val="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6D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16D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table" w:styleId="TableGrid">
    <w:name w:val="Table Grid"/>
    <w:basedOn w:val="TableNormal"/>
    <w:uiPriority w:val="59"/>
    <w:unhideWhenUsed/>
    <w:rsid w:val="005F03D4"/>
    <w:pPr>
      <w:spacing w:after="0" w:line="240" w:lineRule="auto"/>
    </w:pPr>
    <w:rPr>
      <w:rFonts w:ascii="Calibri" w:hAnsi="Calibri" w:cs="Calibri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4AB"/>
    <w:rPr>
      <w:color w:val="0000FF"/>
      <w:u w:val="single"/>
    </w:rPr>
  </w:style>
  <w:style w:type="paragraph" w:styleId="BodyText">
    <w:name w:val="Body Text"/>
    <w:link w:val="BodyTextChar"/>
    <w:uiPriority w:val="1"/>
    <w:unhideWhenUsed/>
    <w:qFormat/>
    <w:rsid w:val="00D34C3F"/>
    <w:pPr>
      <w:spacing w:before="120" w:after="0" w:line="240" w:lineRule="auto"/>
    </w:pPr>
    <w:rPr>
      <w:rFonts w:eastAsia="Tahoma" w:cs="Tahoma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34C3F"/>
    <w:rPr>
      <w:rFonts w:eastAsia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3.0/igo/deed.zh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6387-EF5B-4A7B-B129-3939D21E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2020-09-08T05:37:00Z</dcterms:created>
  <dcterms:modified xsi:type="dcterms:W3CDTF">2020-09-08T05:37:00Z</dcterms:modified>
</cp:coreProperties>
</file>