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360" w:lineRule="auto"/>
      </w:pPr>
      <w:r>
        <w:t xml:space="preserve">Desactivación del EOC</w:t>
      </w:r>
    </w:p>
    <w:p>
      <w:pPr>
        <w:spacing w:line="360" w:lineRule="auto"/>
      </w:pPr>
    </w:p>
    <w:p>
      <w:pPr>
        <w:spacing w:line="360" w:lineRule="auto"/>
      </w:pPr>
      <w:r>
        <w:t xml:space="preserve">Durante la fase de transición de respuesta/recuperación, cualquier actividad de recuperación a largo plazo (por ejemplo, manejo del programa, vigilancia, medidas médicas correctivas) pueden cambiar al principal centro nacional.</w:t>
      </w:r>
    </w:p>
    <w:p>
      <w:pPr>
        <w:spacing w:line="360" w:lineRule="auto"/>
        <w:ind w:left="1080"/>
      </w:pPr>
    </w:p>
    <w:p>
      <w:pPr>
        <w:pStyle w:val="BodyCopy"/>
        <w:widowControl w:val="0"/>
        <w:rPr>
          <w:color w:val="auto"/>
        </w:rPr>
      </w:pPr>
      <w:r>
        <w:rPr>
          <w:color w:val="auto"/>
        </w:rPr>
        <w:t xml:space="preserve">Indicadores de la posible desactivación del EOC:</w:t>
      </w:r>
    </w:p>
    <w:p>
      <w:pPr>
        <w:pStyle w:val="ListParagraph"/>
        <w:numPr>
          <w:ilvl w:val="0"/>
          <w:numId w:val="2"/>
        </w:numPr>
        <w:tabs>
          <w:tab w:val="left" w:pos="720"/>
        </w:tabs>
        <w:autoSpaceDE w:val="0"/>
        <w:autoSpaceDN w:val="0"/>
        <w:spacing w:line="360" w:lineRule="auto"/>
        <w:ind w:left="1080" w:firstLine="0"/>
      </w:pPr>
      <w:r>
        <w:t xml:space="preserve">La participación de los diferentes departamentos ya no es necesaria</w:t>
      </w:r>
    </w:p>
    <w:p>
      <w:pPr>
        <w:pStyle w:val="ListParagraph"/>
        <w:numPr>
          <w:ilvl w:val="0"/>
          <w:numId w:val="2"/>
        </w:numPr>
        <w:tabs>
          <w:tab w:val="left" w:pos="720"/>
        </w:tabs>
        <w:autoSpaceDE w:val="0"/>
        <w:autoSpaceDN w:val="0"/>
        <w:spacing w:line="360" w:lineRule="auto"/>
        <w:ind w:left="1080" w:firstLine="0"/>
      </w:pPr>
      <w:r>
        <w:t xml:space="preserve">La célula de supervisión del brote puede manejar la respuesta por sí sola</w:t>
      </w:r>
    </w:p>
    <w:p>
      <w:pPr>
        <w:pStyle w:val="ListParagraph"/>
        <w:numPr>
          <w:ilvl w:val="0"/>
          <w:numId w:val="2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1080" w:firstLine="0"/>
        <w:rPr>
          <w:rFonts w:eastAsia="SimSun"/>
          <w:b/>
        </w:rPr>
      </w:pPr>
      <w:r>
        <w:t xml:space="preserve">El brote se limita a algunas áreas</w:t>
      </w:r>
    </w:p>
    <w:p>
      <w:pPr>
        <w:pStyle w:val="ListParagraph"/>
        <w:numPr>
          <w:ilvl w:val="0"/>
          <w:numId w:val="2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1080" w:firstLine="0"/>
      </w:pPr>
      <w:r>
        <w:t xml:space="preserve">La epi curva vuelve al basal </w:t>
      </w:r>
    </w:p>
    <w:p>
      <w:pPr>
        <w:pStyle w:val="ListParagraph"/>
        <w:numPr>
          <w:ilvl w:val="0"/>
          <w:numId w:val="2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1080" w:firstLine="0"/>
      </w:pPr>
      <w:r>
        <w:t xml:space="preserve">El brote ya no se percibe como amenaza para la salud pública  </w:t>
      </w:r>
    </w:p>
    <w:p>
      <w:pPr>
        <w:pStyle w:val="BodyCopy"/>
        <w:widowControl w:val="0"/>
        <w:spacing w:line="240" w:lineRule="auto"/>
        <w:ind w:left="1080"/>
        <w:rPr>
          <w:color w:val="auto"/>
        </w:rPr>
      </w:pPr>
    </w:p>
    <w:p>
      <w:pPr>
        <w:pStyle w:val="BodyCopy"/>
        <w:widowControl w:val="0"/>
        <w:spacing w:line="240" w:lineRule="auto"/>
        <w:rPr>
          <w:b/>
          <w:color w:val="auto"/>
        </w:rPr>
      </w:pPr>
      <w:r>
        <w:rPr>
          <w:color w:val="auto"/>
        </w:rPr>
        <w:t xml:space="preserve">Los siguientes principios guiarán las operaciones de recuperación:</w:t>
      </w:r>
    </w:p>
    <w:p>
      <w:pPr>
        <w:pStyle w:val="BodyCopy"/>
        <w:suppressAutoHyphens/>
        <w:spacing w:line="240" w:lineRule="auto"/>
        <w:ind w:left="1080"/>
        <w:rPr>
          <w:color w:val="auto"/>
        </w:rPr>
      </w:pPr>
    </w:p>
    <w:p>
      <w:pPr>
        <w:pStyle w:val="BodyCopy"/>
        <w:numPr>
          <w:ilvl w:val="0"/>
          <w:numId w:val="1"/>
        </w:numPr>
        <w:suppressAutoHyphens/>
        <w:ind w:left="1080" w:firstLine="0"/>
        <w:rPr>
          <w:color w:val="auto"/>
        </w:rPr>
      </w:pPr>
      <w:r>
        <w:rPr>
          <w:color w:val="auto"/>
        </w:rPr>
        <w:t xml:space="preserve">Identificar las actividades clave que deben continuarse durante el brote de la enfermedad infecciosa, que incluye que las divisiones correspondientes administren esas actividades en lo sucesivo.  </w:t>
      </w:r>
    </w:p>
    <w:p>
      <w:pPr>
        <w:pStyle w:val="BodyCopy"/>
        <w:numPr>
          <w:ilvl w:val="0"/>
          <w:numId w:val="1"/>
        </w:numPr>
        <w:suppressAutoHyphens/>
        <w:ind w:left="1080" w:firstLine="0"/>
        <w:rPr>
          <w:color w:val="auto"/>
        </w:rPr>
      </w:pPr>
      <w:r>
        <w:rPr>
          <w:color w:val="auto"/>
        </w:rPr>
        <w:t xml:space="preserve">Recuperarse de las interrupciones provocadas en el sistema de abastecimiento (sistemas de IT, suministros de oficina, rechazo de entregas, etc.) y normalizar los procedimientos operativos estándar (SOP, por sus siglas en inglés). </w:t>
      </w:r>
    </w:p>
    <w:p>
      <w:pPr>
        <w:pStyle w:val="BodyCopy"/>
        <w:numPr>
          <w:ilvl w:val="0"/>
          <w:numId w:val="1"/>
        </w:numPr>
        <w:suppressAutoHyphens/>
        <w:ind w:left="1080" w:firstLine="0"/>
        <w:rPr>
          <w:color w:val="auto"/>
        </w:rPr>
      </w:pPr>
      <w:r>
        <w:rPr>
          <w:color w:val="auto"/>
        </w:rPr>
        <w:t xml:space="preserve">Las áreas laborales configuradas para respaldar las operaciones esenciales de respuesta ante el brote retoman a las configuraciones previas al brote.  Los empleados regresan a sus tareas habituales mientras la situación lo permita.</w:t>
      </w:r>
    </w:p>
    <w:p>
      <w:pPr>
        <w:pStyle w:val="BodyCopy"/>
        <w:numPr>
          <w:ilvl w:val="0"/>
          <w:numId w:val="1"/>
        </w:numPr>
        <w:suppressAutoHyphens/>
        <w:ind w:left="1080" w:firstLine="0"/>
        <w:rPr>
          <w:color w:val="auto"/>
        </w:rPr>
      </w:pPr>
      <w:r>
        <w:rPr>
          <w:color w:val="auto"/>
        </w:rPr>
        <w:t xml:space="preserve">Recuperación y reintegro de personal desplazado.</w:t>
      </w:r>
    </w:p>
    <w:p/>
    <w:sectPr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36693C"/>
    <w:multiLevelType w:val="hybridMultilevel"/>
    <w:tmpl w:val="DB0CE6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FB1197A"/>
    <w:multiLevelType w:val="hybridMultilevel"/>
    <w:tmpl w:val="3B105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65CB"/>
    <w:rsid w:val="003E39B7"/>
    <w:rsid w:val="0076611F"/>
    <w:rsid w:val="008B6435"/>
    <w:rsid w:val="00AD6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S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5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Copy">
    <w:name w:val="Body Copy"/>
    <w:basedOn w:val="Normal"/>
    <w:link w:val="BodyCopyChar"/>
    <w:rsid w:val="00AD65CB"/>
    <w:pPr>
      <w:spacing w:line="360" w:lineRule="auto"/>
    </w:pPr>
    <w:rPr>
      <w:color w:val="000000"/>
    </w:rPr>
  </w:style>
  <w:style w:type="character" w:customStyle="1" w:styleId="BodyCopyChar">
    <w:name w:val="Body Copy Char"/>
    <w:basedOn w:val="DefaultParagraphFont"/>
    <w:link w:val="BodyCopy"/>
    <w:locked/>
    <w:rsid w:val="00AD65CB"/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AD65C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5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Copy">
    <w:name w:val="Body Copy"/>
    <w:basedOn w:val="Normal"/>
    <w:link w:val="BodyCopyChar"/>
    <w:rsid w:val="00AD65CB"/>
    <w:pPr>
      <w:spacing w:line="360" w:lineRule="auto"/>
    </w:pPr>
    <w:rPr>
      <w:color w:val="000000"/>
    </w:rPr>
  </w:style>
  <w:style w:type="character" w:customStyle="1" w:styleId="BodyCopyChar">
    <w:name w:val="Body Copy Char"/>
    <w:basedOn w:val="DefaultParagraphFont"/>
    <w:link w:val="BodyCopy"/>
    <w:locked/>
    <w:rsid w:val="00AD65CB"/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AD65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Centers for Disease Control and Prevention</Company>
  <LinksUpToDate>false</LinksUpToDate>
  <CharactersWithSpaces>1083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CDC User</dc:creator>
  <cp:lastModifiedBy>CDC User</cp:lastModifiedBy>
  <cp:revision>1</cp:revision>
  <dcterms:created xsi:type="dcterms:W3CDTF">2014-02-11T01:03:00Z</dcterms:created>
  <dcterms:modified xsi:type="dcterms:W3CDTF">2014-02-11T13:51:00Z</dcterms:modified>
</cp:coreProperties>
</file>