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CDF1B" w14:textId="0CAA2B9E" w:rsidR="00F26F4B" w:rsidRDefault="00B16211" w:rsidP="00B16211">
      <w:pPr>
        <w:pStyle w:val="Title"/>
      </w:pPr>
      <w:r>
        <w:t xml:space="preserve">IHR Costing Tool – </w:t>
      </w:r>
      <w:r w:rsidR="001066C8">
        <w:t>Definitions and References</w:t>
      </w:r>
    </w:p>
    <w:p w14:paraId="2298062C" w14:textId="6A49CE62" w:rsidR="00B16211" w:rsidRDefault="00F507B9" w:rsidP="00B16211">
      <w:r>
        <w:t>September 2018</w:t>
      </w:r>
    </w:p>
    <w:p w14:paraId="3D318706" w14:textId="3B66B4B1" w:rsidR="00B16211" w:rsidRDefault="001A00C6" w:rsidP="00B16211">
      <w:pPr>
        <w:pStyle w:val="Heading1"/>
      </w:pPr>
      <w:r>
        <w:t>Definitions</w:t>
      </w:r>
    </w:p>
    <w:p w14:paraId="15D7E071" w14:textId="77777777" w:rsidR="001A00C6" w:rsidRPr="001F7519" w:rsidRDefault="001A00C6" w:rsidP="001A00C6">
      <w:r w:rsidRPr="001F7519">
        <w:rPr>
          <w:b/>
        </w:rPr>
        <w:t>Administrative Organization</w:t>
      </w:r>
      <w:r>
        <w:rPr>
          <w:b/>
        </w:rPr>
        <w:t>:</w:t>
      </w:r>
      <w:r w:rsidRPr="001F7519">
        <w:rPr>
          <w:b/>
        </w:rPr>
        <w:t xml:space="preserve"> </w:t>
      </w:r>
      <w:r>
        <w:t>Defines</w:t>
      </w:r>
      <w:r w:rsidRPr="001F7519">
        <w:t xml:space="preserve"> </w:t>
      </w:r>
      <w:r>
        <w:t>country</w:t>
      </w:r>
      <w:r w:rsidRPr="001F7519">
        <w:t xml:space="preserve"> </w:t>
      </w:r>
      <w:r>
        <w:t>geopolitical organization</w:t>
      </w:r>
      <w:r w:rsidRPr="001F7519">
        <w:t xml:space="preserve">. For the purposes of costing IHR implementation, these are the administrative units that </w:t>
      </w:r>
      <w:r>
        <w:t>support</w:t>
      </w:r>
      <w:r w:rsidRPr="001F7519">
        <w:t xml:space="preserve"> public health efforts such as </w:t>
      </w:r>
      <w:proofErr w:type="spellStart"/>
      <w:r w:rsidRPr="001F7519">
        <w:t>biosurveillance</w:t>
      </w:r>
      <w:proofErr w:type="spellEnd"/>
      <w:r w:rsidRPr="001F7519">
        <w:t xml:space="preserve"> or emergency response. Administrative organization is divided between intermediate and local level</w:t>
      </w:r>
      <w:r>
        <w:t>s</w:t>
      </w:r>
      <w:r w:rsidRPr="001F7519">
        <w:t>, including a</w:t>
      </w:r>
      <w:r>
        <w:t>n optional</w:t>
      </w:r>
      <w:r w:rsidRPr="001F7519">
        <w:t xml:space="preserve"> second intermediate level for countries where such an organization exists.</w:t>
      </w:r>
    </w:p>
    <w:p w14:paraId="033156D0" w14:textId="77777777" w:rsidR="001A00C6" w:rsidRDefault="001A00C6" w:rsidP="001A00C6">
      <w:pPr>
        <w:ind w:left="720"/>
        <w:rPr>
          <w:rFonts w:cs="Calibri"/>
          <w:color w:val="000000" w:themeColor="text1"/>
        </w:rPr>
      </w:pPr>
      <w:r w:rsidRPr="003308AC">
        <w:rPr>
          <w:rFonts w:cs="Calibri"/>
          <w:b/>
          <w:color w:val="000000" w:themeColor="text1"/>
        </w:rPr>
        <w:t>Intermediate (e.g., province, district):</w:t>
      </w:r>
      <w:r>
        <w:rPr>
          <w:rFonts w:cs="Calibri"/>
          <w:color w:val="000000" w:themeColor="text1"/>
        </w:rPr>
        <w:t xml:space="preserve"> Largest geopolitical unit under the central government. </w:t>
      </w:r>
    </w:p>
    <w:p w14:paraId="1408492F" w14:textId="44A6D722" w:rsidR="001A00C6" w:rsidRPr="001F7519" w:rsidRDefault="001A00C6" w:rsidP="001A00C6">
      <w:pPr>
        <w:ind w:left="720"/>
        <w:rPr>
          <w:rFonts w:cs="Calibri"/>
          <w:color w:val="000000" w:themeColor="text1"/>
        </w:rPr>
      </w:pPr>
      <w:r w:rsidRPr="003308AC">
        <w:rPr>
          <w:rFonts w:cs="Calibri"/>
          <w:b/>
          <w:color w:val="000000" w:themeColor="text1"/>
        </w:rPr>
        <w:t>Intermediate 2 (optional):</w:t>
      </w:r>
      <w:r w:rsidRPr="00A02A98">
        <w:rPr>
          <w:rFonts w:cs="Calibri"/>
          <w:color w:val="000000" w:themeColor="text1"/>
        </w:rPr>
        <w:t xml:space="preserve"> </w:t>
      </w:r>
      <w:r>
        <w:rPr>
          <w:rFonts w:cs="Calibri"/>
          <w:color w:val="000000" w:themeColor="text1"/>
        </w:rPr>
        <w:t>In countries with multiple intermediate levels that participate in IHR-related activities, this is smaller than the first intermediate level but larger than the local geopolitical units.</w:t>
      </w:r>
      <w:r w:rsidR="008B54EB">
        <w:rPr>
          <w:rFonts w:cs="Calibri"/>
          <w:color w:val="000000" w:themeColor="text1"/>
        </w:rPr>
        <w:t xml:space="preserve"> The numb</w:t>
      </w:r>
      <w:r w:rsidR="00B96906">
        <w:rPr>
          <w:rFonts w:cs="Calibri"/>
          <w:color w:val="000000" w:themeColor="text1"/>
        </w:rPr>
        <w:t xml:space="preserve">er of intermediate 2 </w:t>
      </w:r>
      <w:r w:rsidR="007D505B">
        <w:rPr>
          <w:rFonts w:cs="Calibri"/>
          <w:color w:val="000000" w:themeColor="text1"/>
        </w:rPr>
        <w:t>administrative units</w:t>
      </w:r>
      <w:r w:rsidR="00B96906">
        <w:rPr>
          <w:rFonts w:cs="Calibri"/>
          <w:color w:val="000000" w:themeColor="text1"/>
        </w:rPr>
        <w:t xml:space="preserve"> is</w:t>
      </w:r>
      <w:r w:rsidR="008B54EB">
        <w:rPr>
          <w:rFonts w:cs="Calibri"/>
          <w:color w:val="000000" w:themeColor="text1"/>
        </w:rPr>
        <w:t xml:space="preserve"> optional</w:t>
      </w:r>
      <w:r w:rsidR="00B96906">
        <w:rPr>
          <w:rFonts w:cs="Calibri"/>
          <w:color w:val="000000" w:themeColor="text1"/>
        </w:rPr>
        <w:t>. I</w:t>
      </w:r>
      <w:r w:rsidR="008B54EB">
        <w:rPr>
          <w:rFonts w:cs="Calibri"/>
          <w:color w:val="000000" w:themeColor="text1"/>
        </w:rPr>
        <w:t xml:space="preserve">f a value is not provided, no activities will be </w:t>
      </w:r>
      <w:r w:rsidR="007D505B">
        <w:rPr>
          <w:rFonts w:cs="Calibri"/>
          <w:color w:val="000000" w:themeColor="text1"/>
        </w:rPr>
        <w:t>costed at the intermediate 2 level.</w:t>
      </w:r>
      <w:bookmarkStart w:id="0" w:name="_GoBack"/>
      <w:bookmarkEnd w:id="0"/>
    </w:p>
    <w:p w14:paraId="61D64F45" w14:textId="475306A0" w:rsidR="001A00C6" w:rsidRDefault="001A00C6" w:rsidP="001A00C6">
      <w:pPr>
        <w:ind w:left="720"/>
      </w:pPr>
      <w:r w:rsidRPr="0084361C">
        <w:rPr>
          <w:b/>
        </w:rPr>
        <w:t>Local (e.g., county, city):</w:t>
      </w:r>
      <w:r>
        <w:rPr>
          <w:b/>
        </w:rPr>
        <w:t xml:space="preserve"> </w:t>
      </w:r>
      <w:r>
        <w:t xml:space="preserve">Smallest geopolitical unit with a role in national public health </w:t>
      </w:r>
      <w:r w:rsidRPr="00D218A0">
        <w:t>prevent</w:t>
      </w:r>
      <w:r>
        <w:t>ion</w:t>
      </w:r>
      <w:r w:rsidRPr="00D218A0">
        <w:t>, detect</w:t>
      </w:r>
      <w:r>
        <w:t>ion</w:t>
      </w:r>
      <w:r w:rsidRPr="00D218A0">
        <w:t>, and respon</w:t>
      </w:r>
      <w:r>
        <w:t>se efforts.</w:t>
      </w:r>
    </w:p>
    <w:p w14:paraId="608C3358" w14:textId="43726BCE" w:rsidR="001A00C6" w:rsidRDefault="001A00C6" w:rsidP="001A00C6">
      <w:r w:rsidRPr="0084361C">
        <w:rPr>
          <w:b/>
        </w:rPr>
        <w:t>Health Care Facilities</w:t>
      </w:r>
      <w:r>
        <w:rPr>
          <w:b/>
        </w:rPr>
        <w:t>:</w:t>
      </w:r>
      <w:r>
        <w:t xml:space="preserve"> P</w:t>
      </w:r>
      <w:r w:rsidRPr="00D218A0">
        <w:t xml:space="preserve">rimarily expected to </w:t>
      </w:r>
      <w:r>
        <w:t>b</w:t>
      </w:r>
      <w:r w:rsidRPr="00D218A0">
        <w:t>e hospital</w:t>
      </w:r>
      <w:r>
        <w:t xml:space="preserve">s and </w:t>
      </w:r>
      <w:r w:rsidRPr="00D218A0">
        <w:t>government-run health centers</w:t>
      </w:r>
      <w:r>
        <w:t xml:space="preserve"> for the purposes of costing IHR implementation</w:t>
      </w:r>
      <w:r w:rsidRPr="00D218A0">
        <w:t>.</w:t>
      </w:r>
      <w:r>
        <w:t xml:space="preserve"> Includes facilities participating in IHR-related activities including </w:t>
      </w:r>
      <w:proofErr w:type="spellStart"/>
      <w:r>
        <w:t>biosurveillance</w:t>
      </w:r>
      <w:proofErr w:type="spellEnd"/>
      <w:r>
        <w:t xml:space="preserve"> programs, point-of-care diagnostics for priorities diseases, prevention of healthcare associated infections, and biosafety and biosecurity programs. </w:t>
      </w:r>
    </w:p>
    <w:p w14:paraId="4D2BE6BB" w14:textId="77777777" w:rsidR="00B16211" w:rsidRDefault="00B16211" w:rsidP="00B16211">
      <w:pPr>
        <w:pStyle w:val="Heading1"/>
      </w:pPr>
      <w:r>
        <w:t>Cost Assumptions</w:t>
      </w:r>
    </w:p>
    <w:p w14:paraId="04205C88" w14:textId="08A48AFE" w:rsidR="007F45FB" w:rsidRDefault="007F45FB" w:rsidP="00B16211">
      <w:r w:rsidRPr="007F45FB">
        <w:t>Default cost values for frequently costed items are listed below with their sources and assumptions. Default costs are the same for each country and c</w:t>
      </w:r>
      <w:r>
        <w:t>onverted to the chosen currency.</w:t>
      </w:r>
      <w:r w:rsidRPr="007F45FB">
        <w:t xml:space="preserve"> Default </w:t>
      </w:r>
      <w:r>
        <w:t>value</w:t>
      </w:r>
      <w:r w:rsidRPr="007F45FB">
        <w:t>s are intended as a starting reference that can be changed using local data. Costs can be edited either by changing the default values used across all costing calculations (Set Default Values page - Cost Assumptions tab) or when entering and saving costs under each indicator (Enter Costs page).</w:t>
      </w:r>
    </w:p>
    <w:tbl>
      <w:tblPr>
        <w:tblStyle w:val="TableGrid"/>
        <w:tblW w:w="9358" w:type="dxa"/>
        <w:tblLayout w:type="fixed"/>
        <w:tblLook w:val="04A0" w:firstRow="1" w:lastRow="0" w:firstColumn="1" w:lastColumn="0" w:noHBand="0" w:noVBand="1"/>
      </w:tblPr>
      <w:tblGrid>
        <w:gridCol w:w="1702"/>
        <w:gridCol w:w="3336"/>
        <w:gridCol w:w="1974"/>
        <w:gridCol w:w="2346"/>
      </w:tblGrid>
      <w:tr w:rsidR="00B16211" w:rsidRPr="00B16211" w14:paraId="6658310B" w14:textId="77777777" w:rsidTr="00166102">
        <w:trPr>
          <w:cantSplit/>
          <w:trHeight w:val="405"/>
          <w:tblHeader/>
        </w:trPr>
        <w:tc>
          <w:tcPr>
            <w:tcW w:w="1702" w:type="dxa"/>
            <w:shd w:val="clear" w:color="auto" w:fill="D9D9D9" w:themeFill="background1" w:themeFillShade="D9"/>
            <w:hideMark/>
          </w:tcPr>
          <w:p w14:paraId="270F37D3" w14:textId="24633D3D" w:rsidR="00B16211" w:rsidRPr="00B16211" w:rsidRDefault="00166102"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Cost name</w:t>
            </w:r>
          </w:p>
        </w:tc>
        <w:tc>
          <w:tcPr>
            <w:tcW w:w="3336" w:type="dxa"/>
            <w:shd w:val="clear" w:color="auto" w:fill="D9D9D9" w:themeFill="background1" w:themeFillShade="D9"/>
            <w:hideMark/>
          </w:tcPr>
          <w:p w14:paraId="0DDD5D51" w14:textId="667EAB0A" w:rsidR="00B16211" w:rsidRPr="00B16211" w:rsidRDefault="00166102" w:rsidP="00B16211">
            <w:pPr>
              <w:rPr>
                <w:rFonts w:ascii="Calibri" w:eastAsia="Times New Roman" w:hAnsi="Calibri" w:cs="Calibri"/>
                <w:b/>
                <w:bCs/>
                <w:color w:val="000000"/>
                <w:sz w:val="28"/>
                <w:szCs w:val="28"/>
              </w:rPr>
            </w:pPr>
            <w:r>
              <w:rPr>
                <w:rFonts w:ascii="Calibri" w:eastAsia="Times New Roman" w:hAnsi="Calibri" w:cs="Calibri"/>
                <w:b/>
                <w:bCs/>
                <w:color w:val="000000"/>
                <w:sz w:val="28"/>
                <w:szCs w:val="28"/>
              </w:rPr>
              <w:t>Description</w:t>
            </w:r>
          </w:p>
        </w:tc>
        <w:tc>
          <w:tcPr>
            <w:tcW w:w="1974" w:type="dxa"/>
            <w:shd w:val="clear" w:color="auto" w:fill="D9D9D9" w:themeFill="background1" w:themeFillShade="D9"/>
            <w:hideMark/>
          </w:tcPr>
          <w:p w14:paraId="1D53E81F" w14:textId="77777777" w:rsidR="00C43DDE"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 xml:space="preserve">Default </w:t>
            </w:r>
          </w:p>
          <w:p w14:paraId="0051A0BB" w14:textId="36FCAAEE" w:rsidR="00B16211" w:rsidRPr="00B16211"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(USD 2017)</w:t>
            </w:r>
          </w:p>
        </w:tc>
        <w:tc>
          <w:tcPr>
            <w:tcW w:w="2346" w:type="dxa"/>
            <w:shd w:val="clear" w:color="auto" w:fill="D9D9D9" w:themeFill="background1" w:themeFillShade="D9"/>
            <w:hideMark/>
          </w:tcPr>
          <w:p w14:paraId="568FD12B" w14:textId="77777777" w:rsidR="00B16211" w:rsidRPr="00B16211" w:rsidRDefault="00B16211" w:rsidP="00B16211">
            <w:pPr>
              <w:rPr>
                <w:rFonts w:ascii="Calibri" w:eastAsia="Times New Roman" w:hAnsi="Calibri" w:cs="Calibri"/>
                <w:b/>
                <w:bCs/>
                <w:color w:val="000000"/>
                <w:sz w:val="28"/>
                <w:szCs w:val="28"/>
              </w:rPr>
            </w:pPr>
            <w:r w:rsidRPr="00B16211">
              <w:rPr>
                <w:rFonts w:ascii="Calibri" w:eastAsia="Times New Roman" w:hAnsi="Calibri" w:cs="Calibri"/>
                <w:b/>
                <w:bCs/>
                <w:color w:val="000000"/>
                <w:sz w:val="28"/>
                <w:szCs w:val="28"/>
              </w:rPr>
              <w:t>Sources and assumptions</w:t>
            </w:r>
          </w:p>
        </w:tc>
      </w:tr>
      <w:tr w:rsidR="007F45FB" w:rsidRPr="00B16211" w14:paraId="35C8895B" w14:textId="77777777" w:rsidTr="001A00C6">
        <w:trPr>
          <w:cantSplit/>
          <w:trHeight w:val="300"/>
        </w:trPr>
        <w:tc>
          <w:tcPr>
            <w:tcW w:w="1702" w:type="dxa"/>
            <w:hideMark/>
          </w:tcPr>
          <w:p w14:paraId="605E53BA"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Annual salary 1 (low)</w:t>
            </w:r>
          </w:p>
        </w:tc>
        <w:tc>
          <w:tcPr>
            <w:tcW w:w="3336" w:type="dxa"/>
            <w:hideMark/>
          </w:tcPr>
          <w:p w14:paraId="1DBEF385"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salary for an entry-level employee such as an assistant, manager, coordinator, IT Specialist, Public Relations Officer, or other entry-level position</w:t>
            </w:r>
          </w:p>
        </w:tc>
        <w:tc>
          <w:tcPr>
            <w:tcW w:w="1974" w:type="dxa"/>
            <w:hideMark/>
          </w:tcPr>
          <w:p w14:paraId="4190ECD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16,000 USD per year</w:t>
            </w:r>
          </w:p>
        </w:tc>
        <w:tc>
          <w:tcPr>
            <w:tcW w:w="2346" w:type="dxa"/>
            <w:vAlign w:val="bottom"/>
            <w:hideMark/>
          </w:tcPr>
          <w:p w14:paraId="6FDABE6F" w14:textId="2B74DFC2"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Approximation based on WHO-CHOICE personnel costs (http://www.who.int/choice/costs/prog_costs/en/).</w:t>
            </w:r>
          </w:p>
        </w:tc>
      </w:tr>
      <w:tr w:rsidR="007F45FB" w:rsidRPr="00B16211" w14:paraId="37193C47" w14:textId="77777777" w:rsidTr="001A00C6">
        <w:trPr>
          <w:cantSplit/>
          <w:trHeight w:val="300"/>
        </w:trPr>
        <w:tc>
          <w:tcPr>
            <w:tcW w:w="1702" w:type="dxa"/>
            <w:hideMark/>
          </w:tcPr>
          <w:p w14:paraId="694A4A96"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Annual salary 2 (mid)</w:t>
            </w:r>
          </w:p>
        </w:tc>
        <w:tc>
          <w:tcPr>
            <w:tcW w:w="3336" w:type="dxa"/>
            <w:hideMark/>
          </w:tcPr>
          <w:p w14:paraId="621C5739"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salary for a mid-level employee such as a Public Health Specialist, lawyer, or other mid-level position</w:t>
            </w:r>
          </w:p>
        </w:tc>
        <w:tc>
          <w:tcPr>
            <w:tcW w:w="1974" w:type="dxa"/>
            <w:hideMark/>
          </w:tcPr>
          <w:p w14:paraId="744B13C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26,000 USD per year</w:t>
            </w:r>
          </w:p>
        </w:tc>
        <w:tc>
          <w:tcPr>
            <w:tcW w:w="2346" w:type="dxa"/>
            <w:vAlign w:val="bottom"/>
            <w:hideMark/>
          </w:tcPr>
          <w:p w14:paraId="7F428C9C" w14:textId="767A995E"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Approximation based on WHO-CHOICE personnel costs (http://www.who.int/choice/costs/prog_costs/en/).</w:t>
            </w:r>
          </w:p>
        </w:tc>
      </w:tr>
      <w:tr w:rsidR="007F45FB" w:rsidRPr="00B16211" w14:paraId="6C1C907F" w14:textId="77777777" w:rsidTr="001A00C6">
        <w:trPr>
          <w:cantSplit/>
          <w:trHeight w:val="300"/>
        </w:trPr>
        <w:tc>
          <w:tcPr>
            <w:tcW w:w="1702" w:type="dxa"/>
            <w:hideMark/>
          </w:tcPr>
          <w:p w14:paraId="5E2A3028"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Annual salary 3 (high)</w:t>
            </w:r>
          </w:p>
        </w:tc>
        <w:tc>
          <w:tcPr>
            <w:tcW w:w="3336" w:type="dxa"/>
            <w:hideMark/>
          </w:tcPr>
          <w:p w14:paraId="1386497F"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salary for a high-level employee such as a Public Health Director or other high-level position</w:t>
            </w:r>
          </w:p>
        </w:tc>
        <w:tc>
          <w:tcPr>
            <w:tcW w:w="1974" w:type="dxa"/>
            <w:hideMark/>
          </w:tcPr>
          <w:p w14:paraId="21BE543F"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40,000 USD per year</w:t>
            </w:r>
          </w:p>
        </w:tc>
        <w:tc>
          <w:tcPr>
            <w:tcW w:w="2346" w:type="dxa"/>
            <w:vAlign w:val="bottom"/>
            <w:hideMark/>
          </w:tcPr>
          <w:p w14:paraId="1DB2B6D3" w14:textId="585AA821"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Approximation based on WHO-CHOICE personnel costs (http://www.who.int/choice/costs/prog_costs/en/).</w:t>
            </w:r>
          </w:p>
        </w:tc>
      </w:tr>
      <w:tr w:rsidR="007F45FB" w:rsidRPr="00B16211" w14:paraId="209F878C" w14:textId="77777777" w:rsidTr="001A00C6">
        <w:trPr>
          <w:cantSplit/>
          <w:trHeight w:val="300"/>
        </w:trPr>
        <w:tc>
          <w:tcPr>
            <w:tcW w:w="1702" w:type="dxa"/>
            <w:hideMark/>
          </w:tcPr>
          <w:p w14:paraId="1EE03BCB"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Consultant fees (daily)</w:t>
            </w:r>
          </w:p>
        </w:tc>
        <w:tc>
          <w:tcPr>
            <w:tcW w:w="3336" w:type="dxa"/>
            <w:hideMark/>
          </w:tcPr>
          <w:p w14:paraId="1B62A4B4"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Daily fees and per diem for a typical consultant to provide expert advice and support (e.g., review legislation, draft plans, facilitate exercises)</w:t>
            </w:r>
          </w:p>
        </w:tc>
        <w:tc>
          <w:tcPr>
            <w:tcW w:w="1974" w:type="dxa"/>
            <w:hideMark/>
          </w:tcPr>
          <w:p w14:paraId="32554B95"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1,000 USD per day</w:t>
            </w:r>
          </w:p>
        </w:tc>
        <w:tc>
          <w:tcPr>
            <w:tcW w:w="2346" w:type="dxa"/>
            <w:vAlign w:val="bottom"/>
            <w:hideMark/>
          </w:tcPr>
          <w:p w14:paraId="0D4163D5" w14:textId="39D8BF3D" w:rsidR="007F45FB" w:rsidRPr="00B16211" w:rsidRDefault="007F45FB" w:rsidP="00B16211">
            <w:pPr>
              <w:rPr>
                <w:rFonts w:ascii="Calibri" w:eastAsia="Times New Roman" w:hAnsi="Calibri" w:cs="Calibri"/>
              </w:rPr>
            </w:pPr>
            <w:r>
              <w:rPr>
                <w:rFonts w:ascii="Calibri" w:eastAsia="Times New Roman" w:hAnsi="Calibri"/>
              </w:rPr>
              <w:t>Fees per day (750 USD) plus daily per diem (298 USD), rounded to nearest hundred. Default fees per day is UN Level D maximum daily rate established October 2013 (Source: ST/AI/2013/4). Default per diem is official WHO/UN per diem for Nairobi, Kenya.</w:t>
            </w:r>
          </w:p>
        </w:tc>
      </w:tr>
      <w:tr w:rsidR="007F45FB" w:rsidRPr="00B16211" w14:paraId="34B4999F" w14:textId="77777777" w:rsidTr="001A00C6">
        <w:trPr>
          <w:cantSplit/>
          <w:trHeight w:val="300"/>
        </w:trPr>
        <w:tc>
          <w:tcPr>
            <w:tcW w:w="1702" w:type="dxa"/>
            <w:hideMark/>
          </w:tcPr>
          <w:p w14:paraId="231FBCEF"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Consultant travel</w:t>
            </w:r>
          </w:p>
        </w:tc>
        <w:tc>
          <w:tcPr>
            <w:tcW w:w="3336" w:type="dxa"/>
            <w:hideMark/>
          </w:tcPr>
          <w:p w14:paraId="139FE3B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Per trip travel expenses for a typical consultant</w:t>
            </w:r>
          </w:p>
        </w:tc>
        <w:tc>
          <w:tcPr>
            <w:tcW w:w="1974" w:type="dxa"/>
            <w:hideMark/>
          </w:tcPr>
          <w:p w14:paraId="77EF6A25"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1,200 USD per trip</w:t>
            </w:r>
          </w:p>
        </w:tc>
        <w:tc>
          <w:tcPr>
            <w:tcW w:w="2346" w:type="dxa"/>
            <w:vAlign w:val="bottom"/>
            <w:hideMark/>
          </w:tcPr>
          <w:p w14:paraId="36C81403" w14:textId="28873C4F" w:rsidR="007F45FB" w:rsidRPr="00B16211" w:rsidRDefault="007F45FB" w:rsidP="00B16211">
            <w:pPr>
              <w:rPr>
                <w:rFonts w:ascii="Calibri" w:eastAsia="Times New Roman" w:hAnsi="Calibri" w:cs="Calibri"/>
              </w:rPr>
            </w:pPr>
            <w:r>
              <w:rPr>
                <w:rFonts w:ascii="Calibri" w:eastAsia="Times New Roman" w:hAnsi="Calibri"/>
              </w:rPr>
              <w:t>Cost of typical roundtrip airfare from US or Europe to national capital (1,200 USD). Based on average round-trip airfares from Washington, DC USA to multiple African and Asian air hubs with 30-day advance purchase.</w:t>
            </w:r>
          </w:p>
        </w:tc>
      </w:tr>
      <w:tr w:rsidR="007F45FB" w:rsidRPr="00B16211" w14:paraId="010F3A7E" w14:textId="77777777" w:rsidTr="001A00C6">
        <w:trPr>
          <w:cantSplit/>
          <w:trHeight w:val="300"/>
        </w:trPr>
        <w:tc>
          <w:tcPr>
            <w:tcW w:w="1702" w:type="dxa"/>
            <w:hideMark/>
          </w:tcPr>
          <w:p w14:paraId="0F763D22" w14:textId="77777777" w:rsidR="007F45FB" w:rsidRPr="00B16211" w:rsidRDefault="007F45FB" w:rsidP="00B16211">
            <w:pPr>
              <w:rPr>
                <w:rFonts w:ascii="Calibri" w:eastAsia="Times New Roman" w:hAnsi="Calibri" w:cs="Calibri"/>
                <w:b/>
                <w:bCs/>
              </w:rPr>
            </w:pPr>
            <w:r w:rsidRPr="00B16211">
              <w:rPr>
                <w:rFonts w:ascii="Calibri" w:eastAsia="Times New Roman" w:hAnsi="Calibri" w:cs="Calibri"/>
                <w:b/>
                <w:bCs/>
              </w:rPr>
              <w:t>Trainer / supervisor per diem, with meals</w:t>
            </w:r>
          </w:p>
        </w:tc>
        <w:tc>
          <w:tcPr>
            <w:tcW w:w="3336" w:type="dxa"/>
            <w:hideMark/>
          </w:tcPr>
          <w:p w14:paraId="4614090F" w14:textId="77777777" w:rsidR="007F45FB" w:rsidRPr="00B16211" w:rsidRDefault="007F45FB" w:rsidP="00B16211">
            <w:pPr>
              <w:rPr>
                <w:rFonts w:ascii="Calibri" w:eastAsia="Times New Roman" w:hAnsi="Calibri" w:cs="Calibri"/>
              </w:rPr>
            </w:pPr>
            <w:r w:rsidRPr="00B16211">
              <w:rPr>
                <w:rFonts w:ascii="Calibri" w:eastAsia="Times New Roman" w:hAnsi="Calibri" w:cs="Calibri"/>
              </w:rPr>
              <w:t>Per diem for trainer / supervisor that includes meals to provide training and oversight (e.g., conduct training sessions, audit surveillance systems, evaluate reporting)</w:t>
            </w:r>
          </w:p>
        </w:tc>
        <w:tc>
          <w:tcPr>
            <w:tcW w:w="1974" w:type="dxa"/>
            <w:hideMark/>
          </w:tcPr>
          <w:p w14:paraId="09AC57C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105 USD per day</w:t>
            </w:r>
          </w:p>
        </w:tc>
        <w:tc>
          <w:tcPr>
            <w:tcW w:w="2346" w:type="dxa"/>
            <w:vAlign w:val="bottom"/>
            <w:hideMark/>
          </w:tcPr>
          <w:p w14:paraId="33AFF9CF" w14:textId="092C9D66" w:rsidR="007F45FB" w:rsidRPr="00B16211" w:rsidRDefault="007F45FB" w:rsidP="00B16211">
            <w:pPr>
              <w:rPr>
                <w:rFonts w:ascii="Calibri" w:eastAsia="Times New Roman" w:hAnsi="Calibri" w:cs="Calibri"/>
              </w:rPr>
            </w:pPr>
            <w:r>
              <w:rPr>
                <w:rFonts w:ascii="Calibri" w:eastAsia="Times New Roman" w:hAnsi="Calibri"/>
              </w:rPr>
              <w:t>Default domestic per diem (105 USD) is WHO-CHOICE National-Level Per Diem in USD 2017 (http://www.who.int/choice/costs/prog_costs/en/index10.html).</w:t>
            </w:r>
          </w:p>
        </w:tc>
      </w:tr>
      <w:tr w:rsidR="007F45FB" w:rsidRPr="00B16211" w14:paraId="3AEE4470" w14:textId="77777777" w:rsidTr="001A00C6">
        <w:trPr>
          <w:cantSplit/>
          <w:trHeight w:val="300"/>
        </w:trPr>
        <w:tc>
          <w:tcPr>
            <w:tcW w:w="1702" w:type="dxa"/>
            <w:hideMark/>
          </w:tcPr>
          <w:p w14:paraId="4043A168"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Cellular phone (per person)</w:t>
            </w:r>
          </w:p>
        </w:tc>
        <w:tc>
          <w:tcPr>
            <w:tcW w:w="3336" w:type="dxa"/>
            <w:hideMark/>
          </w:tcPr>
          <w:p w14:paraId="7D93DE02"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of a mobile phone (per person)</w:t>
            </w:r>
          </w:p>
        </w:tc>
        <w:tc>
          <w:tcPr>
            <w:tcW w:w="1974" w:type="dxa"/>
            <w:hideMark/>
          </w:tcPr>
          <w:p w14:paraId="2CB8E61E"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300 USD per phone</w:t>
            </w:r>
          </w:p>
        </w:tc>
        <w:tc>
          <w:tcPr>
            <w:tcW w:w="2346" w:type="dxa"/>
            <w:vAlign w:val="bottom"/>
            <w:hideMark/>
          </w:tcPr>
          <w:p w14:paraId="4C60DC3F" w14:textId="0C94172F" w:rsidR="007F45FB" w:rsidRPr="00B16211" w:rsidRDefault="007F45FB" w:rsidP="00B16211">
            <w:pPr>
              <w:rPr>
                <w:rFonts w:ascii="Calibri" w:eastAsia="Times New Roman" w:hAnsi="Calibri" w:cs="Calibri"/>
              </w:rPr>
            </w:pPr>
            <w:r>
              <w:rPr>
                <w:rFonts w:ascii="Calibri" w:eastAsia="Times New Roman" w:hAnsi="Calibri"/>
              </w:rPr>
              <w:t xml:space="preserve">Divided approximate handset cost (200 USD) over 5 years and added to approximate annual cellular data plan cost (240 USD), rounded to nearest fifty. Handset cost based on typical range of handset costs (examples: https://www.safaricom.co.ke; https://www.statista.com/statistics/283334/global-average-selling-price-smartphones/). </w:t>
            </w:r>
          </w:p>
        </w:tc>
      </w:tr>
      <w:tr w:rsidR="007F45FB" w:rsidRPr="00B16211" w14:paraId="099B0B15" w14:textId="77777777" w:rsidTr="001A00C6">
        <w:trPr>
          <w:cantSplit/>
          <w:trHeight w:val="300"/>
        </w:trPr>
        <w:tc>
          <w:tcPr>
            <w:tcW w:w="1702" w:type="dxa"/>
            <w:hideMark/>
          </w:tcPr>
          <w:p w14:paraId="61C45793"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Cellular and data plan (per person)</w:t>
            </w:r>
          </w:p>
        </w:tc>
        <w:tc>
          <w:tcPr>
            <w:tcW w:w="3336" w:type="dxa"/>
            <w:hideMark/>
          </w:tcPr>
          <w:p w14:paraId="446088E8"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Cellular and data plan for mobile phone (cost per person)</w:t>
            </w:r>
          </w:p>
        </w:tc>
        <w:tc>
          <w:tcPr>
            <w:tcW w:w="1974" w:type="dxa"/>
            <w:hideMark/>
          </w:tcPr>
          <w:p w14:paraId="4670F25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250 USD per phone per year</w:t>
            </w:r>
          </w:p>
        </w:tc>
        <w:tc>
          <w:tcPr>
            <w:tcW w:w="2346" w:type="dxa"/>
            <w:vAlign w:val="bottom"/>
            <w:hideMark/>
          </w:tcPr>
          <w:p w14:paraId="760DC713" w14:textId="3BF43CB7" w:rsidR="007F45FB" w:rsidRPr="00B16211" w:rsidRDefault="007F45FB" w:rsidP="00B16211">
            <w:pPr>
              <w:rPr>
                <w:rFonts w:ascii="Calibri" w:eastAsia="Times New Roman" w:hAnsi="Calibri" w:cs="Calibri"/>
              </w:rPr>
            </w:pPr>
            <w:r>
              <w:rPr>
                <w:rFonts w:ascii="Calibri" w:eastAsia="Times New Roman" w:hAnsi="Calibri"/>
              </w:rPr>
              <w:t xml:space="preserve">Informed by regional costs per smartphone user from ICT (http://www.itu.int/en/ITU-D/Statistics/Documents/publications/misr2016/MISR2016-w4.pdf).  </w:t>
            </w:r>
            <w:proofErr w:type="gramStart"/>
            <w:r>
              <w:rPr>
                <w:rFonts w:ascii="Calibri" w:eastAsia="Times New Roman" w:hAnsi="Calibri"/>
              </w:rPr>
              <w:t>Also</w:t>
            </w:r>
            <w:proofErr w:type="gramEnd"/>
            <w:r>
              <w:rPr>
                <w:rFonts w:ascii="Calibri" w:eastAsia="Times New Roman" w:hAnsi="Calibri"/>
              </w:rPr>
              <w:t xml:space="preserve"> </w:t>
            </w:r>
            <w:proofErr w:type="spellStart"/>
            <w:r>
              <w:rPr>
                <w:rFonts w:ascii="Calibri" w:eastAsia="Times New Roman" w:hAnsi="Calibri"/>
              </w:rPr>
              <w:t>compated</w:t>
            </w:r>
            <w:proofErr w:type="spellEnd"/>
            <w:r>
              <w:rPr>
                <w:rFonts w:ascii="Calibri" w:eastAsia="Times New Roman" w:hAnsi="Calibri"/>
              </w:rPr>
              <w:t xml:space="preserve"> to 4 sequential Safaricom 90-day plan costs (240 USD), rounded to nearest fifty (https://www.safaricom.co.ke). </w:t>
            </w:r>
          </w:p>
        </w:tc>
      </w:tr>
      <w:tr w:rsidR="007F45FB" w:rsidRPr="00B16211" w14:paraId="270FCE16" w14:textId="77777777" w:rsidTr="001A00C6">
        <w:trPr>
          <w:cantSplit/>
          <w:trHeight w:val="300"/>
        </w:trPr>
        <w:tc>
          <w:tcPr>
            <w:tcW w:w="1702" w:type="dxa"/>
            <w:hideMark/>
          </w:tcPr>
          <w:p w14:paraId="1C04DCC1"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Computer system with office software (per person)</w:t>
            </w:r>
          </w:p>
        </w:tc>
        <w:tc>
          <w:tcPr>
            <w:tcW w:w="3336" w:type="dxa"/>
            <w:hideMark/>
          </w:tcPr>
          <w:p w14:paraId="01958D7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Computer system with standard office productivity software (cost per person)</w:t>
            </w:r>
          </w:p>
        </w:tc>
        <w:tc>
          <w:tcPr>
            <w:tcW w:w="1974" w:type="dxa"/>
            <w:hideMark/>
          </w:tcPr>
          <w:p w14:paraId="6160CE4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750 USD per system</w:t>
            </w:r>
          </w:p>
        </w:tc>
        <w:tc>
          <w:tcPr>
            <w:tcW w:w="2346" w:type="dxa"/>
            <w:vAlign w:val="bottom"/>
            <w:hideMark/>
          </w:tcPr>
          <w:p w14:paraId="59D6F8B3" w14:textId="1BCE72B6" w:rsidR="007F45FB" w:rsidRPr="00B16211" w:rsidRDefault="007F45FB" w:rsidP="00B16211">
            <w:pPr>
              <w:rPr>
                <w:rFonts w:ascii="Calibri" w:eastAsia="Times New Roman" w:hAnsi="Calibri" w:cs="Calibri"/>
              </w:rPr>
            </w:pPr>
            <w:r>
              <w:rPr>
                <w:rFonts w:ascii="Calibri" w:eastAsia="Times New Roman" w:hAnsi="Calibri"/>
              </w:rPr>
              <w:t>Approximate desktop computer cost (544 USD) plus approximate office software cost (200 USD), rounded to nearest fifty. Desktop computer cost is approximate average worldwide (https://www.statista.com/statistics/203759/average-selling-price-of-desktop-pcs-worldwide/). Software cost is 2017 institutional monthly per-user licenses for Microsoft Windows and Office 365 Business.</w:t>
            </w:r>
          </w:p>
        </w:tc>
      </w:tr>
      <w:tr w:rsidR="007F45FB" w:rsidRPr="00B16211" w14:paraId="118E6406" w14:textId="77777777" w:rsidTr="001A00C6">
        <w:trPr>
          <w:cantSplit/>
          <w:trHeight w:val="300"/>
        </w:trPr>
        <w:tc>
          <w:tcPr>
            <w:tcW w:w="1702" w:type="dxa"/>
            <w:hideMark/>
          </w:tcPr>
          <w:p w14:paraId="2461DA6A"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Office broadband data plan</w:t>
            </w:r>
          </w:p>
        </w:tc>
        <w:tc>
          <w:tcPr>
            <w:tcW w:w="3336" w:type="dxa"/>
            <w:hideMark/>
          </w:tcPr>
          <w:p w14:paraId="5904E5B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Annual cost for office-wide broadband computer internet access (per office)</w:t>
            </w:r>
          </w:p>
        </w:tc>
        <w:tc>
          <w:tcPr>
            <w:tcW w:w="1974" w:type="dxa"/>
            <w:hideMark/>
          </w:tcPr>
          <w:p w14:paraId="2BEE0CE1"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600 USD per year</w:t>
            </w:r>
          </w:p>
        </w:tc>
        <w:tc>
          <w:tcPr>
            <w:tcW w:w="2346" w:type="dxa"/>
            <w:vAlign w:val="bottom"/>
            <w:hideMark/>
          </w:tcPr>
          <w:p w14:paraId="6670D453" w14:textId="373F149B" w:rsidR="007F45FB" w:rsidRPr="00B16211" w:rsidRDefault="007F45FB" w:rsidP="00B16211">
            <w:pPr>
              <w:rPr>
                <w:rFonts w:ascii="Calibri" w:eastAsia="Times New Roman" w:hAnsi="Calibri" w:cs="Calibri"/>
                <w:color w:val="000000"/>
              </w:rPr>
            </w:pPr>
            <w:r>
              <w:rPr>
                <w:rFonts w:ascii="Calibri" w:eastAsia="Times New Roman" w:hAnsi="Calibri"/>
                <w:color w:val="000000"/>
              </w:rPr>
              <w:t>Approximated annual broadband cost</w:t>
            </w:r>
            <w:r>
              <w:rPr>
                <w:rFonts w:ascii="Calibri" w:eastAsia="Times New Roman" w:hAnsi="Calibri"/>
                <w:color w:val="000000"/>
              </w:rPr>
              <w:br/>
              <w:t>(http://www.itu.int/en/ITU-D/Statistics/Documents/publications/misr2016/MISR2016-w4.pdf).</w:t>
            </w:r>
          </w:p>
        </w:tc>
      </w:tr>
      <w:tr w:rsidR="007F45FB" w:rsidRPr="00B16211" w14:paraId="457B4763" w14:textId="77777777" w:rsidTr="001A00C6">
        <w:trPr>
          <w:cantSplit/>
          <w:trHeight w:val="300"/>
        </w:trPr>
        <w:tc>
          <w:tcPr>
            <w:tcW w:w="1702" w:type="dxa"/>
            <w:hideMark/>
          </w:tcPr>
          <w:p w14:paraId="1E9FF4ED"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Office cost per square meter (to lease)</w:t>
            </w:r>
          </w:p>
        </w:tc>
        <w:tc>
          <w:tcPr>
            <w:tcW w:w="3336" w:type="dxa"/>
            <w:hideMark/>
          </w:tcPr>
          <w:p w14:paraId="7983EB28"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of leasing office space per square meter (tool calculations assume WHO-CHOICE estimate of 8 square meters per employee)</w:t>
            </w:r>
          </w:p>
        </w:tc>
        <w:tc>
          <w:tcPr>
            <w:tcW w:w="1974" w:type="dxa"/>
            <w:hideMark/>
          </w:tcPr>
          <w:p w14:paraId="54E14D2C"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135 USD per square meter per year</w:t>
            </w:r>
          </w:p>
        </w:tc>
        <w:tc>
          <w:tcPr>
            <w:tcW w:w="2346" w:type="dxa"/>
            <w:vAlign w:val="bottom"/>
            <w:hideMark/>
          </w:tcPr>
          <w:p w14:paraId="625A83B3" w14:textId="0A063E27"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space is rented. Annual rent cost estimated based on rent of large commercial building in Kilimani, Kenya (about 132 USD per square meter per month, rounded to nearest five). Source: http://www.buyrentkenya.com/</w:t>
            </w:r>
          </w:p>
        </w:tc>
      </w:tr>
      <w:tr w:rsidR="007F45FB" w:rsidRPr="00B16211" w14:paraId="7FFB1A47" w14:textId="77777777" w:rsidTr="001A00C6">
        <w:trPr>
          <w:cantSplit/>
          <w:trHeight w:val="300"/>
        </w:trPr>
        <w:tc>
          <w:tcPr>
            <w:tcW w:w="1702" w:type="dxa"/>
            <w:hideMark/>
          </w:tcPr>
          <w:p w14:paraId="256E873E"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Office cost per square meter (to buy)</w:t>
            </w:r>
          </w:p>
        </w:tc>
        <w:tc>
          <w:tcPr>
            <w:tcW w:w="3336" w:type="dxa"/>
            <w:hideMark/>
          </w:tcPr>
          <w:p w14:paraId="1C472D0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of purchasing office space per square meter (tool calculations assume WHO-CHOICE estimate of 8 square meters per employee)</w:t>
            </w:r>
          </w:p>
        </w:tc>
        <w:tc>
          <w:tcPr>
            <w:tcW w:w="1974" w:type="dxa"/>
            <w:hideMark/>
          </w:tcPr>
          <w:p w14:paraId="7197B87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1,580 USD per square meter</w:t>
            </w:r>
          </w:p>
        </w:tc>
        <w:tc>
          <w:tcPr>
            <w:tcW w:w="2346" w:type="dxa"/>
            <w:vAlign w:val="bottom"/>
            <w:hideMark/>
          </w:tcPr>
          <w:p w14:paraId="648C9348" w14:textId="6CCC48A6"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building is purchased. Purchase cost estimated based on cost of large commercial building in Kilimani, Kenya (about 1578.69 USD per square meter, rounded to nearest five). Source: http://www.buyrentkenya.com</w:t>
            </w:r>
          </w:p>
        </w:tc>
      </w:tr>
      <w:tr w:rsidR="007F45FB" w:rsidRPr="00B16211" w14:paraId="25405866" w14:textId="77777777" w:rsidTr="001A00C6">
        <w:trPr>
          <w:cantSplit/>
          <w:trHeight w:val="300"/>
        </w:trPr>
        <w:tc>
          <w:tcPr>
            <w:tcW w:w="1702" w:type="dxa"/>
            <w:hideMark/>
          </w:tcPr>
          <w:p w14:paraId="5F2C0FED"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Small print job</w:t>
            </w:r>
          </w:p>
        </w:tc>
        <w:tc>
          <w:tcPr>
            <w:tcW w:w="3336" w:type="dxa"/>
            <w:hideMark/>
          </w:tcPr>
          <w:p w14:paraId="386BD3EF"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per small print job (10 - 200 pages)</w:t>
            </w:r>
          </w:p>
        </w:tc>
        <w:tc>
          <w:tcPr>
            <w:tcW w:w="1974" w:type="dxa"/>
            <w:hideMark/>
          </w:tcPr>
          <w:p w14:paraId="1BAE53B0"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 USD per copy</w:t>
            </w:r>
          </w:p>
        </w:tc>
        <w:tc>
          <w:tcPr>
            <w:tcW w:w="2346" w:type="dxa"/>
            <w:vAlign w:val="bottom"/>
            <w:hideMark/>
          </w:tcPr>
          <w:p w14:paraId="09CD54F1" w14:textId="740BEDFB" w:rsidR="007F45FB" w:rsidRPr="00B16211" w:rsidRDefault="007F45FB" w:rsidP="00B16211">
            <w:pPr>
              <w:rPr>
                <w:rFonts w:ascii="Calibri" w:eastAsia="Times New Roman" w:hAnsi="Calibri" w:cs="Calibri"/>
              </w:rPr>
            </w:pPr>
            <w:r>
              <w:rPr>
                <w:rFonts w:ascii="Calibri" w:eastAsia="Times New Roman" w:hAnsi="Calibri"/>
              </w:rPr>
              <w:t>0.05 USD per page for 200 pages. Based on industry low-end estimate for black and white printing.</w:t>
            </w:r>
          </w:p>
        </w:tc>
      </w:tr>
      <w:tr w:rsidR="007F45FB" w:rsidRPr="00B16211" w14:paraId="64179346" w14:textId="77777777" w:rsidTr="001A00C6">
        <w:trPr>
          <w:cantSplit/>
          <w:trHeight w:val="300"/>
        </w:trPr>
        <w:tc>
          <w:tcPr>
            <w:tcW w:w="1702" w:type="dxa"/>
            <w:hideMark/>
          </w:tcPr>
          <w:p w14:paraId="308C1965"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Large print job</w:t>
            </w:r>
          </w:p>
        </w:tc>
        <w:tc>
          <w:tcPr>
            <w:tcW w:w="3336" w:type="dxa"/>
            <w:hideMark/>
          </w:tcPr>
          <w:p w14:paraId="09B71774"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per large print job (&gt; 200 pages)</w:t>
            </w:r>
          </w:p>
        </w:tc>
        <w:tc>
          <w:tcPr>
            <w:tcW w:w="1974" w:type="dxa"/>
            <w:hideMark/>
          </w:tcPr>
          <w:p w14:paraId="500B75DC"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25 USD per copy</w:t>
            </w:r>
          </w:p>
        </w:tc>
        <w:tc>
          <w:tcPr>
            <w:tcW w:w="2346" w:type="dxa"/>
            <w:vAlign w:val="bottom"/>
            <w:hideMark/>
          </w:tcPr>
          <w:p w14:paraId="62B56604" w14:textId="08B5A2C2" w:rsidR="007F45FB" w:rsidRPr="00B16211" w:rsidRDefault="007F45FB" w:rsidP="00B16211">
            <w:pPr>
              <w:rPr>
                <w:rFonts w:ascii="Calibri" w:eastAsia="Times New Roman" w:hAnsi="Calibri" w:cs="Calibri"/>
              </w:rPr>
            </w:pPr>
            <w:r>
              <w:rPr>
                <w:rFonts w:ascii="Calibri" w:eastAsia="Times New Roman" w:hAnsi="Calibri"/>
              </w:rPr>
              <w:t>0.05 USD per page for 500 pages. Based on industry low-end estimate for black and white printing.</w:t>
            </w:r>
          </w:p>
        </w:tc>
      </w:tr>
      <w:tr w:rsidR="007F45FB" w:rsidRPr="00B16211" w14:paraId="0430DEE1" w14:textId="77777777" w:rsidTr="001A00C6">
        <w:trPr>
          <w:cantSplit/>
          <w:trHeight w:val="300"/>
        </w:trPr>
        <w:tc>
          <w:tcPr>
            <w:tcW w:w="1702" w:type="dxa"/>
            <w:hideMark/>
          </w:tcPr>
          <w:p w14:paraId="7779CCE0"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Meeting - Small</w:t>
            </w:r>
          </w:p>
        </w:tc>
        <w:tc>
          <w:tcPr>
            <w:tcW w:w="3336" w:type="dxa"/>
            <w:hideMark/>
          </w:tcPr>
          <w:p w14:paraId="16B5B586"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to hold a small, full-day meeting, including those that are training sessions or workshops, assuming 15 attendees</w:t>
            </w:r>
          </w:p>
        </w:tc>
        <w:tc>
          <w:tcPr>
            <w:tcW w:w="1974" w:type="dxa"/>
            <w:hideMark/>
          </w:tcPr>
          <w:p w14:paraId="54018ACE"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500 USD per day</w:t>
            </w:r>
          </w:p>
        </w:tc>
        <w:tc>
          <w:tcPr>
            <w:tcW w:w="2346" w:type="dxa"/>
            <w:vAlign w:val="bottom"/>
            <w:hideMark/>
          </w:tcPr>
          <w:p w14:paraId="5A36D25B" w14:textId="7AF7581E"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about 30 to 35 USD per person, which includes approximate cost of stationery, refreshments, other incidentals, and venue; does not include per diems.</w:t>
            </w:r>
          </w:p>
        </w:tc>
      </w:tr>
      <w:tr w:rsidR="007F45FB" w:rsidRPr="00B16211" w14:paraId="26BCA1FF" w14:textId="77777777" w:rsidTr="001A00C6">
        <w:trPr>
          <w:cantSplit/>
          <w:trHeight w:val="300"/>
        </w:trPr>
        <w:tc>
          <w:tcPr>
            <w:tcW w:w="1702" w:type="dxa"/>
            <w:hideMark/>
          </w:tcPr>
          <w:p w14:paraId="61E30DD7"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t>Meeting - Medium</w:t>
            </w:r>
          </w:p>
        </w:tc>
        <w:tc>
          <w:tcPr>
            <w:tcW w:w="3336" w:type="dxa"/>
            <w:hideMark/>
          </w:tcPr>
          <w:p w14:paraId="5E96E278"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to hold a medium, full-day meeting, including those that are training sessions or workshops, assuming 30 attendees</w:t>
            </w:r>
          </w:p>
        </w:tc>
        <w:tc>
          <w:tcPr>
            <w:tcW w:w="1974" w:type="dxa"/>
            <w:hideMark/>
          </w:tcPr>
          <w:p w14:paraId="5D7B0EFA"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1,000 USD per day</w:t>
            </w:r>
          </w:p>
        </w:tc>
        <w:tc>
          <w:tcPr>
            <w:tcW w:w="2346" w:type="dxa"/>
            <w:vAlign w:val="bottom"/>
            <w:hideMark/>
          </w:tcPr>
          <w:p w14:paraId="54FA708D" w14:textId="599FF01F"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about 30 to 35 USD per person, which includes approximate cost of stationery, refreshments, other incidentals, and venue; does not include per diems.</w:t>
            </w:r>
          </w:p>
        </w:tc>
      </w:tr>
      <w:tr w:rsidR="007F45FB" w:rsidRPr="00B16211" w14:paraId="64307323" w14:textId="77777777" w:rsidTr="001A00C6">
        <w:trPr>
          <w:cantSplit/>
          <w:trHeight w:val="300"/>
        </w:trPr>
        <w:tc>
          <w:tcPr>
            <w:tcW w:w="1702" w:type="dxa"/>
            <w:hideMark/>
          </w:tcPr>
          <w:p w14:paraId="2D9F8622" w14:textId="77777777" w:rsidR="007F45FB" w:rsidRPr="00B16211" w:rsidRDefault="007F45FB" w:rsidP="00B16211">
            <w:pPr>
              <w:rPr>
                <w:rFonts w:ascii="Calibri" w:eastAsia="Times New Roman" w:hAnsi="Calibri" w:cs="Calibri"/>
                <w:b/>
                <w:bCs/>
                <w:color w:val="000000"/>
              </w:rPr>
            </w:pPr>
            <w:r w:rsidRPr="00B16211">
              <w:rPr>
                <w:rFonts w:ascii="Calibri" w:eastAsia="Times New Roman" w:hAnsi="Calibri" w:cs="Calibri"/>
                <w:b/>
                <w:bCs/>
                <w:color w:val="000000"/>
              </w:rPr>
              <w:lastRenderedPageBreak/>
              <w:t>Meeting - Large</w:t>
            </w:r>
          </w:p>
        </w:tc>
        <w:tc>
          <w:tcPr>
            <w:tcW w:w="3336" w:type="dxa"/>
            <w:hideMark/>
          </w:tcPr>
          <w:p w14:paraId="5BE99FAA"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Cost to hold a large, full-day meeting, including those that are training sessions or workshops, assuming 85 attendees</w:t>
            </w:r>
          </w:p>
        </w:tc>
        <w:tc>
          <w:tcPr>
            <w:tcW w:w="1974" w:type="dxa"/>
            <w:hideMark/>
          </w:tcPr>
          <w:p w14:paraId="2C9F2A61"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3,000 USD per day</w:t>
            </w:r>
          </w:p>
        </w:tc>
        <w:tc>
          <w:tcPr>
            <w:tcW w:w="2346" w:type="dxa"/>
            <w:vAlign w:val="bottom"/>
            <w:hideMark/>
          </w:tcPr>
          <w:p w14:paraId="71299B1C" w14:textId="67CBC07B" w:rsidR="007F45FB" w:rsidRPr="00B16211" w:rsidRDefault="007F45FB" w:rsidP="00B16211">
            <w:pPr>
              <w:rPr>
                <w:rFonts w:ascii="Calibri" w:eastAsia="Times New Roman" w:hAnsi="Calibri" w:cs="Calibri"/>
                <w:color w:val="000000"/>
              </w:rPr>
            </w:pPr>
            <w:r>
              <w:rPr>
                <w:rFonts w:ascii="Calibri" w:eastAsia="Times New Roman" w:hAnsi="Calibri"/>
                <w:color w:val="000000"/>
              </w:rPr>
              <w:t>Assumes about 30 to 35 USD per person, which includes approximate cost of stationery, refreshments, other incidentals, and venue; does not include per diems.</w:t>
            </w:r>
          </w:p>
        </w:tc>
      </w:tr>
      <w:tr w:rsidR="007F45FB" w:rsidRPr="00B16211" w14:paraId="57416A06" w14:textId="77777777" w:rsidTr="001A00C6">
        <w:trPr>
          <w:cantSplit/>
          <w:trHeight w:val="300"/>
        </w:trPr>
        <w:tc>
          <w:tcPr>
            <w:tcW w:w="1702" w:type="dxa"/>
            <w:hideMark/>
          </w:tcPr>
          <w:p w14:paraId="31BDEA32" w14:textId="77777777" w:rsidR="007F45FB" w:rsidRPr="00B16211" w:rsidRDefault="007F45FB" w:rsidP="00B16211">
            <w:pPr>
              <w:rPr>
                <w:rFonts w:ascii="Calibri" w:eastAsia="Times New Roman" w:hAnsi="Calibri" w:cs="Calibri"/>
                <w:b/>
                <w:bCs/>
              </w:rPr>
            </w:pPr>
            <w:r w:rsidRPr="00B16211">
              <w:rPr>
                <w:rFonts w:ascii="Calibri" w:eastAsia="Times New Roman" w:hAnsi="Calibri" w:cs="Calibri"/>
                <w:b/>
                <w:bCs/>
              </w:rPr>
              <w:t>Per diem for meeting - Domestic</w:t>
            </w:r>
          </w:p>
        </w:tc>
        <w:tc>
          <w:tcPr>
            <w:tcW w:w="3336" w:type="dxa"/>
            <w:hideMark/>
          </w:tcPr>
          <w:p w14:paraId="5DCE49E4"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Domestic per diem for attendees of meetings (cost per person)</w:t>
            </w:r>
          </w:p>
        </w:tc>
        <w:tc>
          <w:tcPr>
            <w:tcW w:w="1974" w:type="dxa"/>
            <w:hideMark/>
          </w:tcPr>
          <w:p w14:paraId="4DF5A5D7"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105 USD per day</w:t>
            </w:r>
          </w:p>
        </w:tc>
        <w:tc>
          <w:tcPr>
            <w:tcW w:w="2346" w:type="dxa"/>
            <w:vAlign w:val="bottom"/>
            <w:hideMark/>
          </w:tcPr>
          <w:p w14:paraId="63E8062A" w14:textId="4B3D30EC" w:rsidR="007F45FB" w:rsidRPr="00B16211" w:rsidRDefault="007F45FB" w:rsidP="00B16211">
            <w:pPr>
              <w:rPr>
                <w:rFonts w:ascii="Calibri" w:eastAsia="Times New Roman" w:hAnsi="Calibri" w:cs="Calibri"/>
              </w:rPr>
            </w:pPr>
            <w:r>
              <w:rPr>
                <w:rFonts w:ascii="Calibri" w:eastAsia="Times New Roman" w:hAnsi="Calibri"/>
              </w:rPr>
              <w:t>Default domestic per diem (105 USD) is WHO-CHOICE National-Level Per Diem in USD 2017 (http://www.who.int/choice/costs/prog_costs/en/index10.html).</w:t>
            </w:r>
          </w:p>
        </w:tc>
      </w:tr>
      <w:tr w:rsidR="007F45FB" w:rsidRPr="00B16211" w14:paraId="7C163884" w14:textId="77777777" w:rsidTr="001A00C6">
        <w:trPr>
          <w:cantSplit/>
          <w:trHeight w:val="300"/>
        </w:trPr>
        <w:tc>
          <w:tcPr>
            <w:tcW w:w="1702" w:type="dxa"/>
            <w:hideMark/>
          </w:tcPr>
          <w:p w14:paraId="038D502F" w14:textId="77777777" w:rsidR="007F45FB" w:rsidRPr="00B16211" w:rsidRDefault="007F45FB" w:rsidP="00B16211">
            <w:pPr>
              <w:rPr>
                <w:rFonts w:ascii="Calibri" w:eastAsia="Times New Roman" w:hAnsi="Calibri" w:cs="Calibri"/>
                <w:b/>
                <w:bCs/>
              </w:rPr>
            </w:pPr>
            <w:r w:rsidRPr="00B16211">
              <w:rPr>
                <w:rFonts w:ascii="Calibri" w:eastAsia="Times New Roman" w:hAnsi="Calibri" w:cs="Calibri"/>
                <w:b/>
                <w:bCs/>
              </w:rPr>
              <w:t>Per diem for meeting - International</w:t>
            </w:r>
          </w:p>
        </w:tc>
        <w:tc>
          <w:tcPr>
            <w:tcW w:w="3336" w:type="dxa"/>
            <w:hideMark/>
          </w:tcPr>
          <w:p w14:paraId="5F49D30B"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International per diem for attendees of meetings (cost per person)</w:t>
            </w:r>
          </w:p>
        </w:tc>
        <w:tc>
          <w:tcPr>
            <w:tcW w:w="1974" w:type="dxa"/>
            <w:hideMark/>
          </w:tcPr>
          <w:p w14:paraId="2E324123" w14:textId="77777777" w:rsidR="007F45FB" w:rsidRPr="00B16211" w:rsidRDefault="007F45FB" w:rsidP="00B16211">
            <w:pPr>
              <w:rPr>
                <w:rFonts w:ascii="Calibri" w:eastAsia="Times New Roman" w:hAnsi="Calibri" w:cs="Calibri"/>
                <w:color w:val="000000"/>
              </w:rPr>
            </w:pPr>
            <w:r w:rsidRPr="00B16211">
              <w:rPr>
                <w:rFonts w:ascii="Calibri" w:eastAsia="Times New Roman" w:hAnsi="Calibri" w:cs="Calibri"/>
                <w:color w:val="000000"/>
              </w:rPr>
              <w:t>298 USD per day</w:t>
            </w:r>
          </w:p>
        </w:tc>
        <w:tc>
          <w:tcPr>
            <w:tcW w:w="2346" w:type="dxa"/>
            <w:vAlign w:val="bottom"/>
            <w:hideMark/>
          </w:tcPr>
          <w:p w14:paraId="58F9A405" w14:textId="3314E688" w:rsidR="007F45FB" w:rsidRPr="00B16211" w:rsidRDefault="007F45FB" w:rsidP="00B16211">
            <w:pPr>
              <w:rPr>
                <w:rFonts w:ascii="Calibri" w:eastAsia="Times New Roman" w:hAnsi="Calibri" w:cs="Calibri"/>
              </w:rPr>
            </w:pPr>
            <w:r>
              <w:rPr>
                <w:rFonts w:ascii="Calibri" w:eastAsia="Times New Roman" w:hAnsi="Calibri"/>
              </w:rPr>
              <w:t>Default international per diem (298 USD) is official WHO/UN per diem for Nairobi, Kenya (http://apps.who.int/bfi/tsy/PerDiem.aspx).</w:t>
            </w:r>
          </w:p>
        </w:tc>
      </w:tr>
    </w:tbl>
    <w:p w14:paraId="7B8324F3" w14:textId="77777777" w:rsidR="00B16211" w:rsidRPr="00B16211" w:rsidRDefault="00B16211" w:rsidP="00B16211"/>
    <w:sectPr w:rsidR="00B16211" w:rsidRPr="00B1621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09C59" w14:textId="77777777" w:rsidR="001F4714" w:rsidRDefault="001F4714" w:rsidP="00CE0BEE">
      <w:pPr>
        <w:spacing w:after="0" w:line="240" w:lineRule="auto"/>
      </w:pPr>
      <w:r>
        <w:separator/>
      </w:r>
    </w:p>
  </w:endnote>
  <w:endnote w:type="continuationSeparator" w:id="0">
    <w:p w14:paraId="1D9B327B" w14:textId="77777777" w:rsidR="001F4714" w:rsidRDefault="001F4714" w:rsidP="00CE0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249"/>
      <w:docPartObj>
        <w:docPartGallery w:val="Page Numbers (Bottom of Page)"/>
        <w:docPartUnique/>
      </w:docPartObj>
    </w:sdtPr>
    <w:sdtEndPr/>
    <w:sdtContent>
      <w:sdt>
        <w:sdtPr>
          <w:id w:val="1728636285"/>
          <w:docPartObj>
            <w:docPartGallery w:val="Page Numbers (Top of Page)"/>
            <w:docPartUnique/>
          </w:docPartObj>
        </w:sdtPr>
        <w:sdtEndPr/>
        <w:sdtContent>
          <w:p w14:paraId="4D37B506" w14:textId="3A90C07B" w:rsidR="00CE0BEE" w:rsidRDefault="00CE0BE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D505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D505B">
              <w:rPr>
                <w:b/>
                <w:bCs/>
                <w:noProof/>
              </w:rPr>
              <w:t>6</w:t>
            </w:r>
            <w:r>
              <w:rPr>
                <w:b/>
                <w:bCs/>
                <w:sz w:val="24"/>
                <w:szCs w:val="24"/>
              </w:rPr>
              <w:fldChar w:fldCharType="end"/>
            </w:r>
          </w:p>
        </w:sdtContent>
      </w:sdt>
    </w:sdtContent>
  </w:sdt>
  <w:p w14:paraId="432B97FE" w14:textId="77777777" w:rsidR="00CE0BEE" w:rsidRDefault="00CE0B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24B49" w14:textId="77777777" w:rsidR="001F4714" w:rsidRDefault="001F4714" w:rsidP="00CE0BEE">
      <w:pPr>
        <w:spacing w:after="0" w:line="240" w:lineRule="auto"/>
      </w:pPr>
      <w:r>
        <w:separator/>
      </w:r>
    </w:p>
  </w:footnote>
  <w:footnote w:type="continuationSeparator" w:id="0">
    <w:p w14:paraId="419DD068" w14:textId="77777777" w:rsidR="001F4714" w:rsidRDefault="001F4714" w:rsidP="00CE0B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9A9"/>
    <w:rsid w:val="000D3867"/>
    <w:rsid w:val="001066C8"/>
    <w:rsid w:val="00166102"/>
    <w:rsid w:val="001A00C6"/>
    <w:rsid w:val="001F4714"/>
    <w:rsid w:val="002F45D5"/>
    <w:rsid w:val="00386324"/>
    <w:rsid w:val="004139A9"/>
    <w:rsid w:val="00463369"/>
    <w:rsid w:val="004C49C3"/>
    <w:rsid w:val="004E5FC8"/>
    <w:rsid w:val="00563EA7"/>
    <w:rsid w:val="00743459"/>
    <w:rsid w:val="00780463"/>
    <w:rsid w:val="007D505B"/>
    <w:rsid w:val="007F45FB"/>
    <w:rsid w:val="008B54EB"/>
    <w:rsid w:val="008D3E3D"/>
    <w:rsid w:val="009215F6"/>
    <w:rsid w:val="00B16211"/>
    <w:rsid w:val="00B27451"/>
    <w:rsid w:val="00B9453B"/>
    <w:rsid w:val="00B96906"/>
    <w:rsid w:val="00C43DDE"/>
    <w:rsid w:val="00CE0BEE"/>
    <w:rsid w:val="00E82276"/>
    <w:rsid w:val="00EF6EE8"/>
    <w:rsid w:val="00F00EC5"/>
    <w:rsid w:val="00F24CA6"/>
    <w:rsid w:val="00F26F4B"/>
    <w:rsid w:val="00F5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8913"/>
  <w15:chartTrackingRefBased/>
  <w15:docId w15:val="{1D3AD5BA-A201-4F0E-B67D-1B0C8FB9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2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6211"/>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16211"/>
    <w:rPr>
      <w:sz w:val="16"/>
      <w:szCs w:val="16"/>
    </w:rPr>
  </w:style>
  <w:style w:type="paragraph" w:styleId="CommentText">
    <w:name w:val="annotation text"/>
    <w:basedOn w:val="Normal"/>
    <w:link w:val="CommentTextChar"/>
    <w:uiPriority w:val="99"/>
    <w:semiHidden/>
    <w:unhideWhenUsed/>
    <w:rsid w:val="00B16211"/>
    <w:pPr>
      <w:spacing w:line="240" w:lineRule="auto"/>
    </w:pPr>
    <w:rPr>
      <w:sz w:val="20"/>
      <w:szCs w:val="20"/>
    </w:rPr>
  </w:style>
  <w:style w:type="character" w:customStyle="1" w:styleId="CommentTextChar">
    <w:name w:val="Comment Text Char"/>
    <w:basedOn w:val="DefaultParagraphFont"/>
    <w:link w:val="CommentText"/>
    <w:uiPriority w:val="99"/>
    <w:semiHidden/>
    <w:rsid w:val="00B16211"/>
    <w:rPr>
      <w:sz w:val="20"/>
      <w:szCs w:val="20"/>
    </w:rPr>
  </w:style>
  <w:style w:type="paragraph" w:styleId="CommentSubject">
    <w:name w:val="annotation subject"/>
    <w:basedOn w:val="CommentText"/>
    <w:next w:val="CommentText"/>
    <w:link w:val="CommentSubjectChar"/>
    <w:uiPriority w:val="99"/>
    <w:semiHidden/>
    <w:unhideWhenUsed/>
    <w:rsid w:val="00B16211"/>
    <w:rPr>
      <w:b/>
      <w:bCs/>
    </w:rPr>
  </w:style>
  <w:style w:type="character" w:customStyle="1" w:styleId="CommentSubjectChar">
    <w:name w:val="Comment Subject Char"/>
    <w:basedOn w:val="CommentTextChar"/>
    <w:link w:val="CommentSubject"/>
    <w:uiPriority w:val="99"/>
    <w:semiHidden/>
    <w:rsid w:val="00B16211"/>
    <w:rPr>
      <w:b/>
      <w:bCs/>
      <w:sz w:val="20"/>
      <w:szCs w:val="20"/>
    </w:rPr>
  </w:style>
  <w:style w:type="paragraph" w:styleId="BalloonText">
    <w:name w:val="Balloon Text"/>
    <w:basedOn w:val="Normal"/>
    <w:link w:val="BalloonTextChar"/>
    <w:uiPriority w:val="99"/>
    <w:semiHidden/>
    <w:unhideWhenUsed/>
    <w:rsid w:val="00B162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211"/>
    <w:rPr>
      <w:rFonts w:ascii="Segoe UI" w:hAnsi="Segoe UI" w:cs="Segoe UI"/>
      <w:sz w:val="18"/>
      <w:szCs w:val="18"/>
    </w:rPr>
  </w:style>
  <w:style w:type="table" w:styleId="TableGrid">
    <w:name w:val="Table Grid"/>
    <w:basedOn w:val="TableNormal"/>
    <w:uiPriority w:val="39"/>
    <w:rsid w:val="00386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0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BEE"/>
  </w:style>
  <w:style w:type="paragraph" w:styleId="Footer">
    <w:name w:val="footer"/>
    <w:basedOn w:val="Normal"/>
    <w:link w:val="FooterChar"/>
    <w:uiPriority w:val="99"/>
    <w:unhideWhenUsed/>
    <w:rsid w:val="00CE0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24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1217</Words>
  <Characters>6941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Maele</dc:creator>
  <cp:keywords/>
  <dc:description/>
  <cp:lastModifiedBy>Michael Van Maele</cp:lastModifiedBy>
  <cp:revision>2</cp:revision>
  <cp:lastPrinted>2017-10-11T23:14:00Z</cp:lastPrinted>
  <dcterms:created xsi:type="dcterms:W3CDTF">2018-09-07T21:44:00Z</dcterms:created>
  <dcterms:modified xsi:type="dcterms:W3CDTF">2018-09-07T21:44:00Z</dcterms:modified>
</cp:coreProperties>
</file>