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setContentView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setContentView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תתקבל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אבוקייטים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Manifest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uses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permission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ההרשאה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i w:val="1"/>
          <w:rtl w:val="0"/>
        </w:rPr>
        <w:t xml:space="preserve">&lt;uses-permission android:name="android.permission.INTERNET" &gt;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i w:val="1"/>
          <w:rtl w:val="0"/>
        </w:rPr>
        <w:t xml:space="preserve"> &lt;/uses-permission&gt;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המתודה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setOnClickListener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רגיסטרציה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הרגיסטרציה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העכבר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setOnClickListener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Activities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ListView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menu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המשאבים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resources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ומכאן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Eclips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התכנית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האנדרואיד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"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-"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"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ViewGroup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אובייקטי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ישומוני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וקבוצת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Eclips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כמשאב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המשאבים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אלטרנטיבות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המודולריות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Pause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בפוקוס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מוסתרת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/>
      </w:pP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כשה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הדיאגרמה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2910545</wp:posOffset>
            </wp:positionH>
            <wp:positionV relativeFrom="paragraph">
              <wp:posOffset>85725</wp:posOffset>
            </wp:positionV>
            <wp:extent cx="3204505" cy="3100388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4505" cy="3100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המתודות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callback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המופעלות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תפקידו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Activitys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חומרתי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Explicit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הסוג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תאתר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Activity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החומרתי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Intent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Category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ADT -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Android Development 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אנדרואיד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מאפשר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שימוש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בתוסף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plugin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בעבור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אקליפס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הקרוי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בשם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Android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Development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Tools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‏ (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ADT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).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תוסף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זה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מעוצב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על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מנת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לספק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לך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כלי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פיתוח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חזקים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המשולבים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בתוך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סביבת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הפיתוח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ומאפשרים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לך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לפתח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במהירות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פרוייקטים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לבנות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ממשק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משתמש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,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לנקות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באגים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ויצא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מארזים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להפצה</w:t>
      </w:r>
      <w:r w:rsidDel="00000000" w:rsidR="00000000" w:rsidRPr="00000000">
        <w:rPr>
          <w:color w:val="252525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APK - Android application package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AVD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 Virtual Device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60" w:line="337.4608695652174" w:lineRule="auto"/>
        <w:contextualSpacing w:val="0"/>
        <w:jc w:val="left"/>
      </w:pP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Eclips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אנדרואיד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eveloper.android.com/reference/android/view/View.html" TargetMode="External"/><Relationship Id="rId6" Type="http://schemas.openxmlformats.org/officeDocument/2006/relationships/hyperlink" Target="http://developer.android.com/reference/android/view/ViewGroup.html" TargetMode="External"/><Relationship Id="rId7" Type="http://schemas.openxmlformats.org/officeDocument/2006/relationships/image" Target="media/image01.png"/></Relationships>
</file>