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520" w:after="80"/>
        <w:jc w:val="right"/>
      </w:pPr>
      <w:r>
        <w:rPr>
          <w:rFonts w:ascii="Arial" w:hAnsi="Arial" w:cs="Arial"/>
          <w:b/>
          <w:color w:val="1F4D78"/>
          <w:sz w:val="50"/>
        </w:rPr>
        <w:t>ספר פרויקט — Predictor1</w:t>
      </w:r>
    </w:p>
    <w:p>
      <w:pPr>
        <w:bidi/>
        <w:spacing w:after="400"/>
        <w:jc w:val="right"/>
      </w:pPr>
      <w:r>
        <w:rPr>
          <w:rFonts w:ascii="Arial" w:hAnsi="Arial" w:cs="Arial"/>
          <w:b w:val="0"/>
          <w:color w:val="5A5A5A"/>
          <w:sz w:val="28"/>
        </w:rPr>
        <w:t>אפליקציית ווב בעברית לניהול ליגות פרטיות של ניחושי תוצאות כדורגל</w:t>
      </w:r>
    </w:p>
    <w:p>
      <w:pPr>
        <w:pStyle w:val="Heading1"/>
        <w:bidi/>
        <w:spacing w:before="320" w:after="160"/>
        <w:jc w:val="right"/>
      </w:pPr>
      <w:r>
        <w:rPr>
          <w:rFonts w:ascii="Arial" w:hAnsi="Arial" w:cs="Arial"/>
          <w:b/>
          <w:color w:val="2E74B5"/>
          <w:sz w:val="32"/>
        </w:rPr>
        <w:t>מיקוד גרסת הקורס</w:t>
      </w:r>
    </w:p>
    <w:p>
      <w:pPr>
        <w:bidi/>
        <w:spacing w:after="120" w:line="264" w:lineRule="auto"/>
        <w:jc w:val="right"/>
      </w:pPr>
      <w:r>
        <w:rPr>
          <w:rFonts w:ascii="Arial" w:hAnsi="Arial" w:cs="Arial"/>
          <w:b w:val="0"/>
          <w:sz w:val="22"/>
        </w:rPr>
        <w:t>בשל הזמן שנותר עד ההגשה ב־6 בספטמבר 2026, גרסת הקורס ממוקדת בליבת המוצר ובתוצרי הקורס. ההחלטה מצמצמת סיכון חיצוני ומאפשרת להשלים את הזרימות, האבטחה, העיצוב והבדיקות באיכות הנדרשת.</w:t>
      </w:r>
    </w:p>
    <w:p>
      <w:pPr>
        <w:bidi/>
        <w:spacing w:after="120" w:line="264" w:lineRule="auto"/>
        <w:jc w:val="right"/>
      </w:pPr>
      <w:r>
        <w:rPr>
          <w:rFonts w:ascii="Arial" w:hAnsi="Arial" w:cs="Arial"/>
          <w:b/>
          <w:color w:val="1F4D78"/>
          <w:sz w:val="22"/>
        </w:rPr>
        <w:t>מסך המשחק מציג נתונים שמורים ומאומתים בלבד. אין במוצר שירות חיצוני נוסף שאינו נדרש לליבת ליגת הניחושים.</w:t>
      </w:r>
    </w:p>
    <w:p>
      <w:pPr>
        <w:pStyle w:val="Heading1"/>
        <w:bidi/>
        <w:spacing w:before="320" w:after="160"/>
        <w:jc w:val="right"/>
      </w:pPr>
      <w:r>
        <w:rPr>
          <w:rFonts w:ascii="Arial" w:hAnsi="Arial" w:cs="Arial"/>
          <w:b/>
          <w:color w:val="2E74B5"/>
          <w:sz w:val="32"/>
        </w:rPr>
        <w:t>מטרת המוצר</w:t>
      </w:r>
    </w:p>
    <w:p>
      <w:pPr>
        <w:bidi/>
        <w:spacing w:after="120" w:line="264" w:lineRule="auto"/>
        <w:jc w:val="right"/>
      </w:pPr>
      <w:r>
        <w:rPr>
          <w:rFonts w:ascii="Arial" w:hAnsi="Arial" w:cs="Arial"/>
          <w:b w:val="0"/>
          <w:sz w:val="22"/>
        </w:rPr>
        <w:t>המערכת מרכזת תהליך שנוהל ידנית: יצירת ליגה, הזמנה, בקשת הצטרפות, אסמכתאת הדגמה פרטית, אישור, ניחוש לפני נעילה, תוצאה, ניקוד, דירוג ודוח חלוקת פרסים. המערכת אינה מחזיקה או מעבירה כסף.</w:t>
      </w:r>
    </w:p>
    <w:p>
      <w:pPr>
        <w:pStyle w:val="Heading1"/>
        <w:bidi/>
        <w:spacing w:before="320" w:after="160"/>
        <w:jc w:val="right"/>
      </w:pPr>
      <w:r>
        <w:rPr>
          <w:rFonts w:ascii="Arial" w:hAnsi="Arial" w:cs="Arial"/>
          <w:b/>
          <w:color w:val="2E74B5"/>
          <w:sz w:val="32"/>
        </w:rPr>
        <w:t>היקף גרסת הקורס</w:t>
      </w:r>
    </w:p>
    <w:p>
      <w:pPr>
        <w:pStyle w:val="ListBullet"/>
        <w:bidi/>
        <w:spacing w:after="160" w:line="280" w:lineRule="auto"/>
        <w:ind w:left="720" w:hanging="360"/>
        <w:jc w:val="right"/>
      </w:pPr>
      <w:r>
        <w:rPr>
          <w:rFonts w:ascii="Arial" w:hAnsi="Arial" w:cs="Arial"/>
          <w:b w:val="0"/>
          <w:sz w:val="22"/>
        </w:rPr>
        <w:t>אימות משתמשים ופרופיל בסיסי.</w:t>
      </w:r>
    </w:p>
    <w:p>
      <w:pPr>
        <w:pStyle w:val="ListBullet"/>
        <w:bidi/>
        <w:spacing w:after="160" w:line="280" w:lineRule="auto"/>
        <w:ind w:left="720" w:hanging="360"/>
        <w:jc w:val="right"/>
      </w:pPr>
      <w:r>
        <w:rPr>
          <w:rFonts w:ascii="Arial" w:hAnsi="Arial" w:cs="Arial"/>
          <w:b w:val="0"/>
          <w:sz w:val="22"/>
        </w:rPr>
        <w:t>ליגות פרטיות, חוקי ניקוד 3/1/0 וחלוקת פרסים להדגמה.</w:t>
      </w:r>
    </w:p>
    <w:p>
      <w:pPr>
        <w:pStyle w:val="ListBullet"/>
        <w:bidi/>
        <w:spacing w:after="160" w:line="280" w:lineRule="auto"/>
        <w:ind w:left="720" w:hanging="360"/>
        <w:jc w:val="right"/>
      </w:pPr>
      <w:r>
        <w:rPr>
          <w:rFonts w:ascii="Arial" w:hAnsi="Arial" w:cs="Arial"/>
          <w:b w:val="0"/>
          <w:sz w:val="22"/>
        </w:rPr>
        <w:t>הזמנות, בקשות הצטרפות והיסטוריית אסמכתאות תמונה פרטית.</w:t>
      </w:r>
    </w:p>
    <w:p>
      <w:pPr>
        <w:pStyle w:val="ListBullet"/>
        <w:bidi/>
        <w:spacing w:after="160" w:line="280" w:lineRule="auto"/>
        <w:ind w:left="720" w:hanging="360"/>
        <w:jc w:val="right"/>
      </w:pPr>
      <w:r>
        <w:rPr>
          <w:rFonts w:ascii="Arial" w:hAnsi="Arial" w:cs="Arial"/>
          <w:b w:val="0"/>
          <w:sz w:val="22"/>
        </w:rPr>
        <w:t>משחקים ותוצאות עם ספק ספורט חי ומסלול ידני מחייב.</w:t>
      </w:r>
    </w:p>
    <w:p>
      <w:pPr>
        <w:pStyle w:val="ListBullet"/>
        <w:bidi/>
        <w:spacing w:after="160" w:line="280" w:lineRule="auto"/>
        <w:ind w:left="720" w:hanging="360"/>
        <w:jc w:val="right"/>
      </w:pPr>
      <w:r>
        <w:rPr>
          <w:rFonts w:ascii="Arial" w:hAnsi="Arial" w:cs="Arial"/>
          <w:b w:val="0"/>
          <w:sz w:val="22"/>
        </w:rPr>
        <w:t>ניחושים, נעילה לפי זמן מסד הנתונים והסתרה לפני שריקת הפתיחה.</w:t>
      </w:r>
    </w:p>
    <w:p>
      <w:pPr>
        <w:pStyle w:val="ListBullet"/>
        <w:bidi/>
        <w:spacing w:after="160" w:line="280" w:lineRule="auto"/>
        <w:ind w:left="720" w:hanging="360"/>
        <w:jc w:val="right"/>
      </w:pPr>
      <w:r>
        <w:rPr>
          <w:rFonts w:ascii="Arial" w:hAnsi="Arial" w:cs="Arial"/>
          <w:b w:val="0"/>
          <w:sz w:val="22"/>
        </w:rPr>
        <w:t>ניקוד דטרמיניסטי, דירוג, שוויון ודוחות הדגמה.</w:t>
      </w:r>
    </w:p>
    <w:p>
      <w:r>
        <w:br w:type="page"/>
      </w:r>
    </w:p>
    <w:p>
      <w:pPr>
        <w:pStyle w:val="Heading1"/>
        <w:bidi/>
        <w:spacing w:before="320" w:after="160"/>
        <w:jc w:val="right"/>
      </w:pPr>
      <w:r>
        <w:rPr>
          <w:rFonts w:ascii="Arial" w:hAnsi="Arial" w:cs="Arial"/>
          <w:b/>
          <w:color w:val="2E74B5"/>
          <w:sz w:val="32"/>
        </w:rPr>
        <w:t>ארכיטקטורה וגבולות אבטחה</w:t>
      </w:r>
    </w:p>
    <w:p>
      <w:pPr>
        <w:bidi/>
        <w:spacing w:after="120" w:line="264" w:lineRule="auto"/>
        <w:jc w:val="right"/>
      </w:pPr>
      <w:r>
        <w:rPr>
          <w:rFonts w:ascii="Arial" w:hAnsi="Arial" w:cs="Arial"/>
          <w:b w:val="0"/>
          <w:sz w:val="22"/>
        </w:rPr>
        <w:t>המערכת היא מונוליט מודולרי יחיד: הדפדפן, הממשק והשרת נשארים באותו יישום. קריאות נעשות ברכיבי שרת, שינויים בפעולות שרת וכניסות רשת בנתיבים ייעודיים. היישום נפרס בסביבת ענן ונשען על שירותי מסד נתונים, אימות, אחסון ותזמון.</w:t>
      </w:r>
    </w:p>
    <w:p>
      <w:pPr>
        <w:pStyle w:val="ListBullet"/>
        <w:bidi/>
        <w:spacing w:after="160" w:line="280" w:lineRule="auto"/>
        <w:ind w:left="720" w:hanging="360"/>
        <w:jc w:val="right"/>
      </w:pPr>
      <w:r>
        <w:rPr>
          <w:rFonts w:ascii="Arial" w:hAnsi="Arial" w:cs="Arial"/>
          <w:b w:val="0"/>
          <w:sz w:val="22"/>
        </w:rPr>
        <w:t>אבטחת שורות והרשאות מזעריות נוצרות עם כל טבלה חשופה.</w:t>
      </w:r>
    </w:p>
    <w:p>
      <w:pPr>
        <w:pStyle w:val="ListBullet"/>
        <w:bidi/>
        <w:spacing w:after="160" w:line="280" w:lineRule="auto"/>
        <w:ind w:left="720" w:hanging="360"/>
        <w:jc w:val="right"/>
      </w:pPr>
      <w:r>
        <w:rPr>
          <w:rFonts w:ascii="Arial" w:hAnsi="Arial" w:cs="Arial"/>
          <w:b w:val="0"/>
          <w:sz w:val="22"/>
        </w:rPr>
        <w:t>זהות המשתמש נגזרת תמיד מן ההתחברות; אין אמון במזהה או בתפקיד שמגיעים מהלקוח.</w:t>
      </w:r>
    </w:p>
    <w:p>
      <w:pPr>
        <w:pStyle w:val="ListBullet"/>
        <w:bidi/>
        <w:spacing w:after="160" w:line="280" w:lineRule="auto"/>
        <w:ind w:left="720" w:hanging="360"/>
        <w:jc w:val="right"/>
      </w:pPr>
      <w:r>
        <w:rPr>
          <w:rFonts w:ascii="Arial" w:hAnsi="Arial" w:cs="Arial"/>
          <w:b w:val="0"/>
          <w:sz w:val="22"/>
        </w:rPr>
        <w:t>נעילת ניחושים וניקוד נאכפים במסד הנתונים לפי זמן אוניברסלי.</w:t>
      </w:r>
    </w:p>
    <w:p>
      <w:pPr>
        <w:pStyle w:val="ListBullet"/>
        <w:bidi/>
        <w:spacing w:after="160" w:line="280" w:lineRule="auto"/>
        <w:ind w:left="720" w:hanging="360"/>
        <w:jc w:val="right"/>
      </w:pPr>
      <w:r>
        <w:rPr>
          <w:rFonts w:ascii="Arial" w:hAnsi="Arial" w:cs="Arial"/>
          <w:b w:val="0"/>
          <w:sz w:val="22"/>
        </w:rPr>
        <w:t>אסמכתאות נשמרות במאגר פרטי ומוגשות בקישור חתום קצר רק לאחר הרשאת משאב.</w:t>
      </w:r>
    </w:p>
    <w:p>
      <w:pPr>
        <w:pStyle w:val="ListBullet"/>
        <w:bidi/>
        <w:spacing w:after="160" w:line="280" w:lineRule="auto"/>
        <w:ind w:left="720" w:hanging="360"/>
        <w:jc w:val="right"/>
      </w:pPr>
      <w:r>
        <w:rPr>
          <w:rFonts w:ascii="Arial" w:hAnsi="Arial" w:cs="Arial"/>
          <w:b w:val="0"/>
          <w:sz w:val="22"/>
        </w:rPr>
        <w:t>מפתחות הספורט והתזמון נשמרים בשרת בלבד ואינם נשלחים לדפדפן.</w:t>
      </w:r>
    </w:p>
    <w:p>
      <w:pPr>
        <w:pStyle w:val="Heading1"/>
        <w:bidi/>
        <w:spacing w:before="320" w:after="160"/>
        <w:jc w:val="right"/>
      </w:pPr>
      <w:r>
        <w:rPr>
          <w:rFonts w:ascii="Arial" w:hAnsi="Arial" w:cs="Arial"/>
          <w:b/>
          <w:color w:val="2E74B5"/>
          <w:sz w:val="32"/>
        </w:rPr>
        <w:t>שלב 7ג — מערכת עיצוב ורענון ממשק</w:t>
      </w:r>
    </w:p>
    <w:p>
      <w:pPr>
        <w:bidi/>
        <w:spacing w:after="120" w:line="264" w:lineRule="auto"/>
        <w:jc w:val="right"/>
      </w:pPr>
      <w:r>
        <w:t>לאחר סגירת בדיקת הקנרי בסביבה המארחת ולפני דוחות ההדגמה, המוצר קיבל שפה חזותית עברית אחידה מימין לשמאל. הכיוון שיושם הוא לוח שליטה ספורטיבי בהיר: טיפוגרפיה חזקה, היררכיית נתונים ברורה, כרטיס מחזור כרכיב חתימה ומשטח כהה מוגבל ללוח תוצאות.</w:t>
      </w:r>
    </w:p>
    <w:p>
      <w:pPr>
        <w:pStyle w:val="ListBullet"/>
        <w:bidi/>
        <w:spacing w:after="160" w:line="280" w:lineRule="auto"/>
        <w:ind w:left="720" w:hanging="360"/>
        <w:jc w:val="right"/>
      </w:pPr>
      <w:r>
        <w:t>יושמו ארבעת מסכי העוגן: לוח אישי, תקציר ליגה, משחקים וניחושים וטבלת דירוג. ביקורת ההמשך חיזקה ניגודיות, מצבי טעינה, תוצאות מבודדות מימין לשמאל ויעדי מגע; המסכים נבדקו ברוחבי 390, 768 ו־1440 פיקסלים.</w:t>
      </w:r>
    </w:p>
    <w:p>
      <w:pPr>
        <w:pStyle w:val="ListBullet"/>
        <w:bidi/>
        <w:spacing w:after="160" w:line="280" w:lineRule="auto"/>
        <w:ind w:left="720" w:hanging="360"/>
        <w:jc w:val="right"/>
      </w:pPr>
      <w:r>
        <w:rPr>
          <w:rFonts w:ascii="Arial" w:hAnsi="Arial" w:cs="Arial"/>
          <w:b w:val="0"/>
          <w:sz w:val="22"/>
        </w:rPr>
        <w:t>אין שינוי בנתיבים, בסכמה, בהרשאות, בניקוד או בפונקציונליות.</w:t>
      </w:r>
    </w:p>
    <w:p>
      <w:pPr>
        <w:pStyle w:val="ListBullet"/>
        <w:bidi/>
        <w:spacing w:after="160" w:line="280" w:lineRule="auto"/>
        <w:ind w:left="720" w:hanging="360"/>
        <w:jc w:val="right"/>
      </w:pPr>
      <w:r>
        <w:rPr>
          <w:rFonts w:ascii="Arial" w:hAnsi="Arial" w:cs="Arial"/>
          <w:b w:val="0"/>
          <w:sz w:val="22"/>
        </w:rPr>
        <w:t>אין שפה חזותית של הימורים, ערכת נושא כהה, אווטרים, פיד חברתי או תלות ממשק חדשה.</w:t>
      </w:r>
    </w:p>
    <w:p>
      <w:pPr>
        <w:pStyle w:val="Heading1"/>
        <w:bidi/>
        <w:spacing w:before="320" w:after="160"/>
        <w:jc w:val="right"/>
      </w:pPr>
      <w:r>
        <w:rPr>
          <w:rFonts w:ascii="Arial" w:hAnsi="Arial" w:cs="Arial"/>
          <w:b/>
          <w:color w:val="2E74B5"/>
          <w:sz w:val="32"/>
        </w:rPr>
        <w:t>מצב המימוש</w:t>
      </w:r>
    </w:p>
    <w:tbl>
      <w:tblPr>
        <w:tblStyle w:val="TableGrid"/>
        <w:tblW w:type="auto" w:w="0"/>
        <w:tblLayout w:type="fixed"/>
        <w:tblLook w:firstColumn="1" w:firstRow="1" w:lastColumn="0" w:lastRow="0" w:noHBand="0" w:noVBand="1" w:val="04A0"/>
      </w:tblPr>
      <w:tblGrid>
        <w:gridCol w:w="1584"/>
        <w:gridCol w:w="5616"/>
        <w:gridCol w:w="2160"/>
      </w:tblGrid>
      <w:tr>
        <w:trPr>
          <w:tblHeader/>
        </w:trPr>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שלב</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תוצר</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מצב</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0–6</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תשתית, אימות, ליגות, הצטרפות, ניחושים, ניקוד ודירוג</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נמסר</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7/7ב</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סנכרון ידני וספק ספורט חי</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נמסר; קנרי הושלם</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7ג</w:t>
            </w:r>
          </w:p>
        </w:tc>
        <w:tc>
          <w:tcPr>
            <w:tcW w:type="dxa" w:w="5616"/>
            <w:vAlign w:val="center"/>
            <w:tcMar>
              <w:top w:w="80" w:type="dxa"/>
              <w:bottom w:w="80" w:type="dxa"/>
              <w:start w:w="120" w:type="dxa"/>
              <w:end w:w="120" w:type="dxa"/>
            </w:tcMar>
          </w:tcPr>
          <w:p>
            <w:pPr>
              <w:jc w:val="right"/>
              <w:bidi/>
            </w:pPr>
            <w:r>
              <w:t>מערכת עיצוב ורענון ממשק</w:t>
            </w:r>
          </w:p>
        </w:tc>
        <w:tc>
          <w:tcPr>
            <w:tcW w:type="dxa" w:w="2160"/>
            <w:vAlign w:val="center"/>
            <w:tcMar>
              <w:top w:w="80" w:type="dxa"/>
              <w:bottom w:w="80" w:type="dxa"/>
              <w:start w:w="120" w:type="dxa"/>
              <w:end w:w="120" w:type="dxa"/>
            </w:tcMar>
          </w:tcPr>
          <w:p>
            <w:pPr>
              <w:jc w:val="right"/>
              <w:bidi/>
            </w:pPr>
            <w:r>
              <w:t>המימוש המקומי הושלם; ממתין ל־Preview</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8</w:t>
            </w:r>
          </w:p>
        </w:tc>
        <w:tc>
          <w:tcPr>
            <w:tcW w:type="dxa" w:w="5616"/>
            <w:vAlign w:val="center"/>
            <w:tcMar>
              <w:top w:w="80" w:type="dxa"/>
              <w:bottom w:w="80" w:type="dxa"/>
              <w:start w:w="120" w:type="dxa"/>
              <w:end w:w="120" w:type="dxa"/>
            </w:tcMar>
          </w:tcPr>
          <w:p>
            <w:pPr>
              <w:jc w:val="right"/>
              <w:bidi/>
            </w:pPr>
            <w:r>
              <w:t>דוחות הדגמה</w:t>
            </w:r>
          </w:p>
        </w:tc>
        <w:tc>
          <w:tcPr>
            <w:tcW w:type="dxa" w:w="2160"/>
            <w:vAlign w:val="center"/>
            <w:tcMar>
              <w:top w:w="80" w:type="dxa"/>
              <w:bottom w:w="80" w:type="dxa"/>
              <w:start w:w="120" w:type="dxa"/>
              <w:end w:w="120" w:type="dxa"/>
            </w:tcMar>
          </w:tcPr>
          <w:p>
            <w:pPr>
              <w:jc w:val="right"/>
              <w:bidi/>
            </w:pPr>
            <w:r>
              <w:t>השלב הבא</w:t>
            </w:r>
          </w:p>
        </w:tc>
      </w:tr>
      <w:tr>
        <w:tc>
          <w:tcPr>
            <w:tcW w:type="dxa" w:w="1584"/>
            <w:vAlign w:val="center"/>
            <w:tcMar>
              <w:top w:w="80" w:type="dxa"/>
              <w:bottom w:w="80" w:type="dxa"/>
              <w:start w:w="120" w:type="dxa"/>
              <w:end w:w="120" w:type="dxa"/>
            </w:tcMar>
          </w:tcPr>
          <w:p>
            <w:pPr>
              <w:bidi/>
              <w:spacing w:after="0"/>
              <w:jc w:val="right"/>
            </w:pPr>
            <w:r/>
            <w:r>
              <w:rPr>
                <w:rFonts w:ascii="Arial" w:hAnsi="Arial" w:cs="Arial"/>
                <w:b w:val="0"/>
                <w:sz w:val="21"/>
              </w:rPr>
              <w:t>9</w:t>
            </w:r>
          </w:p>
        </w:tc>
        <w:tc>
          <w:tcPr>
            <w:tcW w:type="dxa" w:w="5616"/>
            <w:vAlign w:val="center"/>
            <w:tcMar>
              <w:top w:w="80" w:type="dxa"/>
              <w:bottom w:w="80" w:type="dxa"/>
              <w:start w:w="120" w:type="dxa"/>
              <w:end w:w="120" w:type="dxa"/>
            </w:tcMar>
          </w:tcPr>
          <w:p>
            <w:pPr>
              <w:bidi/>
              <w:spacing w:after="0"/>
              <w:jc w:val="right"/>
            </w:pPr>
            <w:r/>
            <w:r>
              <w:rPr>
                <w:rFonts w:ascii="Arial" w:hAnsi="Arial" w:cs="Arial"/>
                <w:b w:val="0"/>
                <w:sz w:val="21"/>
              </w:rPr>
              <w:t>הקשחה, מסמכים, פריסה והצגה</w:t>
            </w:r>
          </w:p>
        </w:tc>
        <w:tc>
          <w:tcPr>
            <w:tcW w:type="dxa" w:w="2160"/>
            <w:vAlign w:val="center"/>
            <w:tcMar>
              <w:top w:w="80" w:type="dxa"/>
              <w:bottom w:w="80" w:type="dxa"/>
              <w:start w:w="120" w:type="dxa"/>
              <w:end w:w="120" w:type="dxa"/>
            </w:tcMar>
          </w:tcPr>
          <w:p>
            <w:pPr>
              <w:bidi/>
              <w:spacing w:after="0"/>
              <w:jc w:val="right"/>
            </w:pPr>
            <w:r/>
            <w:r>
              <w:rPr>
                <w:rFonts w:ascii="Arial" w:hAnsi="Arial" w:cs="Arial"/>
                <w:b w:val="0"/>
                <w:sz w:val="21"/>
              </w:rPr>
              <w:t>לפני הגשה</w:t>
            </w:r>
          </w:p>
        </w:tc>
      </w:tr>
    </w:tbl>
    <w:p>
      <w:pPr>
        <w:jc w:val="right"/>
        <w:bidi/>
      </w:pPr>
      <w:r>
        <w:t>אימות: lint, בדיקת טיפוסים, 460 בדיקות יחידה, 646 בדיקות מסד נתונים, build ו־20 תרחישי Playwright בדסקטופ וב־Pixel 5 עברו. הבנייה עם sentinel אישרה שסודות שרת אינם מגיעים לתוצרי הדפדפן. כיוון מימין לשמאל, Heebo והיעדר גלילה אופקית נבדקו ברוחבי 390, 768 ו־1440 פיקסלים.</w:t>
      </w:r>
    </w:p>
    <w:p>
      <w:pPr>
        <w:jc w:val="right"/>
        <w:bidi/>
      </w:pPr>
      <w:r>
        <w:t>המימוש המקומי של שלב 7ג הושלם: מעטפת האפליקציה, Design Tokens, גופן Heebo, רכיבי מצבים משותפים וארבעת מסכי העוגן יושמו. עריכת הניחוש נשארה בנתיב הקיים, ללא שינוי בסכמה, בהרשאות או בחוקים העסקיים. נדרשים עדיין Preview ואישור חזותי לפני פריסת Production.</w:t>
      </w:r>
    </w:p>
    <w:p>
      <w:pPr>
        <w:pStyle w:val="Heading1"/>
        <w:bidi/>
        <w:spacing w:before="320" w:after="160"/>
        <w:jc w:val="right"/>
      </w:pPr>
      <w:r>
        <w:rPr>
          <w:rFonts w:ascii="Arial" w:hAnsi="Arial" w:cs="Arial"/>
          <w:b/>
          <w:color w:val="2E74B5"/>
          <w:sz w:val="32"/>
        </w:rPr>
        <w:t>קריטריוני הצלחה</w:t>
      </w:r>
    </w:p>
    <w:p>
      <w:pPr>
        <w:pStyle w:val="ListBullet"/>
        <w:bidi/>
        <w:spacing w:after="160" w:line="280" w:lineRule="auto"/>
        <w:ind w:left="720" w:hanging="360"/>
        <w:jc w:val="right"/>
      </w:pPr>
      <w:r>
        <w:rPr>
          <w:rFonts w:ascii="Arial" w:hAnsi="Arial" w:cs="Arial"/>
          <w:b w:val="0"/>
          <w:sz w:val="22"/>
        </w:rPr>
        <w:t>הזרימה המרכזית ניתנת להדגמה מקצה לקצה בפריסה הציבורית.</w:t>
      </w:r>
    </w:p>
    <w:p>
      <w:pPr>
        <w:pStyle w:val="ListBullet"/>
        <w:bidi/>
        <w:spacing w:after="160" w:line="280" w:lineRule="auto"/>
        <w:ind w:left="720" w:hanging="360"/>
        <w:jc w:val="right"/>
      </w:pPr>
      <w:r>
        <w:rPr>
          <w:rFonts w:ascii="Arial" w:hAnsi="Arial" w:cs="Arial"/>
          <w:b w:val="0"/>
          <w:sz w:val="22"/>
        </w:rPr>
        <w:t>ניחוש אינו נשמר אחרי נעילה ואינו נחשף לאחר לפני הפתיחה.</w:t>
      </w:r>
    </w:p>
    <w:p>
      <w:pPr>
        <w:pStyle w:val="ListBullet"/>
        <w:bidi/>
        <w:spacing w:after="160" w:line="280" w:lineRule="auto"/>
        <w:ind w:left="720" w:hanging="360"/>
        <w:jc w:val="right"/>
      </w:pPr>
      <w:r>
        <w:rPr>
          <w:rFonts w:ascii="Arial" w:hAnsi="Arial" w:cs="Arial"/>
          <w:b w:val="0"/>
          <w:sz w:val="22"/>
        </w:rPr>
        <w:t>ניקוד חוזר ותיקון תוצאה נשארים דטרמיניסטיים.</w:t>
      </w:r>
    </w:p>
    <w:p>
      <w:pPr>
        <w:pStyle w:val="ListBullet"/>
        <w:bidi/>
        <w:spacing w:after="160" w:line="280" w:lineRule="auto"/>
        <w:ind w:left="720" w:hanging="360"/>
        <w:jc w:val="right"/>
      </w:pPr>
      <w:r>
        <w:rPr>
          <w:rFonts w:ascii="Arial" w:hAnsi="Arial" w:cs="Arial"/>
          <w:b w:val="0"/>
          <w:sz w:val="22"/>
        </w:rPr>
        <w:t>משתמש אינו קורא או משנה משאב של משתמש או ליגה אחרים.</w:t>
      </w:r>
    </w:p>
    <w:p>
      <w:pPr>
        <w:pStyle w:val="ListBullet"/>
        <w:bidi/>
        <w:spacing w:after="160" w:line="280" w:lineRule="auto"/>
        <w:ind w:left="720" w:hanging="360"/>
        <w:jc w:val="right"/>
      </w:pPr>
      <w:r>
        <w:rPr>
          <w:rFonts w:ascii="Arial" w:hAnsi="Arial" w:cs="Arial"/>
          <w:b w:val="0"/>
          <w:sz w:val="22"/>
        </w:rPr>
        <w:t>הממשק עבר בדיקת כיוון מימין לשמאל, מובייל ונגישות בסיסית.</w:t>
      </w:r>
    </w:p>
    <w:p>
      <w:r>
        <w:br w:type="page"/>
      </w:r>
    </w:p>
    <w:p>
      <w:pPr>
        <w:pStyle w:val="Heading1"/>
        <w:bidi/>
        <w:spacing w:before="320" w:after="160"/>
        <w:jc w:val="right"/>
      </w:pPr>
      <w:r>
        <w:rPr>
          <w:rFonts w:ascii="Arial" w:hAnsi="Arial" w:cs="Arial"/>
          <w:b/>
          <w:color w:val="2E74B5"/>
          <w:sz w:val="32"/>
        </w:rPr>
        <w:t>תכנית סיום עד ההגשה</w:t>
      </w:r>
    </w:p>
    <w:tbl>
      <w:tblPr>
        <w:tblStyle w:val="TableGrid"/>
        <w:tblW w:type="auto" w:w="0"/>
        <w:tblLayout w:type="fixed"/>
        <w:tblLook w:firstColumn="1" w:firstRow="1" w:lastColumn="0" w:lastRow="0" w:noHBand="0" w:noVBand="1" w:val="04A0"/>
      </w:tblPr>
      <w:tblGrid>
        <w:gridCol w:w="2304"/>
        <w:gridCol w:w="3168"/>
        <w:gridCol w:w="3888"/>
      </w:tblGrid>
      <w:tr>
        <w:trPr>
          <w:tblHeader/>
        </w:trPr>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תאריך</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יעד</w:t>
            </w:r>
          </w:p>
        </w:tc>
        <w:tc>
          <w:tcPr>
            <w:tcW w:type="dxa" w:w="3120"/>
            <w:vAlign w:val="center"/>
            <w:tcMar>
              <w:top w:w="80" w:type="dxa"/>
              <w:bottom w:w="80" w:type="dxa"/>
              <w:start w:w="120" w:type="dxa"/>
              <w:end w:w="120" w:type="dxa"/>
            </w:tcMar>
            <w:shd w:fill="E8EEF5"/>
          </w:tcPr>
          <w:p>
            <w:pPr>
              <w:bidi/>
              <w:spacing w:after="0"/>
              <w:jc w:val="right"/>
            </w:pPr>
            <w:r/>
            <w:r>
              <w:rPr>
                <w:rFonts w:ascii="Arial" w:hAnsi="Arial" w:cs="Arial"/>
                <w:b/>
                <w:color w:val="1F4D78"/>
                <w:sz w:val="21"/>
              </w:rPr>
              <w:t>תנאי סיום</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עד 24 באוגוסט</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שלבים 0–7ב ובדיקת קנרי</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הושלמו; ניסיון חוזר ללא שינוי ותזמון פעיל</w:t>
            </w:r>
          </w:p>
        </w:tc>
      </w:tr>
      <w:tr>
        <w:tc>
          <w:tcPr>
            <w:tcW w:type="dxa" w:w="2304"/>
            <w:vAlign w:val="center"/>
            <w:tcMar>
              <w:top w:w="80" w:type="dxa"/>
              <w:bottom w:w="80" w:type="dxa"/>
              <w:start w:w="120" w:type="dxa"/>
              <w:end w:w="120" w:type="dxa"/>
            </w:tcMar>
          </w:tcPr>
          <w:p>
            <w:pPr>
              <w:bidi/>
              <w:spacing w:after="0"/>
              <w:jc w:val="right"/>
            </w:pPr>
            <w:r>
              <w:t>24–25 באוגוסט</w:t>
            </w:r>
            <w:r>
              <w:rPr>
                <w:rFonts w:ascii="Arial" w:hAnsi="Arial" w:cs="Arial"/>
                <w:b w:val="0"/>
                <w:sz w:val="21"/>
              </w:rPr>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שלב 7ג — מערכת עיצוב</w:t>
            </w:r>
          </w:p>
        </w:tc>
        <w:tc>
          <w:tcPr>
            <w:tcW w:type="dxa" w:w="3888"/>
            <w:vAlign w:val="center"/>
            <w:tcMar>
              <w:top w:w="80" w:type="dxa"/>
              <w:bottom w:w="80" w:type="dxa"/>
              <w:start w:w="120" w:type="dxa"/>
              <w:end w:w="120" w:type="dxa"/>
            </w:tcMar>
          </w:tcPr>
          <w:p>
            <w:pPr>
              <w:jc w:val="right"/>
              <w:bidi/>
            </w:pPr>
            <w:r>
              <w:t>המימוש המקומי הושלם; Preview ואישור 390/768/1440 נדרשים לסגירה</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28–29 באוגוסט</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שלב 8 — דוחות הדגמה</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נוסחאות מאושר וממתין וחלוקת שוויון מכוסות בבדיקות</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30.8–3.9</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שלב 9 — הקשחה</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בדיקות מקצה לקצה, נגישות, אבטחה, מסמכים ופריסה</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4–5 בספטמבר</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חזרה ותיקוני חסימה</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תרחיש הדגמה מלא ורשימת הגשה סגורה</w:t>
            </w:r>
          </w:p>
        </w:tc>
      </w:tr>
      <w:tr>
        <w:tc>
          <w:tcPr>
            <w:tcW w:type="dxa" w:w="2304"/>
            <w:vAlign w:val="center"/>
            <w:tcMar>
              <w:top w:w="80" w:type="dxa"/>
              <w:bottom w:w="80" w:type="dxa"/>
              <w:start w:w="120" w:type="dxa"/>
              <w:end w:w="120" w:type="dxa"/>
            </w:tcMar>
          </w:tcPr>
          <w:p>
            <w:pPr>
              <w:bidi/>
              <w:spacing w:after="0"/>
              <w:jc w:val="right"/>
            </w:pPr>
            <w:r/>
            <w:r>
              <w:rPr>
                <w:rFonts w:ascii="Arial" w:hAnsi="Arial" w:cs="Arial"/>
                <w:b w:val="0"/>
                <w:sz w:val="21"/>
              </w:rPr>
              <w:t>6 בספטמבר</w:t>
            </w:r>
          </w:p>
        </w:tc>
        <w:tc>
          <w:tcPr>
            <w:tcW w:type="dxa" w:w="3168"/>
            <w:vAlign w:val="center"/>
            <w:tcMar>
              <w:top w:w="80" w:type="dxa"/>
              <w:bottom w:w="80" w:type="dxa"/>
              <w:start w:w="120" w:type="dxa"/>
              <w:end w:w="120" w:type="dxa"/>
            </w:tcMar>
          </w:tcPr>
          <w:p>
            <w:pPr>
              <w:bidi/>
              <w:spacing w:after="0"/>
              <w:jc w:val="right"/>
            </w:pPr>
            <w:r/>
            <w:r>
              <w:rPr>
                <w:rFonts w:ascii="Arial" w:hAnsi="Arial" w:cs="Arial"/>
                <w:b w:val="0"/>
                <w:sz w:val="21"/>
              </w:rPr>
              <w:t>הגשה</w:t>
            </w:r>
          </w:p>
        </w:tc>
        <w:tc>
          <w:tcPr>
            <w:tcW w:type="dxa" w:w="3888"/>
            <w:vAlign w:val="center"/>
            <w:tcMar>
              <w:top w:w="80" w:type="dxa"/>
              <w:bottom w:w="80" w:type="dxa"/>
              <w:start w:w="120" w:type="dxa"/>
              <w:end w:w="120" w:type="dxa"/>
            </w:tcMar>
          </w:tcPr>
          <w:p>
            <w:pPr>
              <w:bidi/>
              <w:spacing w:after="0"/>
              <w:jc w:val="right"/>
            </w:pPr>
            <w:r/>
            <w:r>
              <w:rPr>
                <w:rFonts w:ascii="Arial" w:hAnsi="Arial" w:cs="Arial"/>
                <w:b w:val="0"/>
                <w:sz w:val="21"/>
              </w:rPr>
              <w:t>קישורי קוד ופריסה, ספר פרויקט ומצגת</w:t>
            </w:r>
          </w:p>
        </w:tc>
      </w:tr>
    </w:tbl>
    <w:p>
      <w:pPr>
        <w:pStyle w:val="Heading1"/>
        <w:bidi/>
        <w:spacing w:before="320" w:after="160"/>
        <w:jc w:val="right"/>
      </w:pPr>
      <w:r>
        <w:rPr>
          <w:rFonts w:ascii="Arial" w:hAnsi="Arial" w:cs="Arial"/>
          <w:b/>
          <w:color w:val="2E74B5"/>
          <w:sz w:val="32"/>
        </w:rPr>
        <w:t>מה לא מפתחים לפני ההגשה</w:t>
      </w:r>
    </w:p>
    <w:p>
      <w:pPr>
        <w:pStyle w:val="ListBullet"/>
        <w:bidi/>
        <w:spacing w:after="160" w:line="280" w:lineRule="auto"/>
        <w:ind w:left="720" w:hanging="360"/>
        <w:jc w:val="right"/>
      </w:pPr>
      <w:r>
        <w:rPr>
          <w:rFonts w:ascii="Arial" w:hAnsi="Arial" w:cs="Arial"/>
          <w:b w:val="0"/>
          <w:sz w:val="22"/>
        </w:rPr>
        <w:t>יכולות נוספות שאינן נדרשות לזרימות הליבה.</w:t>
      </w:r>
    </w:p>
    <w:p>
      <w:pPr>
        <w:pStyle w:val="ListBullet"/>
        <w:bidi/>
        <w:spacing w:after="160" w:line="280" w:lineRule="auto"/>
        <w:ind w:left="720" w:hanging="360"/>
        <w:jc w:val="right"/>
      </w:pPr>
      <w:r>
        <w:rPr>
          <w:rFonts w:ascii="Arial" w:hAnsi="Arial" w:cs="Arial"/>
          <w:b w:val="0"/>
          <w:sz w:val="22"/>
        </w:rPr>
        <w:t>כסף אמיתי, סליקה, מנויים או מסמכים פיננסיים אמיתיים.</w:t>
      </w:r>
    </w:p>
    <w:p>
      <w:pPr>
        <w:pStyle w:val="ListBullet"/>
        <w:bidi/>
        <w:spacing w:after="160" w:line="280" w:lineRule="auto"/>
        <w:ind w:left="720" w:hanging="360"/>
        <w:jc w:val="right"/>
      </w:pPr>
      <w:r>
        <w:rPr>
          <w:rFonts w:ascii="Arial" w:hAnsi="Arial" w:cs="Arial"/>
          <w:b w:val="0"/>
          <w:sz w:val="22"/>
        </w:rPr>
        <w:t>אפליקציה ייעודית לטלפון, צ'אט, התראות או מנגנוני משחק נוספים.</w:t>
      </w:r>
    </w:p>
    <w:p>
      <w:pPr>
        <w:pStyle w:val="ListBullet"/>
        <w:bidi/>
        <w:spacing w:after="160" w:line="280" w:lineRule="auto"/>
        <w:ind w:left="720" w:hanging="360"/>
        <w:jc w:val="right"/>
      </w:pPr>
      <w:r>
        <w:rPr>
          <w:rFonts w:ascii="Arial" w:hAnsi="Arial" w:cs="Arial"/>
          <w:b w:val="0"/>
          <w:sz w:val="22"/>
        </w:rPr>
        <w:t>תשתיות חדשות שאינן נדרשות ליציבות, אבטחה או דרישות הקורס.</w:t>
      </w:r>
    </w:p>
    <w:p>
      <w:pPr>
        <w:pStyle w:val="Heading1"/>
        <w:bidi/>
        <w:spacing w:before="320" w:after="160"/>
        <w:jc w:val="right"/>
      </w:pPr>
      <w:r>
        <w:rPr>
          <w:rFonts w:ascii="Arial" w:hAnsi="Arial" w:cs="Arial"/>
          <w:b/>
          <w:color w:val="2E74B5"/>
          <w:sz w:val="32"/>
        </w:rPr>
        <w:t>מקורות אמת</w:t>
      </w:r>
    </w:p>
    <w:p>
      <w:pPr>
        <w:pStyle w:val="ListBullet"/>
        <w:bidi/>
        <w:spacing w:after="160" w:line="280" w:lineRule="auto"/>
        <w:ind w:left="720" w:hanging="360"/>
        <w:jc w:val="right"/>
      </w:pPr>
      <w:r>
        <w:rPr>
          <w:rFonts w:ascii="Arial" w:hAnsi="Arial" w:cs="Arial"/>
          <w:b w:val="0"/>
          <w:sz w:val="22"/>
        </w:rPr>
        <w:t>אפיון המוצר: product.md.</w:t>
      </w:r>
    </w:p>
    <w:p>
      <w:pPr>
        <w:pStyle w:val="ListBullet"/>
        <w:bidi/>
        <w:spacing w:after="160" w:line="280" w:lineRule="auto"/>
        <w:ind w:left="720" w:hanging="360"/>
        <w:jc w:val="right"/>
      </w:pPr>
      <w:r>
        <w:rPr>
          <w:rFonts w:ascii="Arial" w:hAnsi="Arial" w:cs="Arial"/>
          <w:b w:val="0"/>
          <w:sz w:val="22"/>
        </w:rPr>
        <w:t>גבולות הארכיטקטורה והאבטחה: architecture.md.</w:t>
      </w:r>
    </w:p>
    <w:p>
      <w:pPr>
        <w:pStyle w:val="ListBullet"/>
        <w:bidi/>
        <w:spacing w:after="160" w:line="280" w:lineRule="auto"/>
        <w:ind w:left="720" w:hanging="360"/>
        <w:jc w:val="right"/>
      </w:pPr>
      <w:r>
        <w:rPr>
          <w:rFonts w:ascii="Arial" w:hAnsi="Arial" w:cs="Arial"/>
          <w:b w:val="0"/>
          <w:sz w:val="22"/>
        </w:rPr>
        <w:t>סדר המימוש והבדיקות: technical-plan.md.</w:t>
      </w:r>
    </w:p>
    <w:p>
      <w:pPr>
        <w:bidi/>
        <w:spacing w:after="120" w:line="264" w:lineRule="auto"/>
        <w:jc w:val="right"/>
      </w:pPr>
      <w:r>
        <w:rPr>
          <w:rFonts w:ascii="Arial" w:hAnsi="Arial" w:cs="Arial"/>
          <w:b w:val="0"/>
          <w:sz w:val="22"/>
        </w:rPr>
        <w:t>במקרה של סתירה, מעדכנים את המקור הקנוני ואת הקוד באותו שינוי.</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right"/>
    </w:pPr>
    <w:r>
      <w:rPr>
        <w:rFonts w:ascii="Arial" w:hAnsi="Arial" w:cs="Arial"/>
        <w:b w:val="0"/>
        <w:color w:val="5A5A5A"/>
        <w:sz w:val="17"/>
      </w:rPr>
      <w:t>RUNI — טכנולוגיות אינטרנט 2026 | גרסה 1.1 | 24.8.2026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right"/>
    </w:pPr>
    <w:r>
      <w:rPr>
        <w:rFonts w:ascii="Arial" w:hAnsi="Arial" w:cs="Arial"/>
        <w:b/>
        <w:color w:val="5A5A5A"/>
        <w:sz w:val="18"/>
      </w:rPr>
      <w:t>Predictor1 | ספר פרויקט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