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520" w:after="80"/>
        <w:jc w:val="right"/>
      </w:pPr>
      <w:r>
        <w:rPr>
          <w:rFonts w:ascii="Arial" w:hAnsi="Arial" w:cs="Arial"/>
          <w:b/>
          <w:color w:val="1F4D78"/>
          <w:sz w:val="50"/>
        </w:rPr>
        <w:t>ספר פרויקט — Predictor1</w:t>
      </w:r>
    </w:p>
    <w:p>
      <w:pPr>
        <w:bidi/>
        <w:spacing w:after="400"/>
        <w:jc w:val="right"/>
      </w:pPr>
      <w:r>
        <w:rPr>
          <w:rFonts w:ascii="Arial" w:hAnsi="Arial" w:cs="Arial"/>
          <w:b w:val="0"/>
          <w:color w:val="5A5A5A"/>
          <w:sz w:val="28"/>
        </w:rPr>
        <w:t>אפליקציית Web בעברית לניהול ליגות פרטיות של ניחושי תוצאות כדורגל</w:t>
      </w:r>
    </w:p>
    <w:p>
      <w:pPr>
        <w:pStyle w:val="Heading1"/>
        <w:bidi/>
        <w:spacing w:before="320" w:after="160"/>
        <w:jc w:val="right"/>
      </w:pPr>
      <w:r>
        <w:rPr>
          <w:rFonts w:ascii="Arial" w:hAnsi="Arial" w:cs="Arial"/>
          <w:b/>
          <w:color w:val="2E74B5"/>
          <w:sz w:val="32"/>
        </w:rPr>
        <w:t>החלטת היקף מעודכנת</w:t>
      </w:r>
    </w:p>
    <w:p>
      <w:pPr>
        <w:bidi/>
        <w:spacing w:after="120" w:line="264" w:lineRule="auto"/>
        <w:jc w:val="right"/>
      </w:pPr>
      <w:r>
        <w:rPr>
          <w:rFonts w:ascii="Arial" w:hAnsi="Arial" w:cs="Arial"/>
          <w:b w:val="0"/>
          <w:sz w:val="22"/>
        </w:rPr>
        <w:t>בשל הזמן שנותר עד ההגשה ב־6 בספטמבר 2026, היקף ה־MVP צומצם לליבת המוצר. ההחלטה מצמצמת סיכון חיצוני וחוסכת פיתוח של ספק נוסף, cache, מכסות, אבטחה ובדיקות, וכך מאפשרת להשלים את תוצרי הקורס באיכות הנדרשת.</w:t>
      </w:r>
    </w:p>
    <w:p>
      <w:pPr>
        <w:bidi/>
        <w:spacing w:after="120" w:line="264" w:lineRule="auto"/>
        <w:jc w:val="right"/>
      </w:pPr>
      <w:r>
        <w:rPr>
          <w:rFonts w:ascii="Arial" w:hAnsi="Arial" w:cs="Arial"/>
          <w:b/>
          <w:color w:val="1F4D78"/>
          <w:sz w:val="22"/>
        </w:rPr>
        <w:t>המערכת לא תכלול טקסט מחולל, ניתוח משחקים באמצעות מודל, מפתח ספק מודלים, Route ייעודי או טבלת cache. מסך המשחק ימשיך להציג נתונים שמורים ומאומתים בלבד.</w:t>
      </w:r>
    </w:p>
    <w:p>
      <w:pPr>
        <w:pStyle w:val="Heading1"/>
        <w:bidi/>
        <w:spacing w:before="320" w:after="160"/>
        <w:jc w:val="right"/>
      </w:pPr>
      <w:r>
        <w:rPr>
          <w:rFonts w:ascii="Arial" w:hAnsi="Arial" w:cs="Arial"/>
          <w:b/>
          <w:color w:val="2E74B5"/>
          <w:sz w:val="32"/>
        </w:rPr>
        <w:t>מטרת המוצר</w:t>
      </w:r>
    </w:p>
    <w:p>
      <w:pPr>
        <w:bidi/>
        <w:spacing w:after="120" w:line="264" w:lineRule="auto"/>
        <w:jc w:val="right"/>
      </w:pPr>
      <w:r>
        <w:rPr>
          <w:rFonts w:ascii="Arial" w:hAnsi="Arial" w:cs="Arial"/>
          <w:b w:val="0"/>
          <w:sz w:val="22"/>
        </w:rPr>
        <w:t>Predictor1 מרכזת תהליך שנוהל ידנית: יצירת ליגה, הזמנה, בקשת הצטרפות, אסמכתאת Demo פרטית, אישור, ניחוש לפני נעילה, תוצאה, ניקוד, דירוג ודוח חלוקת פרסים. המערכת אינה מחזיקה או מעבירה כסף.</w:t>
      </w:r>
    </w:p>
    <w:p>
      <w:pPr>
        <w:pStyle w:val="Heading1"/>
        <w:bidi/>
        <w:spacing w:before="320" w:after="160"/>
        <w:jc w:val="right"/>
      </w:pPr>
      <w:r>
        <w:rPr>
          <w:rFonts w:ascii="Arial" w:hAnsi="Arial" w:cs="Arial"/>
          <w:b/>
          <w:color w:val="2E74B5"/>
          <w:sz w:val="32"/>
        </w:rPr>
        <w:t>היקף ה־MVP</w:t>
      </w:r>
    </w:p>
    <w:p>
      <w:pPr>
        <w:pStyle w:val="ListBullet"/>
        <w:bidi/>
        <w:spacing w:after="160" w:line="280" w:lineRule="auto"/>
        <w:ind w:left="720" w:hanging="360"/>
        <w:jc w:val="right"/>
      </w:pPr>
      <w:r>
        <w:rPr>
          <w:rFonts w:ascii="Arial" w:hAnsi="Arial" w:cs="Arial"/>
          <w:b w:val="0"/>
          <w:sz w:val="22"/>
        </w:rPr>
        <w:t>Supabase Auth ופרופיל בסיסי.</w:t>
      </w:r>
    </w:p>
    <w:p>
      <w:pPr>
        <w:pStyle w:val="ListBullet"/>
        <w:bidi/>
        <w:spacing w:after="160" w:line="280" w:lineRule="auto"/>
        <w:ind w:left="720" w:hanging="360"/>
        <w:jc w:val="right"/>
      </w:pPr>
      <w:r>
        <w:rPr>
          <w:rFonts w:ascii="Arial" w:hAnsi="Arial" w:cs="Arial"/>
          <w:b w:val="0"/>
          <w:sz w:val="22"/>
        </w:rPr>
        <w:t>ליגות פרטיות, חוקי ניקוד 3/1/0 וחלוקת פרסי Demo.</w:t>
      </w:r>
    </w:p>
    <w:p>
      <w:pPr>
        <w:pStyle w:val="ListBullet"/>
        <w:bidi/>
        <w:spacing w:after="160" w:line="280" w:lineRule="auto"/>
        <w:ind w:left="720" w:hanging="360"/>
        <w:jc w:val="right"/>
      </w:pPr>
      <w:r>
        <w:rPr>
          <w:rFonts w:ascii="Arial" w:hAnsi="Arial" w:cs="Arial"/>
          <w:b w:val="0"/>
          <w:sz w:val="22"/>
        </w:rPr>
        <w:t>הזמנות, בקשות הצטרפות והיסטוריית אסמכתאות תמונה פרטית.</w:t>
      </w:r>
    </w:p>
    <w:p>
      <w:pPr>
        <w:pStyle w:val="ListBullet"/>
        <w:bidi/>
        <w:spacing w:after="160" w:line="280" w:lineRule="auto"/>
        <w:ind w:left="720" w:hanging="360"/>
        <w:jc w:val="right"/>
      </w:pPr>
      <w:r>
        <w:rPr>
          <w:rFonts w:ascii="Arial" w:hAnsi="Arial" w:cs="Arial"/>
          <w:b w:val="0"/>
          <w:sz w:val="22"/>
        </w:rPr>
        <w:t>משחקים ותוצאות עם API-Football ומסלול ידני מחייב.</w:t>
      </w:r>
    </w:p>
    <w:p>
      <w:pPr>
        <w:pStyle w:val="ListBullet"/>
        <w:bidi/>
        <w:spacing w:after="160" w:line="280" w:lineRule="auto"/>
        <w:ind w:left="720" w:hanging="360"/>
        <w:jc w:val="right"/>
      </w:pPr>
      <w:r>
        <w:rPr>
          <w:rFonts w:ascii="Arial" w:hAnsi="Arial" w:cs="Arial"/>
          <w:b w:val="0"/>
          <w:sz w:val="22"/>
        </w:rPr>
        <w:t>ניחושים, נעילה לפי זמן מסד הנתונים והסתרה לפני שריקת הפתיחה.</w:t>
      </w:r>
    </w:p>
    <w:p>
      <w:pPr>
        <w:pStyle w:val="ListBullet"/>
        <w:bidi/>
        <w:spacing w:after="160" w:line="280" w:lineRule="auto"/>
        <w:ind w:left="720" w:hanging="360"/>
        <w:jc w:val="right"/>
      </w:pPr>
      <w:r>
        <w:rPr>
          <w:rFonts w:ascii="Arial" w:hAnsi="Arial" w:cs="Arial"/>
          <w:b w:val="0"/>
          <w:sz w:val="22"/>
        </w:rPr>
        <w:t>ניקוד דטרמיניסטי, דירוג, שוויון ודוחות Demo.</w:t>
      </w:r>
    </w:p>
    <w:p>
      <w:r>
        <w:br w:type="page"/>
      </w:r>
    </w:p>
    <w:p>
      <w:pPr>
        <w:pStyle w:val="Heading1"/>
        <w:bidi/>
        <w:spacing w:before="320" w:after="160"/>
        <w:jc w:val="right"/>
      </w:pPr>
      <w:r>
        <w:rPr>
          <w:rFonts w:ascii="Arial" w:hAnsi="Arial" w:cs="Arial"/>
          <w:b/>
          <w:color w:val="2E74B5"/>
          <w:sz w:val="32"/>
        </w:rPr>
        <w:t>ארכיטקטורה וגבולות אבטחה</w:t>
      </w:r>
    </w:p>
    <w:p>
      <w:pPr>
        <w:bidi/>
        <w:spacing w:after="120" w:line="264" w:lineRule="auto"/>
        <w:jc w:val="right"/>
      </w:pPr>
      <w:r>
        <w:rPr>
          <w:rFonts w:ascii="Arial" w:hAnsi="Arial" w:cs="Arial"/>
          <w:b w:val="0"/>
          <w:sz w:val="22"/>
        </w:rPr>
        <w:t>המערכת היא Modular Monolith יחיד ב־Next.js 16 App Router על Vercel, עם TypeScript strict ו־Supabase PostgreSQL/Auth/Storage/Cron. קריאות נעשות ב־Server Components, מוטציות UI ב־Server Actions וכניסות HTTP ייעודיות ב־Route Handlers.</w:t>
      </w:r>
    </w:p>
    <w:p>
      <w:pPr>
        <w:pStyle w:val="ListBullet"/>
        <w:bidi/>
        <w:spacing w:after="160" w:line="280" w:lineRule="auto"/>
        <w:ind w:left="720" w:hanging="360"/>
        <w:jc w:val="right"/>
      </w:pPr>
      <w:r>
        <w:rPr>
          <w:rFonts w:ascii="Arial" w:hAnsi="Arial" w:cs="Arial"/>
          <w:b w:val="0"/>
          <w:sz w:val="22"/>
        </w:rPr>
        <w:t>RLS והרשאות least privilege נוצרות עם כל טבלה חשופה.</w:t>
      </w:r>
    </w:p>
    <w:p>
      <w:pPr>
        <w:pStyle w:val="ListBullet"/>
        <w:bidi/>
        <w:spacing w:after="160" w:line="280" w:lineRule="auto"/>
        <w:ind w:left="720" w:hanging="360"/>
        <w:jc w:val="right"/>
      </w:pPr>
      <w:r>
        <w:rPr>
          <w:rFonts w:ascii="Arial" w:hAnsi="Arial" w:cs="Arial"/>
          <w:b w:val="0"/>
          <w:sz w:val="22"/>
        </w:rPr>
        <w:t>המשתמש נגזר תמיד מן ה־session; אין אמון ב־user_id או role מהלקוח.</w:t>
      </w:r>
    </w:p>
    <w:p>
      <w:pPr>
        <w:pStyle w:val="ListBullet"/>
        <w:bidi/>
        <w:spacing w:after="160" w:line="280" w:lineRule="auto"/>
        <w:ind w:left="720" w:hanging="360"/>
        <w:jc w:val="right"/>
      </w:pPr>
      <w:r>
        <w:rPr>
          <w:rFonts w:ascii="Arial" w:hAnsi="Arial" w:cs="Arial"/>
          <w:b w:val="0"/>
          <w:sz w:val="22"/>
        </w:rPr>
        <w:t>נעילת ניחושים וניקוד נאכפים במסד הנתונים ובשעת UTC.</w:t>
      </w:r>
    </w:p>
    <w:p>
      <w:pPr>
        <w:pStyle w:val="ListBullet"/>
        <w:bidi/>
        <w:spacing w:after="160" w:line="280" w:lineRule="auto"/>
        <w:ind w:left="720" w:hanging="360"/>
        <w:jc w:val="right"/>
      </w:pPr>
      <w:r>
        <w:rPr>
          <w:rFonts w:ascii="Arial" w:hAnsi="Arial" w:cs="Arial"/>
          <w:b w:val="0"/>
          <w:sz w:val="22"/>
        </w:rPr>
        <w:t>אסמכתאות נשמרות ב־bucket פרטי ומוגשות בקישור חתום קצר רק לאחר הרשאת משאב.</w:t>
      </w:r>
    </w:p>
    <w:p>
      <w:pPr>
        <w:pStyle w:val="ListBullet"/>
        <w:bidi/>
        <w:spacing w:after="160" w:line="280" w:lineRule="auto"/>
        <w:ind w:left="720" w:hanging="360"/>
        <w:jc w:val="right"/>
      </w:pPr>
      <w:r>
        <w:rPr>
          <w:rFonts w:ascii="Arial" w:hAnsi="Arial" w:cs="Arial"/>
          <w:b w:val="0"/>
          <w:sz w:val="22"/>
        </w:rPr>
        <w:t>מפתח Sports ומפתח Cron הם server-only; אין בפרויקט מפתחות נוספים לספקים חיצוניים.</w:t>
      </w:r>
    </w:p>
    <w:p>
      <w:pPr>
        <w:pStyle w:val="Heading1"/>
        <w:bidi/>
        <w:spacing w:before="320" w:after="160"/>
        <w:jc w:val="right"/>
      </w:pPr>
      <w:r>
        <w:rPr>
          <w:rFonts w:ascii="Arial" w:hAnsi="Arial" w:cs="Arial"/>
          <w:b/>
          <w:color w:val="2E74B5"/>
          <w:sz w:val="32"/>
        </w:rPr>
        <w:t>מצב המימוש</w:t>
      </w:r>
    </w:p>
    <w:tbl>
      <w:tblPr>
        <w:tblStyle w:val="TableGrid"/>
        <w:tblW w:type="auto" w:w="0"/>
        <w:tblLayout w:type="fixed"/>
        <w:tblLook w:firstColumn="1" w:firstRow="1" w:lastColumn="0" w:lastRow="0" w:noHBand="0" w:noVBand="1" w:val="04A0"/>
      </w:tblPr>
      <w:tblGrid>
        <w:gridCol w:w="1584"/>
        <w:gridCol w:w="5616"/>
        <w:gridCol w:w="2160"/>
      </w:tblGrid>
      <w:tr>
        <w:trPr>
          <w:tblHeader/>
        </w:trPr>
        <w:tc>
          <w:tcPr>
            <w:tcW w:type="dxa" w:w="3120"/>
            <w:vAlign w:val="center"/>
            <w:tcMar>
              <w:top w:w="80" w:type="dxa"/>
              <w:bottom w:w="80" w:type="dxa"/>
              <w:start w:w="120" w:type="dxa"/>
              <w:end w:w="120" w:type="dxa"/>
            </w:tcMar>
            <w:shd w:fill="E8EEF5"/>
          </w:tcPr>
          <w:p>
            <w:pPr>
              <w:bidi/>
              <w:spacing w:after="0"/>
              <w:jc w:val="right"/>
            </w:pPr>
            <w:r/>
            <w:r>
              <w:rPr>
                <w:rFonts w:ascii="Arial" w:hAnsi="Arial" w:cs="Arial"/>
                <w:b/>
                <w:color w:val="1F4D78"/>
                <w:sz w:val="21"/>
              </w:rPr>
              <w:t>Slice</w:t>
            </w:r>
          </w:p>
        </w:tc>
        <w:tc>
          <w:tcPr>
            <w:tcW w:type="dxa" w:w="3120"/>
            <w:vAlign w:val="center"/>
            <w:tcMar>
              <w:top w:w="80" w:type="dxa"/>
              <w:bottom w:w="80" w:type="dxa"/>
              <w:start w:w="120" w:type="dxa"/>
              <w:end w:w="120" w:type="dxa"/>
            </w:tcMar>
            <w:shd w:fill="E8EEF5"/>
          </w:tcPr>
          <w:p>
            <w:pPr>
              <w:bidi/>
              <w:spacing w:after="0"/>
              <w:jc w:val="right"/>
            </w:pPr>
            <w:r/>
            <w:r>
              <w:rPr>
                <w:rFonts w:ascii="Arial" w:hAnsi="Arial" w:cs="Arial"/>
                <w:b/>
                <w:color w:val="1F4D78"/>
                <w:sz w:val="21"/>
              </w:rPr>
              <w:t>תוצר</w:t>
            </w:r>
          </w:p>
        </w:tc>
        <w:tc>
          <w:tcPr>
            <w:tcW w:type="dxa" w:w="3120"/>
            <w:vAlign w:val="center"/>
            <w:tcMar>
              <w:top w:w="80" w:type="dxa"/>
              <w:bottom w:w="80" w:type="dxa"/>
              <w:start w:w="120" w:type="dxa"/>
              <w:end w:w="120" w:type="dxa"/>
            </w:tcMar>
            <w:shd w:fill="E8EEF5"/>
          </w:tcPr>
          <w:p>
            <w:pPr>
              <w:bidi/>
              <w:spacing w:after="0"/>
              <w:jc w:val="right"/>
            </w:pPr>
            <w:r/>
            <w:r>
              <w:rPr>
                <w:rFonts w:ascii="Arial" w:hAnsi="Arial" w:cs="Arial"/>
                <w:b/>
                <w:color w:val="1F4D78"/>
                <w:sz w:val="21"/>
              </w:rPr>
              <w:t>מצב</w:t>
            </w:r>
          </w:p>
        </w:tc>
      </w:tr>
      <w:tr>
        <w:tc>
          <w:tcPr>
            <w:tcW w:type="dxa" w:w="1584"/>
            <w:vAlign w:val="center"/>
            <w:tcMar>
              <w:top w:w="80" w:type="dxa"/>
              <w:bottom w:w="80" w:type="dxa"/>
              <w:start w:w="120" w:type="dxa"/>
              <w:end w:w="120" w:type="dxa"/>
            </w:tcMar>
          </w:tcPr>
          <w:p>
            <w:pPr>
              <w:bidi/>
              <w:spacing w:after="0"/>
              <w:jc w:val="right"/>
            </w:pPr>
            <w:r/>
            <w:r>
              <w:rPr>
                <w:rFonts w:ascii="Arial" w:hAnsi="Arial" w:cs="Arial"/>
                <w:b w:val="0"/>
                <w:sz w:val="21"/>
              </w:rPr>
              <w:t>0–6</w:t>
            </w:r>
          </w:p>
        </w:tc>
        <w:tc>
          <w:tcPr>
            <w:tcW w:type="dxa" w:w="5616"/>
            <w:vAlign w:val="center"/>
            <w:tcMar>
              <w:top w:w="80" w:type="dxa"/>
              <w:bottom w:w="80" w:type="dxa"/>
              <w:start w:w="120" w:type="dxa"/>
              <w:end w:w="120" w:type="dxa"/>
            </w:tcMar>
          </w:tcPr>
          <w:p>
            <w:pPr>
              <w:bidi/>
              <w:spacing w:after="0"/>
              <w:jc w:val="right"/>
            </w:pPr>
            <w:r/>
            <w:r>
              <w:rPr>
                <w:rFonts w:ascii="Arial" w:hAnsi="Arial" w:cs="Arial"/>
                <w:b w:val="0"/>
                <w:sz w:val="21"/>
              </w:rPr>
              <w:t>תשתית, Auth, ליגות, הצטרפות, ניחושים, ניקוד ודירוג</w:t>
            </w:r>
          </w:p>
        </w:tc>
        <w:tc>
          <w:tcPr>
            <w:tcW w:type="dxa" w:w="2160"/>
            <w:vAlign w:val="center"/>
            <w:tcMar>
              <w:top w:w="80" w:type="dxa"/>
              <w:bottom w:w="80" w:type="dxa"/>
              <w:start w:w="120" w:type="dxa"/>
              <w:end w:w="120" w:type="dxa"/>
            </w:tcMar>
          </w:tcPr>
          <w:p>
            <w:pPr>
              <w:bidi/>
              <w:spacing w:after="0"/>
              <w:jc w:val="right"/>
            </w:pPr>
            <w:r/>
            <w:r>
              <w:rPr>
                <w:rFonts w:ascii="Arial" w:hAnsi="Arial" w:cs="Arial"/>
                <w:b w:val="0"/>
                <w:sz w:val="21"/>
              </w:rPr>
              <w:t>נמסר</w:t>
            </w:r>
          </w:p>
        </w:tc>
      </w:tr>
      <w:tr>
        <w:tc>
          <w:tcPr>
            <w:tcW w:type="dxa" w:w="1584"/>
            <w:vAlign w:val="center"/>
            <w:tcMar>
              <w:top w:w="80" w:type="dxa"/>
              <w:bottom w:w="80" w:type="dxa"/>
              <w:start w:w="120" w:type="dxa"/>
              <w:end w:w="120" w:type="dxa"/>
            </w:tcMar>
          </w:tcPr>
          <w:p>
            <w:pPr>
              <w:bidi/>
              <w:spacing w:after="0"/>
              <w:jc w:val="right"/>
            </w:pPr>
            <w:r/>
            <w:r>
              <w:rPr>
                <w:rFonts w:ascii="Arial" w:hAnsi="Arial" w:cs="Arial"/>
                <w:b w:val="0"/>
                <w:sz w:val="21"/>
              </w:rPr>
              <w:t>7/7b</w:t>
            </w:r>
          </w:p>
        </w:tc>
        <w:tc>
          <w:tcPr>
            <w:tcW w:type="dxa" w:w="5616"/>
            <w:vAlign w:val="center"/>
            <w:tcMar>
              <w:top w:w="80" w:type="dxa"/>
              <w:bottom w:w="80" w:type="dxa"/>
              <w:start w:w="120" w:type="dxa"/>
              <w:end w:w="120" w:type="dxa"/>
            </w:tcMar>
          </w:tcPr>
          <w:p>
            <w:pPr>
              <w:bidi/>
              <w:spacing w:after="0"/>
              <w:jc w:val="right"/>
            </w:pPr>
            <w:r/>
            <w:r>
              <w:rPr>
                <w:rFonts w:ascii="Arial" w:hAnsi="Arial" w:cs="Arial"/>
                <w:b w:val="0"/>
                <w:sz w:val="21"/>
              </w:rPr>
              <w:t>סנכרון ידני ו־API-Football</w:t>
            </w:r>
          </w:p>
        </w:tc>
        <w:tc>
          <w:tcPr>
            <w:tcW w:type="dxa" w:w="2160"/>
            <w:vAlign w:val="center"/>
            <w:tcMar>
              <w:top w:w="80" w:type="dxa"/>
              <w:bottom w:w="80" w:type="dxa"/>
              <w:start w:w="120" w:type="dxa"/>
              <w:end w:w="120" w:type="dxa"/>
            </w:tcMar>
          </w:tcPr>
          <w:p>
            <w:pPr>
              <w:bidi/>
              <w:spacing w:after="0"/>
              <w:jc w:val="right"/>
            </w:pPr>
            <w:r/>
            <w:r>
              <w:rPr>
                <w:rFonts w:ascii="Arial" w:hAnsi="Arial" w:cs="Arial"/>
                <w:b w:val="0"/>
                <w:sz w:val="21"/>
              </w:rPr>
              <w:t>נמסר; hosted canary</w:t>
            </w:r>
          </w:p>
        </w:tc>
      </w:tr>
      <w:tr>
        <w:tc>
          <w:tcPr>
            <w:tcW w:type="dxa" w:w="1584"/>
            <w:vAlign w:val="center"/>
            <w:tcMar>
              <w:top w:w="80" w:type="dxa"/>
              <w:bottom w:w="80" w:type="dxa"/>
              <w:start w:w="120" w:type="dxa"/>
              <w:end w:w="120" w:type="dxa"/>
            </w:tcMar>
          </w:tcPr>
          <w:p>
            <w:pPr>
              <w:bidi/>
              <w:spacing w:after="0"/>
              <w:jc w:val="right"/>
            </w:pPr>
            <w:r/>
            <w:r>
              <w:rPr>
                <w:rFonts w:ascii="Arial" w:hAnsi="Arial" w:cs="Arial"/>
                <w:b w:val="0"/>
                <w:sz w:val="21"/>
              </w:rPr>
              <w:t>8</w:t>
            </w:r>
          </w:p>
        </w:tc>
        <w:tc>
          <w:tcPr>
            <w:tcW w:type="dxa" w:w="5616"/>
            <w:vAlign w:val="center"/>
            <w:tcMar>
              <w:top w:w="80" w:type="dxa"/>
              <w:bottom w:w="80" w:type="dxa"/>
              <w:start w:w="120" w:type="dxa"/>
              <w:end w:w="120" w:type="dxa"/>
            </w:tcMar>
          </w:tcPr>
          <w:p>
            <w:pPr>
              <w:bidi/>
              <w:spacing w:after="0"/>
              <w:jc w:val="right"/>
            </w:pPr>
            <w:r/>
            <w:r>
              <w:rPr>
                <w:rFonts w:ascii="Arial" w:hAnsi="Arial" w:cs="Arial"/>
                <w:b w:val="0"/>
                <w:sz w:val="21"/>
              </w:rPr>
              <w:t>דוחות Demo</w:t>
            </w:r>
          </w:p>
        </w:tc>
        <w:tc>
          <w:tcPr>
            <w:tcW w:type="dxa" w:w="2160"/>
            <w:vAlign w:val="center"/>
            <w:tcMar>
              <w:top w:w="80" w:type="dxa"/>
              <w:bottom w:w="80" w:type="dxa"/>
              <w:start w:w="120" w:type="dxa"/>
              <w:end w:w="120" w:type="dxa"/>
            </w:tcMar>
          </w:tcPr>
          <w:p>
            <w:pPr>
              <w:bidi/>
              <w:spacing w:after="0"/>
              <w:jc w:val="right"/>
            </w:pPr>
            <w:r/>
            <w:r>
              <w:rPr>
                <w:rFonts w:ascii="Arial" w:hAnsi="Arial" w:cs="Arial"/>
                <w:b w:val="0"/>
                <w:sz w:val="21"/>
              </w:rPr>
              <w:t>השלב הבא</w:t>
            </w:r>
          </w:p>
        </w:tc>
      </w:tr>
      <w:tr>
        <w:tc>
          <w:tcPr>
            <w:tcW w:type="dxa" w:w="1584"/>
            <w:vAlign w:val="center"/>
            <w:tcMar>
              <w:top w:w="80" w:type="dxa"/>
              <w:bottom w:w="80" w:type="dxa"/>
              <w:start w:w="120" w:type="dxa"/>
              <w:end w:w="120" w:type="dxa"/>
            </w:tcMar>
          </w:tcPr>
          <w:p>
            <w:pPr>
              <w:bidi/>
              <w:spacing w:after="0"/>
              <w:jc w:val="right"/>
            </w:pPr>
            <w:r/>
            <w:r>
              <w:rPr>
                <w:rFonts w:ascii="Arial" w:hAnsi="Arial" w:cs="Arial"/>
                <w:b w:val="0"/>
                <w:sz w:val="21"/>
              </w:rPr>
              <w:t>9</w:t>
            </w:r>
          </w:p>
        </w:tc>
        <w:tc>
          <w:tcPr>
            <w:tcW w:type="dxa" w:w="5616"/>
            <w:vAlign w:val="center"/>
            <w:tcMar>
              <w:top w:w="80" w:type="dxa"/>
              <w:bottom w:w="80" w:type="dxa"/>
              <w:start w:w="120" w:type="dxa"/>
              <w:end w:w="120" w:type="dxa"/>
            </w:tcMar>
          </w:tcPr>
          <w:p>
            <w:pPr>
              <w:bidi/>
              <w:spacing w:after="0"/>
              <w:jc w:val="right"/>
            </w:pPr>
            <w:r/>
            <w:r>
              <w:rPr>
                <w:rFonts w:ascii="Arial" w:hAnsi="Arial" w:cs="Arial"/>
                <w:b w:val="0"/>
                <w:sz w:val="21"/>
              </w:rPr>
              <w:t>Hardening, מסמכים, פריסה והצגה</w:t>
            </w:r>
          </w:p>
        </w:tc>
        <w:tc>
          <w:tcPr>
            <w:tcW w:type="dxa" w:w="2160"/>
            <w:vAlign w:val="center"/>
            <w:tcMar>
              <w:top w:w="80" w:type="dxa"/>
              <w:bottom w:w="80" w:type="dxa"/>
              <w:start w:w="120" w:type="dxa"/>
              <w:end w:w="120" w:type="dxa"/>
            </w:tcMar>
          </w:tcPr>
          <w:p>
            <w:pPr>
              <w:bidi/>
              <w:spacing w:after="0"/>
              <w:jc w:val="right"/>
            </w:pPr>
            <w:r/>
            <w:r>
              <w:rPr>
                <w:rFonts w:ascii="Arial" w:hAnsi="Arial" w:cs="Arial"/>
                <w:b w:val="0"/>
                <w:sz w:val="21"/>
              </w:rPr>
              <w:t>לפני הגשה</w:t>
            </w:r>
          </w:p>
        </w:tc>
      </w:tr>
    </w:tbl>
    <w:p>
      <w:pPr>
        <w:pStyle w:val="Heading1"/>
        <w:bidi/>
        <w:spacing w:before="320" w:after="160"/>
        <w:jc w:val="right"/>
      </w:pPr>
      <w:r>
        <w:rPr>
          <w:rFonts w:ascii="Arial" w:hAnsi="Arial" w:cs="Arial"/>
          <w:b/>
          <w:color w:val="2E74B5"/>
          <w:sz w:val="32"/>
        </w:rPr>
        <w:t>קריטריוני הצלחה</w:t>
      </w:r>
    </w:p>
    <w:p>
      <w:pPr>
        <w:pStyle w:val="ListBullet"/>
        <w:bidi/>
        <w:spacing w:after="160" w:line="280" w:lineRule="auto"/>
        <w:ind w:left="720" w:hanging="360"/>
        <w:jc w:val="right"/>
      </w:pPr>
      <w:r>
        <w:rPr>
          <w:rFonts w:ascii="Arial" w:hAnsi="Arial" w:cs="Arial"/>
          <w:b w:val="0"/>
          <w:sz w:val="22"/>
        </w:rPr>
        <w:t>הזרימה המרכזית ניתנת להדגמה מקצה לקצה ב־Vercel.</w:t>
      </w:r>
    </w:p>
    <w:p>
      <w:pPr>
        <w:pStyle w:val="ListBullet"/>
        <w:bidi/>
        <w:spacing w:after="160" w:line="280" w:lineRule="auto"/>
        <w:ind w:left="720" w:hanging="360"/>
        <w:jc w:val="right"/>
      </w:pPr>
      <w:r>
        <w:rPr>
          <w:rFonts w:ascii="Arial" w:hAnsi="Arial" w:cs="Arial"/>
          <w:b w:val="0"/>
          <w:sz w:val="22"/>
        </w:rPr>
        <w:t>ניחוש אינו נשמר אחרי נעילה ואינו נחשף לאחר לפני הפתיחה.</w:t>
      </w:r>
    </w:p>
    <w:p>
      <w:pPr>
        <w:pStyle w:val="ListBullet"/>
        <w:bidi/>
        <w:spacing w:after="160" w:line="280" w:lineRule="auto"/>
        <w:ind w:left="720" w:hanging="360"/>
        <w:jc w:val="right"/>
      </w:pPr>
      <w:r>
        <w:rPr>
          <w:rFonts w:ascii="Arial" w:hAnsi="Arial" w:cs="Arial"/>
          <w:b w:val="0"/>
          <w:sz w:val="22"/>
        </w:rPr>
        <w:t>ניקוד חוזר ותיקון תוצאה נשארים דטרמיניסטיים.</w:t>
      </w:r>
    </w:p>
    <w:p>
      <w:pPr>
        <w:pStyle w:val="ListBullet"/>
        <w:bidi/>
        <w:spacing w:after="160" w:line="280" w:lineRule="auto"/>
        <w:ind w:left="720" w:hanging="360"/>
        <w:jc w:val="right"/>
      </w:pPr>
      <w:r>
        <w:rPr>
          <w:rFonts w:ascii="Arial" w:hAnsi="Arial" w:cs="Arial"/>
          <w:b w:val="0"/>
          <w:sz w:val="22"/>
        </w:rPr>
        <w:t>משתמש אינו קורא או משנה משאב של משתמש או ליגה אחרים.</w:t>
      </w:r>
    </w:p>
    <w:p>
      <w:pPr>
        <w:pStyle w:val="ListBullet"/>
        <w:bidi/>
        <w:spacing w:after="160" w:line="280" w:lineRule="auto"/>
        <w:ind w:left="720" w:hanging="360"/>
        <w:jc w:val="right"/>
      </w:pPr>
      <w:r>
        <w:rPr>
          <w:rFonts w:ascii="Arial" w:hAnsi="Arial" w:cs="Arial"/>
          <w:b w:val="0"/>
          <w:sz w:val="22"/>
        </w:rPr>
        <w:t>הממשק עבר בדיקת RTL, מובייל ונגישות בסיסית.</w:t>
      </w:r>
    </w:p>
    <w:p>
      <w:r>
        <w:br w:type="page"/>
      </w:r>
    </w:p>
    <w:p>
      <w:pPr>
        <w:pStyle w:val="Heading1"/>
        <w:bidi/>
        <w:spacing w:before="320" w:after="160"/>
        <w:jc w:val="right"/>
      </w:pPr>
      <w:r>
        <w:rPr>
          <w:rFonts w:ascii="Arial" w:hAnsi="Arial" w:cs="Arial"/>
          <w:b/>
          <w:color w:val="2E74B5"/>
          <w:sz w:val="32"/>
        </w:rPr>
        <w:t>תכנית סיום עד ההגשה</w:t>
      </w:r>
    </w:p>
    <w:tbl>
      <w:tblPr>
        <w:tblStyle w:val="TableGrid"/>
        <w:tblW w:type="auto" w:w="0"/>
        <w:tblLayout w:type="fixed"/>
        <w:tblLook w:firstColumn="1" w:firstRow="1" w:lastColumn="0" w:lastRow="0" w:noHBand="0" w:noVBand="1" w:val="04A0"/>
      </w:tblPr>
      <w:tblGrid>
        <w:gridCol w:w="2304"/>
        <w:gridCol w:w="3168"/>
        <w:gridCol w:w="3888"/>
      </w:tblGrid>
      <w:tr>
        <w:trPr>
          <w:tblHeader/>
        </w:trPr>
        <w:tc>
          <w:tcPr>
            <w:tcW w:type="dxa" w:w="3120"/>
            <w:vAlign w:val="center"/>
            <w:tcMar>
              <w:top w:w="80" w:type="dxa"/>
              <w:bottom w:w="80" w:type="dxa"/>
              <w:start w:w="120" w:type="dxa"/>
              <w:end w:w="120" w:type="dxa"/>
            </w:tcMar>
            <w:shd w:fill="E8EEF5"/>
          </w:tcPr>
          <w:p>
            <w:pPr>
              <w:bidi/>
              <w:spacing w:after="0"/>
              <w:jc w:val="right"/>
            </w:pPr>
            <w:r/>
            <w:r>
              <w:rPr>
                <w:rFonts w:ascii="Arial" w:hAnsi="Arial" w:cs="Arial"/>
                <w:b/>
                <w:color w:val="1F4D78"/>
                <w:sz w:val="21"/>
              </w:rPr>
              <w:t>תאריך</w:t>
            </w:r>
          </w:p>
        </w:tc>
        <w:tc>
          <w:tcPr>
            <w:tcW w:type="dxa" w:w="3120"/>
            <w:vAlign w:val="center"/>
            <w:tcMar>
              <w:top w:w="80" w:type="dxa"/>
              <w:bottom w:w="80" w:type="dxa"/>
              <w:start w:w="120" w:type="dxa"/>
              <w:end w:w="120" w:type="dxa"/>
            </w:tcMar>
            <w:shd w:fill="E8EEF5"/>
          </w:tcPr>
          <w:p>
            <w:pPr>
              <w:bidi/>
              <w:spacing w:after="0"/>
              <w:jc w:val="right"/>
            </w:pPr>
            <w:r/>
            <w:r>
              <w:rPr>
                <w:rFonts w:ascii="Arial" w:hAnsi="Arial" w:cs="Arial"/>
                <w:b/>
                <w:color w:val="1F4D78"/>
                <w:sz w:val="21"/>
              </w:rPr>
              <w:t>יעד</w:t>
            </w:r>
          </w:p>
        </w:tc>
        <w:tc>
          <w:tcPr>
            <w:tcW w:type="dxa" w:w="3120"/>
            <w:vAlign w:val="center"/>
            <w:tcMar>
              <w:top w:w="80" w:type="dxa"/>
              <w:bottom w:w="80" w:type="dxa"/>
              <w:start w:w="120" w:type="dxa"/>
              <w:end w:w="120" w:type="dxa"/>
            </w:tcMar>
            <w:shd w:fill="E8EEF5"/>
          </w:tcPr>
          <w:p>
            <w:pPr>
              <w:bidi/>
              <w:spacing w:after="0"/>
              <w:jc w:val="right"/>
            </w:pPr>
            <w:r/>
            <w:r>
              <w:rPr>
                <w:rFonts w:ascii="Arial" w:hAnsi="Arial" w:cs="Arial"/>
                <w:b/>
                <w:color w:val="1F4D78"/>
                <w:sz w:val="21"/>
              </w:rPr>
              <w:t>Definition of Done</w:t>
            </w:r>
          </w:p>
        </w:tc>
      </w:tr>
      <w:tr>
        <w:tc>
          <w:tcPr>
            <w:tcW w:type="dxa" w:w="2304"/>
            <w:vAlign w:val="center"/>
            <w:tcMar>
              <w:top w:w="80" w:type="dxa"/>
              <w:bottom w:w="80" w:type="dxa"/>
              <w:start w:w="120" w:type="dxa"/>
              <w:end w:w="120" w:type="dxa"/>
            </w:tcMar>
          </w:tcPr>
          <w:p>
            <w:pPr>
              <w:bidi/>
              <w:spacing w:after="0"/>
              <w:jc w:val="right"/>
            </w:pPr>
            <w:r/>
            <w:r>
              <w:rPr>
                <w:rFonts w:ascii="Arial" w:hAnsi="Arial" w:cs="Arial"/>
                <w:b w:val="0"/>
                <w:sz w:val="21"/>
              </w:rPr>
              <w:t>24–28 באוגוסט</w:t>
            </w:r>
          </w:p>
        </w:tc>
        <w:tc>
          <w:tcPr>
            <w:tcW w:type="dxa" w:w="3168"/>
            <w:vAlign w:val="center"/>
            <w:tcMar>
              <w:top w:w="80" w:type="dxa"/>
              <w:bottom w:w="80" w:type="dxa"/>
              <w:start w:w="120" w:type="dxa"/>
              <w:end w:w="120" w:type="dxa"/>
            </w:tcMar>
          </w:tcPr>
          <w:p>
            <w:pPr>
              <w:bidi/>
              <w:spacing w:after="0"/>
              <w:jc w:val="right"/>
            </w:pPr>
            <w:r/>
            <w:r>
              <w:rPr>
                <w:rFonts w:ascii="Arial" w:hAnsi="Arial" w:cs="Arial"/>
                <w:b w:val="0"/>
                <w:sz w:val="21"/>
              </w:rPr>
              <w:t>Hosted canary וסגירת Slice 7b</w:t>
            </w:r>
          </w:p>
        </w:tc>
        <w:tc>
          <w:tcPr>
            <w:tcW w:type="dxa" w:w="3888"/>
            <w:vAlign w:val="center"/>
            <w:tcMar>
              <w:top w:w="80" w:type="dxa"/>
              <w:bottom w:w="80" w:type="dxa"/>
              <w:start w:w="120" w:type="dxa"/>
              <w:end w:w="120" w:type="dxa"/>
            </w:tcMar>
          </w:tcPr>
          <w:p>
            <w:pPr>
              <w:bidi/>
              <w:spacing w:after="0"/>
              <w:jc w:val="right"/>
            </w:pPr>
            <w:r/>
            <w:r>
              <w:rPr>
                <w:rFonts w:ascii="Arial" w:hAnsi="Arial" w:cs="Arial"/>
                <w:b w:val="0"/>
                <w:sz w:val="21"/>
              </w:rPr>
              <w:t>סנכרון עובד ב־Preview/Production ומסלול ידני נשמר</w:t>
            </w:r>
          </w:p>
        </w:tc>
      </w:tr>
      <w:tr>
        <w:tc>
          <w:tcPr>
            <w:tcW w:type="dxa" w:w="2304"/>
            <w:vAlign w:val="center"/>
            <w:tcMar>
              <w:top w:w="80" w:type="dxa"/>
              <w:bottom w:w="80" w:type="dxa"/>
              <w:start w:w="120" w:type="dxa"/>
              <w:end w:w="120" w:type="dxa"/>
            </w:tcMar>
          </w:tcPr>
          <w:p>
            <w:pPr>
              <w:bidi/>
              <w:spacing w:after="0"/>
              <w:jc w:val="right"/>
            </w:pPr>
            <w:r/>
            <w:r>
              <w:rPr>
                <w:rFonts w:ascii="Arial" w:hAnsi="Arial" w:cs="Arial"/>
                <w:b w:val="0"/>
                <w:sz w:val="21"/>
              </w:rPr>
              <w:t>29–30 באוגוסט</w:t>
            </w:r>
          </w:p>
        </w:tc>
        <w:tc>
          <w:tcPr>
            <w:tcW w:type="dxa" w:w="3168"/>
            <w:vAlign w:val="center"/>
            <w:tcMar>
              <w:top w:w="80" w:type="dxa"/>
              <w:bottom w:w="80" w:type="dxa"/>
              <w:start w:w="120" w:type="dxa"/>
              <w:end w:w="120" w:type="dxa"/>
            </w:tcMar>
          </w:tcPr>
          <w:p>
            <w:pPr>
              <w:bidi/>
              <w:spacing w:after="0"/>
              <w:jc w:val="right"/>
            </w:pPr>
            <w:r/>
            <w:r>
              <w:rPr>
                <w:rFonts w:ascii="Arial" w:hAnsi="Arial" w:cs="Arial"/>
                <w:b w:val="0"/>
                <w:sz w:val="21"/>
              </w:rPr>
              <w:t>Slice 8 — דוחות Demo</w:t>
            </w:r>
          </w:p>
        </w:tc>
        <w:tc>
          <w:tcPr>
            <w:tcW w:type="dxa" w:w="3888"/>
            <w:vAlign w:val="center"/>
            <w:tcMar>
              <w:top w:w="80" w:type="dxa"/>
              <w:bottom w:w="80" w:type="dxa"/>
              <w:start w:w="120" w:type="dxa"/>
              <w:end w:w="120" w:type="dxa"/>
            </w:tcMar>
          </w:tcPr>
          <w:p>
            <w:pPr>
              <w:bidi/>
              <w:spacing w:after="0"/>
              <w:jc w:val="right"/>
            </w:pPr>
            <w:r/>
            <w:r>
              <w:rPr>
                <w:rFonts w:ascii="Arial" w:hAnsi="Arial" w:cs="Arial"/>
                <w:b w:val="0"/>
                <w:sz w:val="21"/>
              </w:rPr>
              <w:t>נוסחאות approved/pending וחלוקת שוויון מכוסות בבדיקות</w:t>
            </w:r>
          </w:p>
        </w:tc>
      </w:tr>
      <w:tr>
        <w:tc>
          <w:tcPr>
            <w:tcW w:type="dxa" w:w="2304"/>
            <w:vAlign w:val="center"/>
            <w:tcMar>
              <w:top w:w="80" w:type="dxa"/>
              <w:bottom w:w="80" w:type="dxa"/>
              <w:start w:w="120" w:type="dxa"/>
              <w:end w:w="120" w:type="dxa"/>
            </w:tcMar>
          </w:tcPr>
          <w:p>
            <w:pPr>
              <w:bidi/>
              <w:spacing w:after="0"/>
              <w:jc w:val="right"/>
            </w:pPr>
            <w:r/>
            <w:r>
              <w:rPr>
                <w:rFonts w:ascii="Arial" w:hAnsi="Arial" w:cs="Arial"/>
                <w:b w:val="0"/>
                <w:sz w:val="21"/>
              </w:rPr>
              <w:t>31 באוגוסט–3 בספטמבר</w:t>
            </w:r>
          </w:p>
        </w:tc>
        <w:tc>
          <w:tcPr>
            <w:tcW w:type="dxa" w:w="3168"/>
            <w:vAlign w:val="center"/>
            <w:tcMar>
              <w:top w:w="80" w:type="dxa"/>
              <w:bottom w:w="80" w:type="dxa"/>
              <w:start w:w="120" w:type="dxa"/>
              <w:end w:w="120" w:type="dxa"/>
            </w:tcMar>
          </w:tcPr>
          <w:p>
            <w:pPr>
              <w:bidi/>
              <w:spacing w:after="0"/>
              <w:jc w:val="right"/>
            </w:pPr>
            <w:r/>
            <w:r>
              <w:rPr>
                <w:rFonts w:ascii="Arial" w:hAnsi="Arial" w:cs="Arial"/>
                <w:b w:val="0"/>
                <w:sz w:val="21"/>
              </w:rPr>
              <w:t>Slice 9 — Hardening</w:t>
            </w:r>
          </w:p>
        </w:tc>
        <w:tc>
          <w:tcPr>
            <w:tcW w:type="dxa" w:w="3888"/>
            <w:vAlign w:val="center"/>
            <w:tcMar>
              <w:top w:w="80" w:type="dxa"/>
              <w:bottom w:w="80" w:type="dxa"/>
              <w:start w:w="120" w:type="dxa"/>
              <w:end w:w="120" w:type="dxa"/>
            </w:tcMar>
          </w:tcPr>
          <w:p>
            <w:pPr>
              <w:bidi/>
              <w:spacing w:after="0"/>
              <w:jc w:val="right"/>
            </w:pPr>
            <w:r/>
            <w:r>
              <w:rPr>
                <w:rFonts w:ascii="Arial" w:hAnsi="Arial" w:cs="Arial"/>
                <w:b w:val="0"/>
                <w:sz w:val="21"/>
              </w:rPr>
              <w:t>E2E, נגישות, RTL, אבטחה, scale, README ופריסה</w:t>
            </w:r>
          </w:p>
        </w:tc>
      </w:tr>
      <w:tr>
        <w:tc>
          <w:tcPr>
            <w:tcW w:type="dxa" w:w="2304"/>
            <w:vAlign w:val="center"/>
            <w:tcMar>
              <w:top w:w="80" w:type="dxa"/>
              <w:bottom w:w="80" w:type="dxa"/>
              <w:start w:w="120" w:type="dxa"/>
              <w:end w:w="120" w:type="dxa"/>
            </w:tcMar>
          </w:tcPr>
          <w:p>
            <w:pPr>
              <w:bidi/>
              <w:spacing w:after="0"/>
              <w:jc w:val="right"/>
            </w:pPr>
            <w:r/>
            <w:r>
              <w:rPr>
                <w:rFonts w:ascii="Arial" w:hAnsi="Arial" w:cs="Arial"/>
                <w:b w:val="0"/>
                <w:sz w:val="21"/>
              </w:rPr>
              <w:t>4–5 בספטמבר</w:t>
            </w:r>
          </w:p>
        </w:tc>
        <w:tc>
          <w:tcPr>
            <w:tcW w:type="dxa" w:w="3168"/>
            <w:vAlign w:val="center"/>
            <w:tcMar>
              <w:top w:w="80" w:type="dxa"/>
              <w:bottom w:w="80" w:type="dxa"/>
              <w:start w:w="120" w:type="dxa"/>
              <w:end w:w="120" w:type="dxa"/>
            </w:tcMar>
          </w:tcPr>
          <w:p>
            <w:pPr>
              <w:bidi/>
              <w:spacing w:after="0"/>
              <w:jc w:val="right"/>
            </w:pPr>
            <w:r/>
            <w:r>
              <w:rPr>
                <w:rFonts w:ascii="Arial" w:hAnsi="Arial" w:cs="Arial"/>
                <w:b w:val="0"/>
                <w:sz w:val="21"/>
              </w:rPr>
              <w:t>חזרה ותיקוני blocker</w:t>
            </w:r>
          </w:p>
        </w:tc>
        <w:tc>
          <w:tcPr>
            <w:tcW w:type="dxa" w:w="3888"/>
            <w:vAlign w:val="center"/>
            <w:tcMar>
              <w:top w:w="80" w:type="dxa"/>
              <w:bottom w:w="80" w:type="dxa"/>
              <w:start w:w="120" w:type="dxa"/>
              <w:end w:w="120" w:type="dxa"/>
            </w:tcMar>
          </w:tcPr>
          <w:p>
            <w:pPr>
              <w:bidi/>
              <w:spacing w:after="0"/>
              <w:jc w:val="right"/>
            </w:pPr>
            <w:r/>
            <w:r>
              <w:rPr>
                <w:rFonts w:ascii="Arial" w:hAnsi="Arial" w:cs="Arial"/>
                <w:b w:val="0"/>
                <w:sz w:val="21"/>
              </w:rPr>
              <w:t>תרחיש הדגמה מלא ורשימת הגשה סגורה</w:t>
            </w:r>
          </w:p>
        </w:tc>
      </w:tr>
      <w:tr>
        <w:tc>
          <w:tcPr>
            <w:tcW w:type="dxa" w:w="2304"/>
            <w:vAlign w:val="center"/>
            <w:tcMar>
              <w:top w:w="80" w:type="dxa"/>
              <w:bottom w:w="80" w:type="dxa"/>
              <w:start w:w="120" w:type="dxa"/>
              <w:end w:w="120" w:type="dxa"/>
            </w:tcMar>
          </w:tcPr>
          <w:p>
            <w:pPr>
              <w:bidi/>
              <w:spacing w:after="0"/>
              <w:jc w:val="right"/>
            </w:pPr>
            <w:r/>
            <w:r>
              <w:rPr>
                <w:rFonts w:ascii="Arial" w:hAnsi="Arial" w:cs="Arial"/>
                <w:b w:val="0"/>
                <w:sz w:val="21"/>
              </w:rPr>
              <w:t>6 בספטמבר</w:t>
            </w:r>
          </w:p>
        </w:tc>
        <w:tc>
          <w:tcPr>
            <w:tcW w:type="dxa" w:w="3168"/>
            <w:vAlign w:val="center"/>
            <w:tcMar>
              <w:top w:w="80" w:type="dxa"/>
              <w:bottom w:w="80" w:type="dxa"/>
              <w:start w:w="120" w:type="dxa"/>
              <w:end w:w="120" w:type="dxa"/>
            </w:tcMar>
          </w:tcPr>
          <w:p>
            <w:pPr>
              <w:bidi/>
              <w:spacing w:after="0"/>
              <w:jc w:val="right"/>
            </w:pPr>
            <w:r/>
            <w:r>
              <w:rPr>
                <w:rFonts w:ascii="Arial" w:hAnsi="Arial" w:cs="Arial"/>
                <w:b w:val="0"/>
                <w:sz w:val="21"/>
              </w:rPr>
              <w:t>הגשה</w:t>
            </w:r>
          </w:p>
        </w:tc>
        <w:tc>
          <w:tcPr>
            <w:tcW w:type="dxa" w:w="3888"/>
            <w:vAlign w:val="center"/>
            <w:tcMar>
              <w:top w:w="80" w:type="dxa"/>
              <w:bottom w:w="80" w:type="dxa"/>
              <w:start w:w="120" w:type="dxa"/>
              <w:end w:w="120" w:type="dxa"/>
            </w:tcMar>
          </w:tcPr>
          <w:p>
            <w:pPr>
              <w:bidi/>
              <w:spacing w:after="0"/>
              <w:jc w:val="right"/>
            </w:pPr>
            <w:r/>
            <w:r>
              <w:rPr>
                <w:rFonts w:ascii="Arial" w:hAnsi="Arial" w:cs="Arial"/>
                <w:b w:val="0"/>
                <w:sz w:val="21"/>
              </w:rPr>
              <w:t>קישור Vercel, GitHub, ספר פרויקט ומצגת</w:t>
            </w:r>
          </w:p>
        </w:tc>
      </w:tr>
    </w:tbl>
    <w:p>
      <w:pPr>
        <w:pStyle w:val="Heading1"/>
        <w:bidi/>
        <w:spacing w:before="320" w:after="160"/>
        <w:jc w:val="right"/>
      </w:pPr>
      <w:r>
        <w:rPr>
          <w:rFonts w:ascii="Arial" w:hAnsi="Arial" w:cs="Arial"/>
          <w:b/>
          <w:color w:val="2E74B5"/>
          <w:sz w:val="32"/>
        </w:rPr>
        <w:t>מה לא מפתחים לפני ההגשה</w:t>
      </w:r>
    </w:p>
    <w:p>
      <w:pPr>
        <w:pStyle w:val="ListBullet"/>
        <w:bidi/>
        <w:spacing w:after="160" w:line="280" w:lineRule="auto"/>
        <w:ind w:left="720" w:hanging="360"/>
        <w:jc w:val="right"/>
      </w:pPr>
      <w:r>
        <w:rPr>
          <w:rFonts w:ascii="Arial" w:hAnsi="Arial" w:cs="Arial"/>
          <w:b w:val="0"/>
          <w:sz w:val="22"/>
        </w:rPr>
        <w:t>טקסט מחולל או ספקי מודלים.</w:t>
      </w:r>
    </w:p>
    <w:p>
      <w:pPr>
        <w:pStyle w:val="ListBullet"/>
        <w:bidi/>
        <w:spacing w:after="160" w:line="280" w:lineRule="auto"/>
        <w:ind w:left="720" w:hanging="360"/>
        <w:jc w:val="right"/>
      </w:pPr>
      <w:r>
        <w:rPr>
          <w:rFonts w:ascii="Arial" w:hAnsi="Arial" w:cs="Arial"/>
          <w:b w:val="0"/>
          <w:sz w:val="22"/>
        </w:rPr>
        <w:t>כסף אמיתי, סליקה, מנויים או מסמכים פיננסיים אמיתיים.</w:t>
      </w:r>
    </w:p>
    <w:p>
      <w:pPr>
        <w:pStyle w:val="ListBullet"/>
        <w:bidi/>
        <w:spacing w:after="160" w:line="280" w:lineRule="auto"/>
        <w:ind w:left="720" w:hanging="360"/>
        <w:jc w:val="right"/>
      </w:pPr>
      <w:r>
        <w:rPr>
          <w:rFonts w:ascii="Arial" w:hAnsi="Arial" w:cs="Arial"/>
          <w:b w:val="0"/>
          <w:sz w:val="22"/>
        </w:rPr>
        <w:t>אפליקציה Native, צ'אט, התראות או מנגנוני משחק נוספים.</w:t>
      </w:r>
    </w:p>
    <w:p>
      <w:pPr>
        <w:pStyle w:val="ListBullet"/>
        <w:bidi/>
        <w:spacing w:after="160" w:line="280" w:lineRule="auto"/>
        <w:ind w:left="720" w:hanging="360"/>
        <w:jc w:val="right"/>
      </w:pPr>
      <w:r>
        <w:rPr>
          <w:rFonts w:ascii="Arial" w:hAnsi="Arial" w:cs="Arial"/>
          <w:b w:val="0"/>
          <w:sz w:val="22"/>
        </w:rPr>
        <w:t>תשתיות חדשות שאינן נדרשות ליציבות, אבטחה או דרישות הקורס.</w:t>
      </w:r>
    </w:p>
    <w:p>
      <w:pPr>
        <w:pStyle w:val="Heading1"/>
        <w:bidi/>
        <w:spacing w:before="320" w:after="160"/>
        <w:jc w:val="right"/>
      </w:pPr>
      <w:r>
        <w:rPr>
          <w:rFonts w:ascii="Arial" w:hAnsi="Arial" w:cs="Arial"/>
          <w:b/>
          <w:color w:val="2E74B5"/>
          <w:sz w:val="32"/>
        </w:rPr>
        <w:t>מקורות אמת</w:t>
      </w:r>
    </w:p>
    <w:p>
      <w:pPr>
        <w:bidi/>
        <w:spacing w:after="120" w:line="264" w:lineRule="auto"/>
        <w:jc w:val="right"/>
      </w:pPr>
      <w:r>
        <w:rPr>
          <w:rFonts w:ascii="Arial" w:hAnsi="Arial" w:cs="Arial"/>
          <w:b w:val="0"/>
          <w:sz w:val="22"/>
        </w:rPr>
        <w:t>היקף המוצר: docs/product.md | גבולות ארכיטקטורה ואבטחה: docs/architecture.md | סדר מימוש ובדיקות: docs/technical-plan.md. במקרה של סתירה, מעדכנים את המקור הקנוני ואת הקוד באותו שינוי.</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right"/>
    </w:pPr>
    <w:r>
      <w:rPr>
        <w:rFonts w:ascii="Arial" w:hAnsi="Arial" w:cs="Arial"/>
        <w:b w:val="0"/>
        <w:color w:val="5A5A5A"/>
        <w:sz w:val="17"/>
      </w:rPr>
      <w:t>RUNI — טכנולוגיות אינטרנט 2026 | גרסה 1.0 | 24.8.2026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right"/>
    </w:pPr>
    <w:r>
      <w:rPr>
        <w:rFonts w:ascii="Arial" w:hAnsi="Arial" w:cs="Arial"/>
        <w:b/>
        <w:color w:val="5A5A5A"/>
        <w:sz w:val="18"/>
      </w:rPr>
      <w:t>Predictor1 | ספר פרויקט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