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80" w:before="0"/>
        <w:jc w:val="center"/>
      </w:pPr>
      <w:r>
        <w:rPr>
          <w:rFonts w:ascii="Calibri" w:cs="Calibri" w:eastAsia="Calibri" w:hAnsi="Calibri"/>
          <w:b/>
          <w:bCs/>
          <w:i w:val="false"/>
          <w:iCs w:val="false"/>
          <w:caps w:val="false"/>
          <w:color w:val="14213D"/>
          <w:spacing w:val="30"/>
          <w:sz w:val="62"/>
          <w:szCs w:val="62"/>
        </w:rPr>
        <w:t xml:space="preserve">CLINENTORA</w:t>
      </w:r>
    </w:p>
    <w:p>
      <w:pPr>
        <w:spacing w:after="480" w:before="0"/>
        <w:jc w:val="center"/>
      </w:pPr>
      <w:r>
        <w:rPr>
          <w:rFonts w:ascii="Calibri" w:cs="Calibri" w:eastAsia="Calibri" w:hAnsi="Calibri"/>
          <w:b/>
          <w:bCs/>
          <w:i w:val="false"/>
          <w:iCs w:val="false"/>
          <w:caps w:val="false"/>
          <w:color w:val="0E7C7B"/>
          <w:sz w:val="21"/>
          <w:szCs w:val="21"/>
        </w:rPr>
        <w:t xml:space="preserve">L E G A L   D O C K E T I N G   P L A T F O R M</w:t>
      </w:r>
    </w:p>
    <w:p>
      <w:pPr>
        <w:pBdr>
          <w:bottom w:val="single" w:color="0E7C7B" w:sz="8" w:space="1"/>
        </w:pBdr>
        <w:spacing w:after="480" w:before="0"/>
        <w:ind w:left="2200" w:right="2200"/>
      </w:pPr>
    </w:p>
    <w:p>
      <w:pPr>
        <w:spacing w:after="80" w:before="0"/>
        <w:jc w:val="center"/>
      </w:pPr>
      <w:r>
        <w:rPr>
          <w:rFonts w:ascii="Calibri" w:cs="Calibri" w:eastAsia="Calibri" w:hAnsi="Calibri"/>
          <w:b/>
          <w:bCs/>
          <w:i w:val="false"/>
          <w:iCs w:val="false"/>
          <w:caps w:val="false"/>
          <w:color w:val="14213D"/>
          <w:sz w:val="30"/>
          <w:szCs w:val="30"/>
        </w:rPr>
        <w:t xml:space="preserve">Every practice area. Every deadline. Handled.</w:t>
      </w:r>
    </w:p>
    <w:p>
      <w:pPr>
        <w:spacing w:after="600" w:before="0"/>
        <w:jc w:val="center"/>
      </w:pPr>
      <w:r>
        <w:rPr>
          <w:rFonts w:ascii="Calibri" w:cs="Calibri" w:eastAsia="Calibri" w:hAnsi="Calibri"/>
          <w:b w:val="false"/>
          <w:bCs w:val="false"/>
          <w:i/>
          <w:iCs/>
          <w:caps w:val="false"/>
          <w:color w:val="4A5568"/>
          <w:sz w:val="24"/>
          <w:szCs w:val="24"/>
        </w:rPr>
        <w:t xml:space="preserve">Automatic docketing built for the full scope of legal practice.</w:t>
      </w:r>
    </w:p>
    <w:p>
      <w:pPr>
        <w:spacing w:after="0" w:before="0"/>
      </w:pPr>
    </w:p>
    <w:p>
      <w:pPr>
        <w:spacing w:after="0" w:before="0"/>
      </w:pPr>
    </w:p>
    <w:p>
      <w:pPr>
        <w:spacing w:after="0" w:before="0"/>
      </w:pPr>
    </w:p>
    <w:p>
      <w:pPr>
        <w:spacing w:after="40" w:before="0"/>
        <w:jc w:val="center"/>
      </w:pPr>
      <w:r>
        <w:rPr>
          <w:rFonts w:ascii="Calibri" w:cs="Calibri" w:eastAsia="Calibri" w:hAnsi="Calibri"/>
          <w:b w:val="false"/>
          <w:bCs w:val="false"/>
          <w:i w:val="false"/>
          <w:iCs w:val="false"/>
          <w:caps w:val="false"/>
          <w:color w:val="718096"/>
          <w:sz w:val="21"/>
          <w:szCs w:val="21"/>
        </w:rPr>
        <w:t xml:space="preserve">A Practice Brief for Law Firms of All Types</w:t>
      </w:r>
    </w:p>
    <w:p>
      <w:pPr>
        <w:spacing w:after="0" w:before="0"/>
        <w:jc w:val="center"/>
      </w:pPr>
      <w:r>
        <w:rPr>
          <w:rFonts w:ascii="Calibri" w:cs="Calibri" w:eastAsia="Calibri" w:hAnsi="Calibri"/>
          <w:b w:val="false"/>
          <w:bCs w:val="false"/>
          <w:i w:val="false"/>
          <w:iCs w:val="false"/>
          <w:caps w:val="false"/>
          <w:color w:val="718096"/>
          <w:sz w:val="19"/>
          <w:szCs w:val="19"/>
        </w:rPr>
        <w:t xml:space="preserve">clinentora.com  ·  hello@clinentora.com</w:t>
      </w:r>
    </w:p>
    <w:p>
      <w:pPr>
        <w:spacing w:after="0" w:before="0"/>
      </w:pPr>
      <w:r>
        <w:br w:type="page"/>
      </w:r>
    </w:p>
    <w:p>
      <w:pPr>
        <w:spacing w:after="60" w:before="220"/>
        <w:jc w:val="left"/>
      </w:pPr>
      <w:r>
        <w:rPr>
          <w:rFonts w:ascii="Calibri" w:cs="Calibri" w:eastAsia="Calibri" w:hAnsi="Calibri"/>
          <w:b/>
          <w:bCs/>
          <w:i w:val="false"/>
          <w:iCs w:val="false"/>
          <w:caps w:val="false"/>
          <w:color w:val="0E7C7B"/>
          <w:spacing w:val="25"/>
          <w:sz w:val="17"/>
          <w:szCs w:val="17"/>
        </w:rPr>
        <w:t xml:space="preserve">A NOTE TO LEGAL PRACTITIONERS</w:t>
      </w:r>
    </w:p>
    <w:p>
      <w:pPr>
        <w:pStyle w:val="Heading1"/>
        <w:spacing w:after="200" w:before="0"/>
      </w:pPr>
      <w:r>
        <w:rPr>
          <w:rFonts w:ascii="Calibri" w:cs="Calibri" w:eastAsia="Calibri" w:hAnsi="Calibri"/>
          <w:b/>
          <w:bCs/>
          <w:i w:val="false"/>
          <w:iCs w:val="false"/>
          <w:caps w:val="false"/>
          <w:color w:val="14213D"/>
          <w:sz w:val="34"/>
          <w:szCs w:val="34"/>
        </w:rPr>
        <w:t xml:space="preserve">Whatever you practice, deadlines are the one thing you cannot get wrong.</w:t>
      </w:r>
    </w:p>
    <w:p>
      <w:pPr>
        <w:spacing w:after="180" w:before="100" w:line="340"/>
        <w:jc w:val="left"/>
      </w:pPr>
      <w:r>
        <w:rPr>
          <w:rFonts w:ascii="Calibri" w:cs="Calibri" w:eastAsia="Calibri" w:hAnsi="Calibri"/>
          <w:b w:val="false"/>
          <w:bCs w:val="false"/>
          <w:i w:val="false"/>
          <w:iCs w:val="false"/>
          <w:caps w:val="false"/>
          <w:color w:val="14213D"/>
          <w:sz w:val="25"/>
          <w:szCs w:val="25"/>
        </w:rPr>
        <w:t xml:space="preserve">Every area of legal practice is governed by time. Filing windows, response periods, court-imposed schedules, regulatory submission deadlines, statutory limitation periods — the list is different for every practice area, but the consequence of missing one is always the same.</w:t>
      </w:r>
    </w:p>
    <w:p>
      <w:pPr>
        <w:spacing w:after="80" w:before="60" w:line="296"/>
        <w:jc w:val="left"/>
      </w:pPr>
      <w:r>
        <w:rPr>
          <w:rFonts w:ascii="Calibri" w:cs="Calibri" w:eastAsia="Calibri" w:hAnsi="Calibri"/>
          <w:b w:val="false"/>
          <w:bCs w:val="false"/>
          <w:i w:val="false"/>
          <w:iCs w:val="false"/>
          <w:caps w:val="false"/>
          <w:color w:val="4A5568"/>
          <w:sz w:val="21"/>
          <w:szCs w:val="21"/>
        </w:rPr>
        <w:t xml:space="preserve">This brief is for any law firm that manages deadlines — which means every law firm. Whether your practice is intellectual property, litigation, immigration, corporate, family law, bankruptcy, employment, real estate, healthcare, tax, environmental, criminal defense, or appellate work, Clinentora was built to handle the docketing demands of your specific practice area.</w:t>
      </w:r>
    </w:p>
    <w:p>
      <w:pPr>
        <w:spacing w:after="80" w:before="60" w:line="296"/>
        <w:jc w:val="left"/>
      </w:pPr>
      <w:r>
        <w:rPr>
          <w:rFonts w:ascii="Calibri" w:cs="Calibri" w:eastAsia="Calibri" w:hAnsi="Calibri"/>
          <w:b w:val="false"/>
          <w:bCs w:val="false"/>
          <w:i w:val="false"/>
          <w:iCs w:val="false"/>
          <w:caps w:val="false"/>
          <w:color w:val="4A5568"/>
          <w:sz w:val="21"/>
          <w:szCs w:val="21"/>
        </w:rPr>
        <w:t xml:space="preserve">Most docketing tools are built for one domain — usually IP or general litigation — and ask firms in other practice areas to adapt around what the software doesn't do. Clinentora was built differently: a single platform that understands the deadline universe of every major practice area, and handles each one natively.</w:t>
      </w:r>
    </w:p>
    <w:p>
      <w:pPr>
        <w:pBdr>
          <w:left w:val="single" w:color="0E7C7B" w:sz="28" w:space="8"/>
        </w:pBdr>
        <w:spacing w:after="180" w:before="160" w:line="340"/>
        <w:ind w:left="400" w:right="400"/>
      </w:pPr>
      <w:r>
        <w:rPr>
          <w:rFonts w:ascii="Calibri" w:cs="Calibri" w:eastAsia="Calibri" w:hAnsi="Calibri"/>
          <w:b w:val="false"/>
          <w:bCs w:val="false"/>
          <w:i/>
          <w:iCs/>
          <w:caps w:val="false"/>
          <w:color w:val="14213D"/>
          <w:sz w:val="25"/>
          <w:szCs w:val="25"/>
        </w:rPr>
        <w:t xml:space="preserve">“The work that fills your days is irreplaceable. The work of manually tracking when each piece of that work is due — reading documents, calculating deadlines, entering dates — is not.”</w:t>
      </w:r>
    </w:p>
    <w:p>
      <w:pPr>
        <w:spacing w:after="0" w:before="0"/>
      </w:pPr>
    </w:p>
    <w:p>
      <w:pPr>
        <w:spacing w:after="60" w:before="160"/>
      </w:pPr>
      <w:r>
        <w:rPr>
          <w:rFonts w:ascii="Calibri" w:cs="Calibri" w:eastAsia="Calibri" w:hAnsi="Calibri"/>
          <w:b/>
          <w:bCs/>
          <w:i w:val="false"/>
          <w:iCs w:val="false"/>
          <w:caps w:val="false"/>
          <w:color w:val="0E7C7B"/>
          <w:sz w:val="22"/>
          <w:szCs w:val="22"/>
        </w:rPr>
        <w:t xml:space="preserve">What this brief covers:</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The universal problem with legal deadline management</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How Clinentora's automatic and AI-powered platform works</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Your specific practice area — and exactly what Clinentora handles for it</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Platform features, security, and how switching works</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The team behind Clinentora</w:t>
      </w:r>
    </w:p>
    <w:p>
      <w:pPr>
        <w:spacing w:after="0" w:before="0"/>
      </w:pPr>
      <w:r>
        <w:br w:type="page"/>
      </w:r>
    </w:p>
    <w:p>
      <w:pPr>
        <w:shd w:fill="14213D" w:val="clear"/>
        <w:spacing w:after="60" w:before="0"/>
        <w:ind w:left="200"/>
      </w:pPr>
      <w:r>
        <w:rPr>
          <w:rFonts w:ascii="Calibri" w:cs="Calibri" w:eastAsia="Calibri" w:hAnsi="Calibri"/>
          <w:b/>
          <w:bCs/>
          <w:i w:val="false"/>
          <w:iCs w:val="false"/>
          <w:caps w:val="false"/>
          <w:color w:val="FFFFFF"/>
          <w:sz w:val="36"/>
          <w:szCs w:val="36"/>
        </w:rPr>
        <w:t xml:space="preserve">The Universal Problem</w:t>
      </w:r>
    </w:p>
    <w:p>
      <w:pPr>
        <w:shd w:fill="14213D" w:val="clear"/>
        <w:spacing w:after="0" w:before="0"/>
        <w:ind w:left="200"/>
      </w:pPr>
      <w:r>
        <w:rPr>
          <w:rFonts w:ascii="Calibri" w:cs="Calibri" w:eastAsia="Calibri" w:hAnsi="Calibri"/>
          <w:b w:val="false"/>
          <w:bCs w:val="false"/>
          <w:i/>
          <w:iCs/>
          <w:caps w:val="false"/>
          <w:color w:val="FFFFFF"/>
          <w:sz w:val="21"/>
          <w:szCs w:val="21"/>
        </w:rPr>
        <w:t xml:space="preserve">Every practice area. The same underlying risk.</w:t>
      </w:r>
    </w:p>
    <w:p>
      <w:pPr>
        <w:shd w:fill="14213D" w:val="clear"/>
        <w:spacing w:after="0" w:before="0"/>
      </w:pPr>
      <w:r>
        <w:rPr>
          <w:rFonts w:ascii="Calibri" w:cs="Calibri" w:eastAsia="Calibri" w:hAnsi="Calibri"/>
          <w:b w:val="false"/>
          <w:bCs w:val="false"/>
          <w:i w:val="false"/>
          <w:iCs w:val="false"/>
          <w:caps w:val="false"/>
          <w:color w:val="1A1A1A"/>
          <w:sz w:val="10"/>
          <w:szCs w:val="10"/>
        </w:rPr>
        <w:t xml:space="preserve"> </w:t>
      </w:r>
    </w:p>
    <w:p>
      <w:pPr>
        <w:spacing w:after="180" w:before="100" w:line="340"/>
        <w:jc w:val="left"/>
      </w:pPr>
      <w:r>
        <w:rPr>
          <w:rFonts w:ascii="Calibri" w:cs="Calibri" w:eastAsia="Calibri" w:hAnsi="Calibri"/>
          <w:b w:val="false"/>
          <w:bCs w:val="false"/>
          <w:i w:val="false"/>
          <w:iCs w:val="false"/>
          <w:caps w:val="false"/>
          <w:color w:val="14213D"/>
          <w:sz w:val="25"/>
          <w:szCs w:val="25"/>
        </w:rPr>
        <w:t xml:space="preserve">Missed deadlines are the single most common source of legal malpractice claims across every area of practice. Not bad advice. Not poor strategy. Missed dates.</w:t>
      </w:r>
    </w:p>
    <w:p>
      <w:pPr>
        <w:spacing w:after="80" w:before="60" w:line="296"/>
        <w:jc w:val="left"/>
      </w:pPr>
      <w:r>
        <w:rPr>
          <w:rFonts w:ascii="Calibri" w:cs="Calibri" w:eastAsia="Calibri" w:hAnsi="Calibri"/>
          <w:b w:val="false"/>
          <w:bCs w:val="false"/>
          <w:i w:val="false"/>
          <w:iCs w:val="false"/>
          <w:caps w:val="false"/>
          <w:color w:val="4A5568"/>
          <w:sz w:val="21"/>
          <w:szCs w:val="21"/>
        </w:rPr>
        <w:t xml:space="preserve">The mechanism is always the same, even if the deadline type changes by practice area. A filing window is missed because someone had to manually read a document, calculate a date, and enter it into a system — and in the gap between those steps, something went wrong.</w:t>
      </w:r>
    </w:p>
    <w:p>
      <w:pPr>
        <w:pStyle w:val="Heading2"/>
        <w:spacing w:after="120" w:before="280"/>
      </w:pPr>
      <w:r>
        <w:rPr>
          <w:rFonts w:ascii="Calibri" w:cs="Calibri" w:eastAsia="Calibri" w:hAnsi="Calibri"/>
          <w:b/>
          <w:bCs/>
          <w:i w:val="false"/>
          <w:iCs w:val="false"/>
          <w:caps w:val="false"/>
          <w:color w:val="14213D"/>
          <w:sz w:val="26"/>
          <w:szCs w:val="26"/>
        </w:rPr>
        <w:t xml:space="preserve">Two failure modes, both avoidable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CE3" w:sz="1"/>
              <w:left w:val="single" w:color="D8DCE3" w:sz="1"/>
              <w:bottom w:val="single" w:color="D8DCE3" w:sz="1"/>
              <w:right w:val="single" w:color="D8DCE3" w:sz="1"/>
            </w:tcBorders>
            <w:shd w:fill="FFF8F8" w:val="clear"/>
            <w:tcMar>
              <w:top w:type="dxa" w:w="220"/>
              <w:left w:type="dxa" w:w="220"/>
              <w:bottom w:type="dxa" w:w="220"/>
              <w:right w:type="dxa" w:w="220"/>
            </w:tcMar>
            <w:vAlign w:val="top"/>
          </w:tcPr>
          <w:p>
            <w:pPr>
              <w:spacing w:after="80" w:before="0"/>
            </w:pPr>
            <w:r>
              <w:rPr>
                <w:rFonts w:ascii="Calibri" w:cs="Calibri" w:eastAsia="Calibri" w:hAnsi="Calibri"/>
                <w:b/>
                <w:bCs/>
                <w:i w:val="false"/>
                <w:iCs w:val="false"/>
                <w:caps w:val="false"/>
                <w:color w:val="14213D"/>
                <w:sz w:val="18"/>
                <w:szCs w:val="18"/>
              </w:rPr>
              <w:t xml:space="preserve">IF YOUR FIRM TRACKS DEADLINES MANUALLY</w:t>
            </w:r>
          </w:p>
          <w:p>
            <w:pPr>
              <w:spacing w:after="0" w:before="0" w:line="290"/>
            </w:pPr>
            <w:r>
              <w:rPr>
                <w:rFonts w:ascii="Calibri" w:cs="Calibri" w:eastAsia="Calibri" w:hAnsi="Calibri"/>
                <w:b w:val="false"/>
                <w:bCs w:val="false"/>
                <w:i w:val="false"/>
                <w:iCs w:val="false"/>
                <w:caps w:val="false"/>
                <w:color w:val="4A5568"/>
                <w:sz w:val="20"/>
                <w:szCs w:val="20"/>
              </w:rPr>
              <w:t xml:space="preserve">Spreadsheets, shared calendars, and institutional memory are not docketing systems. They have no audit trail. They do not alert on conflicts. They fail silently when someone is out of office, leaves the firm, or simply forgets. The risk is not theoretical — it is a matter of when, not if.</w:t>
            </w:r>
          </w:p>
        </w:tc>
        <w:tc>
          <w:tcPr>
            <w:tcW w:type="dxa" w:w="4680"/>
            <w:tcBorders>
              <w:top w:val="single" w:color="D8DCE3" w:sz="1"/>
              <w:left w:val="single" w:color="D8DCE3" w:sz="1"/>
              <w:bottom w:val="single" w:color="D8DCE3" w:sz="1"/>
              <w:right w:val="single" w:color="D8DCE3" w:sz="1"/>
            </w:tcBorders>
            <w:shd w:fill="F7F8FA" w:val="clear"/>
            <w:tcMar>
              <w:top w:type="dxa" w:w="220"/>
              <w:left w:type="dxa" w:w="220"/>
              <w:bottom w:type="dxa" w:w="220"/>
              <w:right w:type="dxa" w:w="220"/>
            </w:tcMar>
            <w:vAlign w:val="top"/>
          </w:tcPr>
          <w:p>
            <w:pPr>
              <w:spacing w:after="80" w:before="0"/>
            </w:pPr>
            <w:r>
              <w:rPr>
                <w:rFonts w:ascii="Calibri" w:cs="Calibri" w:eastAsia="Calibri" w:hAnsi="Calibri"/>
                <w:b/>
                <w:bCs/>
                <w:i w:val="false"/>
                <w:iCs w:val="false"/>
                <w:caps w:val="false"/>
                <w:color w:val="14213D"/>
                <w:sz w:val="18"/>
                <w:szCs w:val="18"/>
              </w:rPr>
              <w:t xml:space="preserve">IF YOUR FIRM USES DOCKETING SOFTWARE ALREADY</w:t>
            </w:r>
          </w:p>
          <w:p>
            <w:pPr>
              <w:spacing w:after="0" w:before="0" w:line="290"/>
            </w:pPr>
            <w:r>
              <w:rPr>
                <w:rFonts w:ascii="Calibri" w:cs="Calibri" w:eastAsia="Calibri" w:hAnsi="Calibri"/>
                <w:b w:val="false"/>
                <w:bCs w:val="false"/>
                <w:i w:val="false"/>
                <w:iCs w:val="false"/>
                <w:caps w:val="false"/>
                <w:color w:val="4A5568"/>
                <w:sz w:val="20"/>
                <w:szCs w:val="20"/>
              </w:rPr>
              <w:t xml:space="preserve">Most legal docketing platforms — built for one practice area, or built a decade ago — still require a paralegal or docketing clerk to read every incoming document and manually enter dates. The software tracks the calendar. The human still does the extraction. That is the step where errors are introduced.</w:t>
            </w:r>
          </w:p>
        </w:tc>
      </w:tr>
    </w:tbl>
    <w:p>
      <w:pPr>
        <w:spacing w:after="0" w:before="0"/>
      </w:pPr>
    </w:p>
    <w:p>
      <w:pPr>
        <w:spacing w:after="80" w:before="60" w:line="296"/>
        <w:jc w:val="left"/>
      </w:pPr>
      <w:r>
        <w:rPr>
          <w:rFonts w:ascii="Calibri" w:cs="Calibri" w:eastAsia="Calibri" w:hAnsi="Calibri"/>
          <w:b w:val="false"/>
          <w:bCs w:val="false"/>
          <w:i w:val="false"/>
          <w:iCs w:val="false"/>
          <w:caps w:val="false"/>
          <w:color w:val="4A5568"/>
          <w:sz w:val="21"/>
          <w:szCs w:val="21"/>
        </w:rPr>
        <w:t xml:space="preserve">Clinentora solves both problems. Documents arrive. The platform reads them, identifies what they are, extracts every relevant date, applies the correct rules for that document type and jurisdiction, and presents a pre-populated docket entry for review. The attorney or paralegal confirms. Nothing is missed. Nothing is entered twice.</w:t>
      </w:r>
    </w:p>
    <w:p>
      <w:pPr>
        <w:pBdr>
          <w:left w:val="single" w:color="0E7C7B" w:sz="28" w:space="8"/>
        </w:pBdr>
        <w:spacing w:after="180" w:before="160" w:line="340"/>
        <w:ind w:left="400" w:right="400"/>
      </w:pPr>
      <w:r>
        <w:rPr>
          <w:rFonts w:ascii="Calibri" w:cs="Calibri" w:eastAsia="Calibri" w:hAnsi="Calibri"/>
          <w:b w:val="false"/>
          <w:bCs w:val="false"/>
          <w:i/>
          <w:iCs/>
          <w:caps w:val="false"/>
          <w:color w:val="14213D"/>
          <w:sz w:val="25"/>
          <w:szCs w:val="25"/>
        </w:rPr>
        <w:t xml:space="preserve">“A docketing system that still depends on a human reading every document has not automated docketing. It has automated the calendar.”</w:t>
      </w:r>
    </w:p>
    <w:p>
      <w:pPr>
        <w:spacing w:after="0" w:before="0"/>
      </w:pPr>
      <w:r>
        <w:br w:type="page"/>
      </w:r>
    </w:p>
    <w:p>
      <w:pPr>
        <w:shd w:fill="14213D" w:val="clear"/>
        <w:spacing w:after="60" w:before="0"/>
        <w:ind w:left="200"/>
      </w:pPr>
      <w:r>
        <w:rPr>
          <w:rFonts w:ascii="Calibri" w:cs="Calibri" w:eastAsia="Calibri" w:hAnsi="Calibri"/>
          <w:b/>
          <w:bCs/>
          <w:i w:val="false"/>
          <w:iCs w:val="false"/>
          <w:caps w:val="false"/>
          <w:color w:val="FFFFFF"/>
          <w:sz w:val="36"/>
          <w:szCs w:val="36"/>
        </w:rPr>
        <w:t xml:space="preserve">How Clinentora Works</w:t>
      </w:r>
    </w:p>
    <w:p>
      <w:pPr>
        <w:shd w:fill="14213D" w:val="clear"/>
        <w:spacing w:after="0" w:before="0"/>
        <w:ind w:left="200"/>
      </w:pPr>
      <w:r>
        <w:rPr>
          <w:rFonts w:ascii="Calibri" w:cs="Calibri" w:eastAsia="Calibri" w:hAnsi="Calibri"/>
          <w:b w:val="false"/>
          <w:bCs w:val="false"/>
          <w:i/>
          <w:iCs/>
          <w:caps w:val="false"/>
          <w:color w:val="FFFFFF"/>
          <w:sz w:val="21"/>
          <w:szCs w:val="21"/>
        </w:rPr>
        <w:t xml:space="preserve">From document received to deadline confirmed — automatically</w:t>
      </w:r>
    </w:p>
    <w:p>
      <w:pPr>
        <w:shd w:fill="14213D" w:val="clear"/>
        <w:spacing w:after="0" w:before="0"/>
      </w:pPr>
      <w:r>
        <w:rPr>
          <w:rFonts w:ascii="Calibri" w:cs="Calibri" w:eastAsia="Calibri" w:hAnsi="Calibri"/>
          <w:b w:val="false"/>
          <w:bCs w:val="false"/>
          <w:i w:val="false"/>
          <w:iCs w:val="false"/>
          <w:caps w:val="false"/>
          <w:color w:val="1A1A1A"/>
          <w:sz w:val="10"/>
          <w:szCs w:val="10"/>
        </w:rPr>
        <w:t xml:space="preserve"> </w:t>
      </w:r>
    </w:p>
    <w:p>
      <w:pPr>
        <w:spacing w:after="80" w:before="60" w:line="296"/>
        <w:jc w:val="left"/>
      </w:pPr>
      <w:r>
        <w:rPr>
          <w:rFonts w:ascii="Calibri" w:cs="Calibri" w:eastAsia="Calibri" w:hAnsi="Calibri"/>
          <w:b w:val="false"/>
          <w:bCs w:val="false"/>
          <w:i w:val="false"/>
          <w:iCs w:val="false"/>
          <w:caps w:val="false"/>
          <w:color w:val="4A5568"/>
          <w:sz w:val="21"/>
          <w:szCs w:val="21"/>
        </w:rPr>
        <w:t xml:space="preserve">The same four-step process handles every practice area. The document types, the rules applied, and the deadline calculations differ by practice — but the workflow is always the same.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CE3" w:sz="1"/>
              <w:left w:val="single" w:color="D8DCE3" w:sz="1"/>
              <w:bottom w:val="single" w:color="D8DCE3" w:sz="1"/>
              <w:right w:val="single" w:color="D8DCE3" w:sz="1"/>
            </w:tcBorders>
            <w:shd w:fill="FFFFFF" w:val="clear"/>
            <w:tcMar>
              <w:top w:type="dxa" w:w="200"/>
              <w:left w:type="dxa" w:w="200"/>
              <w:bottom w:type="dxa" w:w="200"/>
              <w:right w:type="dxa" w:w="200"/>
            </w:tcMar>
            <w:vAlign w:val="top"/>
          </w:tcPr>
          <w:p>
            <w:pPr>
              <w:spacing w:after="60" w:before="0"/>
            </w:pPr>
            <w:r>
              <w:rPr>
                <w:rFonts w:ascii="Calibri" w:cs="Calibri" w:eastAsia="Calibri" w:hAnsi="Calibri"/>
                <w:b/>
                <w:bCs/>
                <w:i w:val="false"/>
                <w:iCs w:val="false"/>
                <w:caps w:val="false"/>
                <w:color w:val="0E7C7B"/>
                <w:sz w:val="21"/>
                <w:szCs w:val="21"/>
              </w:rPr>
              <w:t xml:space="preserve">01 — RECEIVE</w:t>
            </w:r>
          </w:p>
          <w:p>
            <w:pPr>
              <w:spacing w:after="0" w:before="0" w:line="290"/>
            </w:pPr>
            <w:r>
              <w:rPr>
                <w:rFonts w:ascii="Calibri" w:cs="Calibri" w:eastAsia="Calibri" w:hAnsi="Calibri"/>
                <w:b w:val="false"/>
                <w:bCs w:val="false"/>
                <w:i w:val="false"/>
                <w:iCs w:val="false"/>
                <w:caps w:val="false"/>
                <w:color w:val="4A5568"/>
                <w:sz w:val="20"/>
                <w:szCs w:val="20"/>
              </w:rPr>
              <w:t xml:space="preserve">A document arrives — by email, direct agency feed (USPTO, EPO, USCIS, court systems), or manual upload. Clinentora accepts scanned PDFs, native PDFs, and image-based filings in any format. The practice area does not affect intake.</w:t>
            </w:r>
          </w:p>
        </w:tc>
      </w:tr>
      <w:tr>
        <w:tc>
          <w:tcPr>
            <w:tcBorders>
              <w:top w:val="single" w:color="D8DCE3" w:sz="1"/>
              <w:left w:val="single" w:color="D8DCE3" w:sz="1"/>
              <w:bottom w:val="single" w:color="D8DCE3" w:sz="1"/>
              <w:right w:val="single" w:color="D8DCE3" w:sz="1"/>
            </w:tcBorders>
            <w:shd w:fill="F7F8FA" w:val="clear"/>
            <w:tcMar>
              <w:top w:type="dxa" w:w="200"/>
              <w:left w:type="dxa" w:w="200"/>
              <w:bottom w:type="dxa" w:w="200"/>
              <w:right w:type="dxa" w:w="200"/>
            </w:tcMar>
            <w:vAlign w:val="top"/>
          </w:tcPr>
          <w:p>
            <w:pPr>
              <w:spacing w:after="60" w:before="0"/>
            </w:pPr>
            <w:r>
              <w:rPr>
                <w:rFonts w:ascii="Calibri" w:cs="Calibri" w:eastAsia="Calibri" w:hAnsi="Calibri"/>
                <w:b/>
                <w:bCs/>
                <w:i w:val="false"/>
                <w:iCs w:val="false"/>
                <w:caps w:val="false"/>
                <w:color w:val="0E7C7B"/>
                <w:sz w:val="21"/>
                <w:szCs w:val="21"/>
              </w:rPr>
              <w:t xml:space="preserve">02 — READ &amp; CLASSIFY</w:t>
            </w:r>
          </w:p>
          <w:p>
            <w:pPr>
              <w:spacing w:after="0" w:before="0" w:line="290"/>
            </w:pPr>
            <w:r>
              <w:rPr>
                <w:rFonts w:ascii="Calibri" w:cs="Calibri" w:eastAsia="Calibri" w:hAnsi="Calibri"/>
                <w:b w:val="false"/>
                <w:bCs w:val="false"/>
                <w:i w:val="false"/>
                <w:iCs w:val="false"/>
                <w:caps w:val="false"/>
                <w:color w:val="4A5568"/>
                <w:sz w:val="20"/>
                <w:szCs w:val="20"/>
              </w:rPr>
              <w:t xml:space="preserve">Document intelligence identifies the filing type — USPTO office action, immigration notice of intent to deny, court scheduling order, bankruptcy proof of claim deadline, employment agency charge, tax court petition, real estate closing notice — and extracts every governing date, case number, and party name.</w:t>
            </w:r>
          </w:p>
        </w:tc>
      </w:tr>
      <w:tr>
        <w:tc>
          <w:tcPr>
            <w:tcBorders>
              <w:top w:val="single" w:color="D8DCE3" w:sz="1"/>
              <w:left w:val="single" w:color="D8DCE3" w:sz="1"/>
              <w:bottom w:val="single" w:color="D8DCE3" w:sz="1"/>
              <w:right w:val="single" w:color="D8DCE3" w:sz="1"/>
            </w:tcBorders>
            <w:shd w:fill="FFFFFF" w:val="clear"/>
            <w:tcMar>
              <w:top w:type="dxa" w:w="200"/>
              <w:left w:type="dxa" w:w="200"/>
              <w:bottom w:type="dxa" w:w="200"/>
              <w:right w:type="dxa" w:w="200"/>
            </w:tcMar>
            <w:vAlign w:val="top"/>
          </w:tcPr>
          <w:p>
            <w:pPr>
              <w:spacing w:after="60" w:before="0"/>
            </w:pPr>
            <w:r>
              <w:rPr>
                <w:rFonts w:ascii="Calibri" w:cs="Calibri" w:eastAsia="Calibri" w:hAnsi="Calibri"/>
                <w:b/>
                <w:bCs/>
                <w:i w:val="false"/>
                <w:iCs w:val="false"/>
                <w:caps w:val="false"/>
                <w:color w:val="0E7C7B"/>
                <w:sz w:val="21"/>
                <w:szCs w:val="21"/>
              </w:rPr>
              <w:t xml:space="preserve">03 — CALCULATE</w:t>
            </w:r>
          </w:p>
          <w:p>
            <w:pPr>
              <w:spacing w:after="0" w:before="0" w:line="290"/>
            </w:pPr>
            <w:r>
              <w:rPr>
                <w:rFonts w:ascii="Calibri" w:cs="Calibri" w:eastAsia="Calibri" w:hAnsi="Calibri"/>
                <w:b w:val="false"/>
                <w:bCs w:val="false"/>
                <w:i w:val="false"/>
                <w:iCs w:val="false"/>
                <w:caps w:val="false"/>
                <w:color w:val="4A5568"/>
                <w:sz w:val="20"/>
                <w:szCs w:val="20"/>
              </w:rPr>
              <w:t xml:space="preserve">The rules engine applies the correct deadline logic for that document type, jurisdiction, and practice area. USPTO statutory periods. Immigration response windows. Federal and state court procedural rules. EEOC charge response timelines. Bankruptcy filing windows. No manual lookup of jurisdiction-specific rules required.</w:t>
            </w:r>
          </w:p>
        </w:tc>
      </w:tr>
      <w:tr>
        <w:tc>
          <w:tcPr>
            <w:tcBorders>
              <w:top w:val="single" w:color="D8DCE3" w:sz="1"/>
              <w:left w:val="single" w:color="D8DCE3" w:sz="1"/>
              <w:bottom w:val="single" w:color="D8DCE3" w:sz="1"/>
              <w:right w:val="single" w:color="D8DCE3" w:sz="1"/>
            </w:tcBorders>
            <w:shd w:fill="F7F8FA" w:val="clear"/>
            <w:tcMar>
              <w:top w:type="dxa" w:w="200"/>
              <w:left w:type="dxa" w:w="200"/>
              <w:bottom w:type="dxa" w:w="200"/>
              <w:right w:type="dxa" w:w="200"/>
            </w:tcMar>
            <w:vAlign w:val="top"/>
          </w:tcPr>
          <w:p>
            <w:pPr>
              <w:spacing w:after="60" w:before="0"/>
            </w:pPr>
            <w:r>
              <w:rPr>
                <w:rFonts w:ascii="Calibri" w:cs="Calibri" w:eastAsia="Calibri" w:hAnsi="Calibri"/>
                <w:b/>
                <w:bCs/>
                <w:i w:val="false"/>
                <w:iCs w:val="false"/>
                <w:caps w:val="false"/>
                <w:color w:val="0E7C7B"/>
                <w:sz w:val="21"/>
                <w:szCs w:val="21"/>
              </w:rPr>
              <w:t xml:space="preserve">04 — REVIEW &amp; CONFIRM</w:t>
            </w:r>
          </w:p>
          <w:p>
            <w:pPr>
              <w:spacing w:after="0" w:before="0" w:line="290"/>
            </w:pPr>
            <w:r>
              <w:rPr>
                <w:rFonts w:ascii="Calibri" w:cs="Calibri" w:eastAsia="Calibri" w:hAnsi="Calibri"/>
                <w:b w:val="false"/>
                <w:bCs w:val="false"/>
                <w:i w:val="false"/>
                <w:iCs w:val="false"/>
                <w:caps w:val="false"/>
                <w:color w:val="4A5568"/>
                <w:sz w:val="20"/>
                <w:szCs w:val="20"/>
              </w:rPr>
              <w:t xml:space="preserve">Every extracted deadline is presented to your team for review before it is saved to the docket. Automation removes the tedious extraction work — your attorneys and paralegals retain full professional control and final sign-off on every date.</w:t>
            </w:r>
          </w:p>
        </w:tc>
      </w:tr>
    </w:tbl>
    <w:p>
      <w:pPr>
        <w:spacing w:after="0" w:before="0"/>
      </w:pPr>
      <w:r>
        <w:br w:type="page"/>
      </w:r>
    </w:p>
    <w:p>
      <w:pPr>
        <w:shd w:fill="1E3A5F" w:val="clear"/>
        <w:spacing w:after="60" w:before="0"/>
        <w:ind w:left="200"/>
      </w:pPr>
      <w:r>
        <w:rPr>
          <w:rFonts w:ascii="Calibri" w:cs="Calibri" w:eastAsia="Calibri" w:hAnsi="Calibri"/>
          <w:b/>
          <w:bCs/>
          <w:i w:val="false"/>
          <w:iCs w:val="false"/>
          <w:caps w:val="false"/>
          <w:color w:val="FFFFFF"/>
          <w:sz w:val="36"/>
          <w:szCs w:val="36"/>
        </w:rPr>
        <w:t xml:space="preserve">Your Practice Area, Covered</w:t>
      </w:r>
    </w:p>
    <w:p>
      <w:pPr>
        <w:shd w:fill="1E3A5F" w:val="clear"/>
        <w:spacing w:after="0" w:before="0"/>
        <w:ind w:left="200"/>
      </w:pPr>
      <w:r>
        <w:rPr>
          <w:rFonts w:ascii="Calibri" w:cs="Calibri" w:eastAsia="Calibri" w:hAnsi="Calibri"/>
          <w:b w:val="false"/>
          <w:bCs w:val="false"/>
          <w:i/>
          <w:iCs/>
          <w:caps w:val="false"/>
          <w:color w:val="FFFFFF"/>
          <w:sz w:val="21"/>
          <w:szCs w:val="21"/>
        </w:rPr>
        <w:t xml:space="preserve">Read the section for your firm — every deadline domain is handled natively</w:t>
      </w:r>
    </w:p>
    <w:p>
      <w:pPr>
        <w:shd w:fill="1E3A5F" w:val="clear"/>
        <w:spacing w:after="0" w:before="0"/>
      </w:pPr>
      <w:r>
        <w:rPr>
          <w:rFonts w:ascii="Calibri" w:cs="Calibri" w:eastAsia="Calibri" w:hAnsi="Calibri"/>
          <w:b w:val="false"/>
          <w:bCs w:val="false"/>
          <w:i w:val="false"/>
          <w:iCs w:val="false"/>
          <w:caps w:val="false"/>
          <w:color w:val="1A1A1A"/>
          <w:sz w:val="10"/>
          <w:szCs w:val="10"/>
        </w:rPr>
        <w:t xml:space="preserve"> </w:t>
      </w:r>
    </w:p>
    <w:p>
      <w:pPr>
        <w:spacing w:after="80" w:before="60" w:line="296"/>
        <w:jc w:val="left"/>
      </w:pPr>
      <w:r>
        <w:rPr>
          <w:rFonts w:ascii="Calibri" w:cs="Calibri" w:eastAsia="Calibri" w:hAnsi="Calibri"/>
          <w:b w:val="false"/>
          <w:bCs w:val="false"/>
          <w:i w:val="false"/>
          <w:iCs w:val="false"/>
          <w:caps w:val="false"/>
          <w:color w:val="4A5568"/>
          <w:sz w:val="21"/>
          <w:szCs w:val="21"/>
        </w:rPr>
        <w:t xml:space="preserve">Whatever your practice area, the section below describes specifically what Clinentora tracks, calculates, and manages for your firm. If your firm spans multiple practice areas, every one of them is handled in the same platform.</w:t>
      </w:r>
    </w:p>
    <w:p>
      <w:pPr>
        <w:spacing w:after="0" w:before="0"/>
      </w:pPr>
    </w:p>
    <w:p>
      <w:pPr>
        <w:pBdr>
          <w:left w:val="single" w:color="0E7C7B"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0E7C7B"/>
          <w:sz w:val="22"/>
          <w:szCs w:val="22"/>
        </w:rPr>
        <w:t xml:space="preserve">Intellectual Property — Patents &amp; Trademarks</w:t>
      </w:r>
    </w:p>
    <w:p>
      <w:pPr>
        <w:pBdr>
          <w:left w:val="single" w:color="0E7C7B" w:sz="24" w:space="8"/>
        </w:pBdr>
        <w:spacing w:after="80" w:before="0"/>
        <w:ind w:left="160"/>
      </w:pPr>
      <w:r>
        <w:rPr>
          <w:rFonts w:ascii="Calibri" w:cs="Calibri" w:eastAsia="Calibri" w:hAnsi="Calibri"/>
          <w:b w:val="false"/>
          <w:bCs w:val="false"/>
          <w:i/>
          <w:iCs/>
          <w:caps w:val="false"/>
          <w:color w:val="4A5568"/>
          <w:sz w:val="20"/>
          <w:szCs w:val="20"/>
        </w:rPr>
        <w:t xml:space="preserve">Prosecution timelines, annuity tracking, PCT matrices, opposition proceedings</w:t>
      </w:r>
    </w:p>
    <w:p>
      <w:pPr>
        <w:pBdr>
          <w:left w:val="single" w:color="0E7C7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USPTO office action response periods — 3-month extendable to 6, calculated automatically</w:t>
      </w:r>
    </w:p>
    <w:p>
      <w:pPr>
        <w:pBdr>
          <w:left w:val="single" w:color="0E7C7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EPO examination report reply windows — 4-month non-extendable, per Rule 132 EPC</w:t>
      </w:r>
    </w:p>
    <w:p>
      <w:pPr>
        <w:pBdr>
          <w:left w:val="single" w:color="0E7C7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PCT national phase entry matrix — all designated countries, simultaneously</w:t>
      </w:r>
    </w:p>
    <w:p>
      <w:pPr>
        <w:pBdr>
          <w:left w:val="single" w:color="0E7C7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Annuity and maintenance fee payment windows — 3 to 5-year horizon projection</w:t>
      </w:r>
    </w:p>
    <w:p>
      <w:pPr>
        <w:pBdr>
          <w:left w:val="single" w:color="0E7C7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Trademark renewal and declaration of use deadlines (§8 and §15)</w:t>
      </w:r>
    </w:p>
    <w:p>
      <w:pPr>
        <w:pBdr>
          <w:left w:val="single" w:color="0E7C7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TTAB and PTAB opposition, cancellation, and IPR proceeding timelines</w:t>
      </w:r>
    </w:p>
    <w:p>
      <w:pPr>
        <w:pBdr>
          <w:left w:val="single" w:color="0E7C7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IDS submission windows and ADS update deadlines</w:t>
      </w:r>
    </w:p>
    <w:p>
      <w:pPr>
        <w:pBdr>
          <w:left w:val="single" w:color="0E7C7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Multi-language filing parsing — EPO, JPO, CNIPA, KIPO</w:t>
      </w:r>
    </w:p>
    <w:p>
      <w:pPr>
        <w:pBdr>
          <w:left w:val="single" w:color="0E7C7B" w:sz="24" w:space="8"/>
        </w:pBdr>
        <w:spacing w:after="0" w:before="0"/>
        <w:ind w:left="160"/>
      </w:pPr>
    </w:p>
    <w:p>
      <w:pPr>
        <w:spacing w:after="0" w:before="0"/>
      </w:pPr>
    </w:p>
    <w:p>
      <w:pPr>
        <w:pBdr>
          <w:left w:val="single" w:color="2B5C8A"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2B5C8A"/>
          <w:sz w:val="22"/>
          <w:szCs w:val="22"/>
        </w:rPr>
        <w:t xml:space="preserve">Civil Litigation — Federal &amp; State</w:t>
      </w:r>
    </w:p>
    <w:p>
      <w:pPr>
        <w:pBdr>
          <w:left w:val="single" w:color="2B5C8A" w:sz="24" w:space="8"/>
        </w:pBdr>
        <w:spacing w:after="80" w:before="0"/>
        <w:ind w:left="160"/>
      </w:pPr>
      <w:r>
        <w:rPr>
          <w:rFonts w:ascii="Calibri" w:cs="Calibri" w:eastAsia="Calibri" w:hAnsi="Calibri"/>
          <w:b w:val="false"/>
          <w:bCs w:val="false"/>
          <w:i/>
          <w:iCs/>
          <w:caps w:val="false"/>
          <w:color w:val="4A5568"/>
          <w:sz w:val="20"/>
          <w:szCs w:val="20"/>
        </w:rPr>
        <w:t xml:space="preserve">Scheduling orders, discovery timelines, motion practice, trial preparation</w:t>
      </w:r>
    </w:p>
    <w:p>
      <w:pPr>
        <w:pBdr>
          <w:left w:val="single" w:color="2B5C8A"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Scheduling order intake — all events extracted and docketed automatically</w:t>
      </w:r>
    </w:p>
    <w:p>
      <w:pPr>
        <w:pBdr>
          <w:left w:val="single" w:color="2B5C8A"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Court local rules deadline calculator — 2,500+ federal and state rule sets</w:t>
      </w:r>
    </w:p>
    <w:p>
      <w:pPr>
        <w:pBdr>
          <w:left w:val="single" w:color="2B5C8A"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Discovery deadline tracking: interrogatories, RFPs, depositions, expert disclosures</w:t>
      </w:r>
    </w:p>
    <w:p>
      <w:pPr>
        <w:pBdr>
          <w:left w:val="single" w:color="2B5C8A"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Motion practice windows — oppositions, replies, sur-replies by jurisdiction</w:t>
      </w:r>
    </w:p>
    <w:p>
      <w:pPr>
        <w:pBdr>
          <w:left w:val="single" w:color="2B5C8A"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Statute of limitations monitoring per underlying claim and jurisdiction</w:t>
      </w:r>
    </w:p>
    <w:p>
      <w:pPr>
        <w:pBdr>
          <w:left w:val="single" w:color="2B5C8A"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Appeal and post-trial motion windows from judgment date</w:t>
      </w:r>
    </w:p>
    <w:p>
      <w:pPr>
        <w:pBdr>
          <w:left w:val="single" w:color="2B5C8A"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Deposition notice and response period calculation</w:t>
      </w:r>
    </w:p>
    <w:p>
      <w:pPr>
        <w:pBdr>
          <w:left w:val="single" w:color="2B5C8A"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Subpoena response and objection deadline tracking</w:t>
      </w:r>
    </w:p>
    <w:p>
      <w:pPr>
        <w:pBdr>
          <w:left w:val="single" w:color="2B5C8A" w:sz="24" w:space="8"/>
        </w:pBdr>
        <w:spacing w:after="0" w:before="0"/>
        <w:ind w:left="160"/>
      </w:pPr>
    </w:p>
    <w:p>
      <w:pPr>
        <w:spacing w:after="0" w:before="0"/>
      </w:pPr>
    </w:p>
    <w:p>
      <w:pPr>
        <w:pBdr>
          <w:left w:val="single" w:color="2F6B8C"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2F6B8C"/>
          <w:sz w:val="22"/>
          <w:szCs w:val="22"/>
        </w:rPr>
        <w:t xml:space="preserve">Immigration Law</w:t>
      </w:r>
    </w:p>
    <w:p>
      <w:pPr>
        <w:pBdr>
          <w:left w:val="single" w:color="2F6B8C" w:sz="24" w:space="8"/>
        </w:pBdr>
        <w:spacing w:after="80" w:before="0"/>
        <w:ind w:left="160"/>
      </w:pPr>
      <w:r>
        <w:rPr>
          <w:rFonts w:ascii="Calibri" w:cs="Calibri" w:eastAsia="Calibri" w:hAnsi="Calibri"/>
          <w:b w:val="false"/>
          <w:bCs w:val="false"/>
          <w:i/>
          <w:iCs/>
          <w:caps w:val="false"/>
          <w:color w:val="4A5568"/>
          <w:sz w:val="20"/>
          <w:szCs w:val="20"/>
        </w:rPr>
        <w:t xml:space="preserve">Visa deadlines, USCIS response windows, status maintenance, removal proceedings</w:t>
      </w:r>
    </w:p>
    <w:p>
      <w:pPr>
        <w:pBdr>
          <w:left w:val="single" w:color="2F6B8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USCIS Request for Evidence (RFE) and Notice of Intent to Deny (NOID) response windows</w:t>
      </w:r>
    </w:p>
    <w:p>
      <w:pPr>
        <w:pBdr>
          <w:left w:val="single" w:color="2F6B8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Visa petition filing windows — H-1B cap season, EB preference categories</w:t>
      </w:r>
    </w:p>
    <w:p>
      <w:pPr>
        <w:pBdr>
          <w:left w:val="single" w:color="2F6B8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Priority date and visa bulletin tracking for adjustment of status matters</w:t>
      </w:r>
    </w:p>
    <w:p>
      <w:pPr>
        <w:pBdr>
          <w:left w:val="single" w:color="2F6B8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I-94 expiration and status maintenance deadline alerts</w:t>
      </w:r>
    </w:p>
    <w:p>
      <w:pPr>
        <w:pBdr>
          <w:left w:val="single" w:color="2F6B8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EOIR immigration court deadline tracking — removal, bond, asylum hearings</w:t>
      </w:r>
    </w:p>
    <w:p>
      <w:pPr>
        <w:pBdr>
          <w:left w:val="single" w:color="2F6B8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DACA renewal window monitoring (180-day advance filing)</w:t>
      </w:r>
    </w:p>
    <w:p>
      <w:pPr>
        <w:pBdr>
          <w:left w:val="single" w:color="2F6B8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Consular processing appointment and document submission deadlines</w:t>
      </w:r>
    </w:p>
    <w:p>
      <w:pPr>
        <w:pBdr>
          <w:left w:val="single" w:color="2F6B8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PERM recruitment timeline tracking and filing window calculation</w:t>
      </w:r>
    </w:p>
    <w:p>
      <w:pPr>
        <w:pBdr>
          <w:left w:val="single" w:color="2F6B8C" w:sz="24" w:space="8"/>
        </w:pBdr>
        <w:spacing w:after="0" w:before="0"/>
        <w:ind w:left="160"/>
      </w:pPr>
    </w:p>
    <w:p>
      <w:pPr>
        <w:spacing w:after="0" w:before="0"/>
      </w:pPr>
    </w:p>
    <w:p>
      <w:pPr>
        <w:pBdr>
          <w:left w:val="single" w:color="5B6F8E"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5B6F8E"/>
          <w:sz w:val="22"/>
          <w:szCs w:val="22"/>
        </w:rPr>
        <w:t xml:space="preserve">Family Law</w:t>
      </w:r>
    </w:p>
    <w:p>
      <w:pPr>
        <w:pBdr>
          <w:left w:val="single" w:color="5B6F8E" w:sz="24" w:space="8"/>
        </w:pBdr>
        <w:spacing w:after="80" w:before="0"/>
        <w:ind w:left="160"/>
      </w:pPr>
      <w:r>
        <w:rPr>
          <w:rFonts w:ascii="Calibri" w:cs="Calibri" w:eastAsia="Calibri" w:hAnsi="Calibri"/>
          <w:b w:val="false"/>
          <w:bCs w:val="false"/>
          <w:i/>
          <w:iCs/>
          <w:caps w:val="false"/>
          <w:color w:val="4A5568"/>
          <w:sz w:val="20"/>
          <w:szCs w:val="20"/>
        </w:rPr>
        <w:t xml:space="preserve">Court-imposed schedules, financial disclosure deadlines, custody hearing timelines</w:t>
      </w:r>
    </w:p>
    <w:p>
      <w:pPr>
        <w:pBdr>
          <w:left w:val="single" w:color="5B6F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Court scheduling order intake — all dates extracted for divorce and custody matters</w:t>
      </w:r>
    </w:p>
    <w:p>
      <w:pPr>
        <w:pBdr>
          <w:left w:val="single" w:color="5B6F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Financial disclosure statement deadlines by jurisdiction</w:t>
      </w:r>
    </w:p>
    <w:p>
      <w:pPr>
        <w:pBdr>
          <w:left w:val="single" w:color="5B6F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Mediation scheduling and response windows</w:t>
      </w:r>
    </w:p>
    <w:p>
      <w:pPr>
        <w:pBdr>
          <w:left w:val="single" w:color="5B6F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Response and appearance deadlines from service of process</w:t>
      </w:r>
    </w:p>
    <w:p>
      <w:pPr>
        <w:pBdr>
          <w:left w:val="single" w:color="5B6F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Temporary order and injunction response windows</w:t>
      </w:r>
    </w:p>
    <w:p>
      <w:pPr>
        <w:pBdr>
          <w:left w:val="single" w:color="5B6F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Appeal windows from family court orders and final decrees</w:t>
      </w:r>
    </w:p>
    <w:p>
      <w:pPr>
        <w:pBdr>
          <w:left w:val="single" w:color="5B6F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Child support modification request deadlines</w:t>
      </w:r>
    </w:p>
    <w:p>
      <w:pPr>
        <w:pBdr>
          <w:left w:val="single" w:color="5B6F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Interstate UCCJEA jurisdiction deadline tracking</w:t>
      </w:r>
    </w:p>
    <w:p>
      <w:pPr>
        <w:pBdr>
          <w:left w:val="single" w:color="5B6F8E" w:sz="24" w:space="8"/>
        </w:pBdr>
        <w:spacing w:after="0" w:before="0"/>
        <w:ind w:left="160"/>
      </w:pPr>
    </w:p>
    <w:p>
      <w:pPr>
        <w:spacing w:after="0" w:before="0"/>
      </w:pPr>
    </w:p>
    <w:p>
      <w:pPr>
        <w:pBdr>
          <w:left w:val="single" w:color="6B5B8E"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6B5B8E"/>
          <w:sz w:val="22"/>
          <w:szCs w:val="22"/>
        </w:rPr>
        <w:t xml:space="preserve">Bankruptcy &amp; Restructuring</w:t>
      </w:r>
    </w:p>
    <w:p>
      <w:pPr>
        <w:pBdr>
          <w:left w:val="single" w:color="6B5B8E" w:sz="24" w:space="8"/>
        </w:pBdr>
        <w:spacing w:after="80" w:before="0"/>
        <w:ind w:left="160"/>
      </w:pPr>
      <w:r>
        <w:rPr>
          <w:rFonts w:ascii="Calibri" w:cs="Calibri" w:eastAsia="Calibri" w:hAnsi="Calibri"/>
          <w:b w:val="false"/>
          <w:bCs w:val="false"/>
          <w:i/>
          <w:iCs/>
          <w:caps w:val="false"/>
          <w:color w:val="4A5568"/>
          <w:sz w:val="20"/>
          <w:szCs w:val="20"/>
        </w:rPr>
        <w:t xml:space="preserve">Proof of claim bars, plan confirmation timelines, adversary proceeding schedules</w:t>
      </w:r>
    </w:p>
    <w:p>
      <w:pPr>
        <w:pBdr>
          <w:left w:val="single" w:color="6B5B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Bar date monitoring for proofs of claim (individual and institutional creditors)</w:t>
      </w:r>
    </w:p>
    <w:p>
      <w:pPr>
        <w:pBdr>
          <w:left w:val="single" w:color="6B5B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Exclusivity period tracking for plan of reorganization filing</w:t>
      </w:r>
    </w:p>
    <w:p>
      <w:pPr>
        <w:pBdr>
          <w:left w:val="single" w:color="6B5B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Plan confirmation objection and voting deadlines</w:t>
      </w:r>
    </w:p>
    <w:p>
      <w:pPr>
        <w:pBdr>
          <w:left w:val="single" w:color="6B5B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Automatic stay motion response windows</w:t>
      </w:r>
    </w:p>
    <w:p>
      <w:pPr>
        <w:pBdr>
          <w:left w:val="single" w:color="6B5B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Preference and fraudulent transfer adversary proceeding deadlines</w:t>
      </w:r>
    </w:p>
    <w:p>
      <w:pPr>
        <w:pBdr>
          <w:left w:val="single" w:color="6B5B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341 meeting of creditors scheduling and response tracking</w:t>
      </w:r>
    </w:p>
    <w:p>
      <w:pPr>
        <w:pBdr>
          <w:left w:val="single" w:color="6B5B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Reaffirmation agreement filing windows</w:t>
      </w:r>
    </w:p>
    <w:p>
      <w:pPr>
        <w:pBdr>
          <w:left w:val="single" w:color="6B5B8E"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Chapter 13 plan modification and objection deadlines</w:t>
      </w:r>
    </w:p>
    <w:p>
      <w:pPr>
        <w:pBdr>
          <w:left w:val="single" w:color="6B5B8E" w:sz="24" w:space="8"/>
        </w:pBdr>
        <w:spacing w:after="0" w:before="0"/>
        <w:ind w:left="160"/>
      </w:pPr>
    </w:p>
    <w:p>
      <w:pPr>
        <w:spacing w:after="0" w:before="0"/>
      </w:pPr>
    </w:p>
    <w:p>
      <w:pPr>
        <w:pBdr>
          <w:left w:val="single" w:color="5B7A3C"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5B7A3C"/>
          <w:sz w:val="22"/>
          <w:szCs w:val="22"/>
        </w:rPr>
        <w:t xml:space="preserve">Employment &amp; Labor Law</w:t>
      </w:r>
    </w:p>
    <w:p>
      <w:pPr>
        <w:pBdr>
          <w:left w:val="single" w:color="5B7A3C" w:sz="24" w:space="8"/>
        </w:pBdr>
        <w:spacing w:after="80" w:before="0"/>
        <w:ind w:left="160"/>
      </w:pPr>
      <w:r>
        <w:rPr>
          <w:rFonts w:ascii="Calibri" w:cs="Calibri" w:eastAsia="Calibri" w:hAnsi="Calibri"/>
          <w:b w:val="false"/>
          <w:bCs w:val="false"/>
          <w:i/>
          <w:iCs/>
          <w:caps w:val="false"/>
          <w:color w:val="4A5568"/>
          <w:sz w:val="20"/>
          <w:szCs w:val="20"/>
        </w:rPr>
        <w:t xml:space="preserve">EEOC charges, NLRB deadlines, wage claim windows, discrimination filing periods</w:t>
      </w:r>
    </w:p>
    <w:p>
      <w:pPr>
        <w:pBdr>
          <w:left w:val="single" w:color="5B7A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EEOC charge response deadlines — Right to Sue letter and administrative exhaustion windows</w:t>
      </w:r>
    </w:p>
    <w:p>
      <w:pPr>
        <w:pBdr>
          <w:left w:val="single" w:color="5B7A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NLRB unfair labor practice charge and election objection timelines</w:t>
      </w:r>
    </w:p>
    <w:p>
      <w:pPr>
        <w:pBdr>
          <w:left w:val="single" w:color="5B7A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State agency discrimination charge response windows by jurisdiction</w:t>
      </w:r>
    </w:p>
    <w:p>
      <w:pPr>
        <w:pBdr>
          <w:left w:val="single" w:color="5B7A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OSHA citation contest deadline tracking (15-day window)</w:t>
      </w:r>
    </w:p>
    <w:p>
      <w:pPr>
        <w:pBdr>
          <w:left w:val="single" w:color="5B7A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DOL wage and hour investigation response deadlines</w:t>
      </w:r>
    </w:p>
    <w:p>
      <w:pPr>
        <w:pBdr>
          <w:left w:val="single" w:color="5B7A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WARN Act notification period tracking for workforce reductions</w:t>
      </w:r>
    </w:p>
    <w:p>
      <w:pPr>
        <w:pBdr>
          <w:left w:val="single" w:color="5B7A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Non-compete and restrictive covenant enforcement window monitoring</w:t>
      </w:r>
    </w:p>
    <w:p>
      <w:pPr>
        <w:pBdr>
          <w:left w:val="single" w:color="5B7A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Arbitration demand response and hearing scheduling deadlines</w:t>
      </w:r>
    </w:p>
    <w:p>
      <w:pPr>
        <w:pBdr>
          <w:left w:val="single" w:color="5B7A3C" w:sz="24" w:space="8"/>
        </w:pBdr>
        <w:spacing w:after="0" w:before="0"/>
        <w:ind w:left="160"/>
      </w:pPr>
    </w:p>
    <w:p>
      <w:pPr>
        <w:spacing w:after="0" w:before="0"/>
      </w:pPr>
      <w:r>
        <w:br w:type="page"/>
      </w:r>
    </w:p>
    <w:p>
      <w:pPr>
        <w:pBdr>
          <w:left w:val="single" w:color="7A5B3C"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7A5B3C"/>
          <w:sz w:val="22"/>
          <w:szCs w:val="22"/>
        </w:rPr>
        <w:t xml:space="preserve">Real Estate Law</w:t>
      </w:r>
    </w:p>
    <w:p>
      <w:pPr>
        <w:pBdr>
          <w:left w:val="single" w:color="7A5B3C" w:sz="24" w:space="8"/>
        </w:pBdr>
        <w:spacing w:after="80" w:before="0"/>
        <w:ind w:left="160"/>
      </w:pPr>
      <w:r>
        <w:rPr>
          <w:rFonts w:ascii="Calibri" w:cs="Calibri" w:eastAsia="Calibri" w:hAnsi="Calibri"/>
          <w:b w:val="false"/>
          <w:bCs w:val="false"/>
          <w:i/>
          <w:iCs/>
          <w:caps w:val="false"/>
          <w:color w:val="4A5568"/>
          <w:sz w:val="20"/>
          <w:szCs w:val="20"/>
        </w:rPr>
        <w:t xml:space="preserve">Closing timelines, option periods, zoning deadlines, title contingencies</w:t>
      </w:r>
    </w:p>
    <w:p>
      <w:pPr>
        <w:pBdr>
          <w:left w:val="single" w:color="7A5B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Purchase contract contingency period tracking — inspection, financing, title</w:t>
      </w:r>
    </w:p>
    <w:p>
      <w:pPr>
        <w:pBdr>
          <w:left w:val="single" w:color="7A5B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Option period exercise and expiration window alerts</w:t>
      </w:r>
    </w:p>
    <w:p>
      <w:pPr>
        <w:pBdr>
          <w:left w:val="single" w:color="7A5B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Closing date scheduling and pre-closing checklist deadline tracking</w:t>
      </w:r>
    </w:p>
    <w:p>
      <w:pPr>
        <w:pBdr>
          <w:left w:val="single" w:color="7A5B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Zoning application and appeal deadline monitoring</w:t>
      </w:r>
    </w:p>
    <w:p>
      <w:pPr>
        <w:pBdr>
          <w:left w:val="single" w:color="7A5B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Landlord-tenant response windows — eviction notice periods by jurisdiction</w:t>
      </w:r>
    </w:p>
    <w:p>
      <w:pPr>
        <w:pBdr>
          <w:left w:val="single" w:color="7A5B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Lease renewal option exercise deadline tracking</w:t>
      </w:r>
    </w:p>
    <w:p>
      <w:pPr>
        <w:pBdr>
          <w:left w:val="single" w:color="7A5B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Title commitment objection and cure period calculation</w:t>
      </w:r>
    </w:p>
    <w:p>
      <w:pPr>
        <w:pBdr>
          <w:left w:val="single" w:color="7A5B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1031 exchange identification and closing deadline monitoring (45-day / 180-day)</w:t>
      </w:r>
    </w:p>
    <w:p>
      <w:pPr>
        <w:pBdr>
          <w:left w:val="single" w:color="7A5B3C" w:sz="24" w:space="8"/>
        </w:pBdr>
        <w:spacing w:after="0" w:before="0"/>
        <w:ind w:left="160"/>
      </w:pPr>
    </w:p>
    <w:p>
      <w:pPr>
        <w:spacing w:after="0" w:before="0"/>
      </w:pPr>
    </w:p>
    <w:p>
      <w:pPr>
        <w:pBdr>
          <w:left w:val="single" w:color="3C7A5B"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3C7A5B"/>
          <w:sz w:val="22"/>
          <w:szCs w:val="22"/>
        </w:rPr>
        <w:t xml:space="preserve">Healthcare &amp; FDA Regulatory</w:t>
      </w:r>
    </w:p>
    <w:p>
      <w:pPr>
        <w:pBdr>
          <w:left w:val="single" w:color="3C7A5B" w:sz="24" w:space="8"/>
        </w:pBdr>
        <w:spacing w:after="80" w:before="0"/>
        <w:ind w:left="160"/>
      </w:pPr>
      <w:r>
        <w:rPr>
          <w:rFonts w:ascii="Calibri" w:cs="Calibri" w:eastAsia="Calibri" w:hAnsi="Calibri"/>
          <w:b w:val="false"/>
          <w:bCs w:val="false"/>
          <w:i/>
          <w:iCs/>
          <w:caps w:val="false"/>
          <w:color w:val="4A5568"/>
          <w:sz w:val="20"/>
          <w:szCs w:val="20"/>
        </w:rPr>
        <w:t xml:space="preserve">FDA submission windows, CMS deadlines, licensing renewals, compliance timelines</w:t>
      </w:r>
    </w:p>
    <w:p>
      <w:pPr>
        <w:pBdr>
          <w:left w:val="single" w:color="3C7A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FDA 510(k), PMA, and NDA submission tracking with review period monitoring</w:t>
      </w:r>
    </w:p>
    <w:p>
      <w:pPr>
        <w:pBdr>
          <w:left w:val="single" w:color="3C7A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Investigational device exemption (IDE) annual report deadline tracking</w:t>
      </w:r>
    </w:p>
    <w:p>
      <w:pPr>
        <w:pBdr>
          <w:left w:val="single" w:color="3C7A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CMS Medicare/Medicaid enrollment and revalidation window monitoring</w:t>
      </w:r>
    </w:p>
    <w:p>
      <w:pPr>
        <w:pBdr>
          <w:left w:val="single" w:color="3C7A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Healthcare professional license renewal deadlines by state</w:t>
      </w:r>
    </w:p>
    <w:p>
      <w:pPr>
        <w:pBdr>
          <w:left w:val="single" w:color="3C7A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HIPAA compliance audit response and corrective action plan deadlines</w:t>
      </w:r>
    </w:p>
    <w:p>
      <w:pPr>
        <w:pBdr>
          <w:left w:val="single" w:color="3C7A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Drug and device post-market surveillance report submission windows</w:t>
      </w:r>
    </w:p>
    <w:p>
      <w:pPr>
        <w:pBdr>
          <w:left w:val="single" w:color="3C7A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Clinical trial IND annual report and amendment deadline tracking</w:t>
      </w:r>
    </w:p>
    <w:p>
      <w:pPr>
        <w:pBdr>
          <w:left w:val="single" w:color="3C7A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FDA warning letter response window monitoring (15-day statutory period)</w:t>
      </w:r>
    </w:p>
    <w:p>
      <w:pPr>
        <w:pBdr>
          <w:left w:val="single" w:color="3C7A5B" w:sz="24" w:space="8"/>
        </w:pBdr>
        <w:spacing w:after="0" w:before="0"/>
        <w:ind w:left="160"/>
      </w:pPr>
    </w:p>
    <w:p>
      <w:pPr>
        <w:spacing w:after="0" w:before="0"/>
      </w:pPr>
    </w:p>
    <w:p>
      <w:pPr>
        <w:pBdr>
          <w:left w:val="single" w:color="8E6B2C"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8E6B2C"/>
          <w:sz w:val="22"/>
          <w:szCs w:val="22"/>
        </w:rPr>
        <w:t xml:space="preserve">Tax Law &amp; Tax Litigation</w:t>
      </w:r>
    </w:p>
    <w:p>
      <w:pPr>
        <w:pBdr>
          <w:left w:val="single" w:color="8E6B2C" w:sz="24" w:space="8"/>
        </w:pBdr>
        <w:spacing w:after="80" w:before="0"/>
        <w:ind w:left="160"/>
      </w:pPr>
      <w:r>
        <w:rPr>
          <w:rFonts w:ascii="Calibri" w:cs="Calibri" w:eastAsia="Calibri" w:hAnsi="Calibri"/>
          <w:b w:val="false"/>
          <w:bCs w:val="false"/>
          <w:i/>
          <w:iCs/>
          <w:caps w:val="false"/>
          <w:color w:val="4A5568"/>
          <w:sz w:val="20"/>
          <w:szCs w:val="20"/>
        </w:rPr>
        <w:t xml:space="preserve">IRS response windows, Tax Court petition deadlines, SOL on assessments</w:t>
      </w:r>
    </w:p>
    <w:p>
      <w:pPr>
        <w:pBdr>
          <w:left w:val="single" w:color="8E6B2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IRS Notice of Deficiency response and Tax Court petition window (90-day statutory)</w:t>
      </w:r>
    </w:p>
    <w:p>
      <w:pPr>
        <w:pBdr>
          <w:left w:val="single" w:color="8E6B2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CDP hearing request deadline tracking from IRS lien or levy notices</w:t>
      </w:r>
    </w:p>
    <w:p>
      <w:pPr>
        <w:pBdr>
          <w:left w:val="single" w:color="8E6B2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Offer in compromise response and appeal windows</w:t>
      </w:r>
    </w:p>
    <w:p>
      <w:pPr>
        <w:pBdr>
          <w:left w:val="single" w:color="8E6B2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Statute of limitations on assessment and refund claim tracking</w:t>
      </w:r>
    </w:p>
    <w:p>
      <w:pPr>
        <w:pBdr>
          <w:left w:val="single" w:color="8E6B2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Tax Court trial calendar and briefing schedule deadline management</w:t>
      </w:r>
    </w:p>
    <w:p>
      <w:pPr>
        <w:pBdr>
          <w:left w:val="single" w:color="8E6B2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IRS audit IDR response deadline tracking</w:t>
      </w:r>
    </w:p>
    <w:p>
      <w:pPr>
        <w:pBdr>
          <w:left w:val="single" w:color="8E6B2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State tax agency assessment and appeal deadline monitoring by jurisdiction</w:t>
      </w:r>
    </w:p>
    <w:p>
      <w:pPr>
        <w:pBdr>
          <w:left w:val="single" w:color="8E6B2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FBAR and foreign account reporting deadline tracking</w:t>
      </w:r>
    </w:p>
    <w:p>
      <w:pPr>
        <w:pBdr>
          <w:left w:val="single" w:color="8E6B2C" w:sz="24" w:space="8"/>
        </w:pBdr>
        <w:spacing w:after="0" w:before="0"/>
        <w:ind w:left="160"/>
      </w:pPr>
    </w:p>
    <w:p>
      <w:pPr>
        <w:spacing w:after="0" w:before="0"/>
      </w:pPr>
    </w:p>
    <w:p>
      <w:pPr>
        <w:pBdr>
          <w:left w:val="single" w:color="3C6B5B"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3C6B5B"/>
          <w:sz w:val="22"/>
          <w:szCs w:val="22"/>
        </w:rPr>
        <w:t xml:space="preserve">Environmental &amp; Regulatory</w:t>
      </w:r>
    </w:p>
    <w:p>
      <w:pPr>
        <w:pBdr>
          <w:left w:val="single" w:color="3C6B5B" w:sz="24" w:space="8"/>
        </w:pBdr>
        <w:spacing w:after="80" w:before="0"/>
        <w:ind w:left="160"/>
      </w:pPr>
      <w:r>
        <w:rPr>
          <w:rFonts w:ascii="Calibri" w:cs="Calibri" w:eastAsia="Calibri" w:hAnsi="Calibri"/>
          <w:b w:val="false"/>
          <w:bCs w:val="false"/>
          <w:i/>
          <w:iCs/>
          <w:caps w:val="false"/>
          <w:color w:val="4A5568"/>
          <w:sz w:val="20"/>
          <w:szCs w:val="20"/>
        </w:rPr>
        <w:t xml:space="preserve">Permit renewals, agency comment periods, enforcement response windows</w:t>
      </w:r>
    </w:p>
    <w:p>
      <w:pPr>
        <w:pBdr>
          <w:left w:val="single" w:color="3C6B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EPA and state agency enforcement response deadline tracking</w:t>
      </w:r>
    </w:p>
    <w:p>
      <w:pPr>
        <w:pBdr>
          <w:left w:val="single" w:color="3C6B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Permit renewal application submission window monitoring (typically 180 days prior)</w:t>
      </w:r>
    </w:p>
    <w:p>
      <w:pPr>
        <w:pBdr>
          <w:left w:val="single" w:color="3C6B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NEPA public comment period tracking for EIS and EA documents</w:t>
      </w:r>
    </w:p>
    <w:p>
      <w:pPr>
        <w:pBdr>
          <w:left w:val="single" w:color="3C6B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RCRA, CERCLA, and Superfund response action deadline management</w:t>
      </w:r>
    </w:p>
    <w:p>
      <w:pPr>
        <w:pBdr>
          <w:left w:val="single" w:color="3C6B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Air quality permit deviation report submission windows</w:t>
      </w:r>
    </w:p>
    <w:p>
      <w:pPr>
        <w:pBdr>
          <w:left w:val="single" w:color="3C6B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Water discharge permit (NPDES) monitoring report deadlines</w:t>
      </w:r>
    </w:p>
    <w:p>
      <w:pPr>
        <w:pBdr>
          <w:left w:val="single" w:color="3C6B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Consent decree milestone and reporting deadline tracking</w:t>
      </w:r>
    </w:p>
    <w:p>
      <w:pPr>
        <w:pBdr>
          <w:left w:val="single" w:color="3C6B5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Agency rulemaking comment deadline monitoring</w:t>
      </w:r>
    </w:p>
    <w:p>
      <w:pPr>
        <w:pBdr>
          <w:left w:val="single" w:color="3C6B5B" w:sz="24" w:space="8"/>
        </w:pBdr>
        <w:spacing w:after="0" w:before="0"/>
        <w:ind w:left="160"/>
      </w:pPr>
    </w:p>
    <w:p>
      <w:pPr>
        <w:spacing w:after="0" w:before="0"/>
      </w:pPr>
    </w:p>
    <w:p>
      <w:pPr>
        <w:pBdr>
          <w:left w:val="single" w:color="6B3C3C"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6B3C3C"/>
          <w:sz w:val="22"/>
          <w:szCs w:val="22"/>
        </w:rPr>
        <w:t xml:space="preserve">Criminal Defense</w:t>
      </w:r>
    </w:p>
    <w:p>
      <w:pPr>
        <w:pBdr>
          <w:left w:val="single" w:color="6B3C3C" w:sz="24" w:space="8"/>
        </w:pBdr>
        <w:spacing w:after="80" w:before="0"/>
        <w:ind w:left="160"/>
      </w:pPr>
      <w:r>
        <w:rPr>
          <w:rFonts w:ascii="Calibri" w:cs="Calibri" w:eastAsia="Calibri" w:hAnsi="Calibri"/>
          <w:b w:val="false"/>
          <w:bCs w:val="false"/>
          <w:i/>
          <w:iCs/>
          <w:caps w:val="false"/>
          <w:color w:val="4A5568"/>
          <w:sz w:val="20"/>
          <w:szCs w:val="20"/>
        </w:rPr>
        <w:t xml:space="preserve">Speedy trial clocks, motions deadlines, sentencing timelines, appeal windows</w:t>
      </w:r>
    </w:p>
    <w:p>
      <w:pPr>
        <w:pBdr>
          <w:left w:val="single" w:color="6B3C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Speedy trial clock tracking — federal (70-day Speedy Trial Act) and state equivalents</w:t>
      </w:r>
    </w:p>
    <w:p>
      <w:pPr>
        <w:pBdr>
          <w:left w:val="single" w:color="6B3C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Pre-trial motion filing deadlines from arraignment or scheduling order</w:t>
      </w:r>
    </w:p>
    <w:p>
      <w:pPr>
        <w:pBdr>
          <w:left w:val="single" w:color="6B3C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Suppression motion response and hearing scheduling windows</w:t>
      </w:r>
    </w:p>
    <w:p>
      <w:pPr>
        <w:pBdr>
          <w:left w:val="single" w:color="6B3C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Plea agreement response deadline tracking</w:t>
      </w:r>
    </w:p>
    <w:p>
      <w:pPr>
        <w:pBdr>
          <w:left w:val="single" w:color="6B3C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Sentencing hearing and PSR objection window monitoring</w:t>
      </w:r>
    </w:p>
    <w:p>
      <w:pPr>
        <w:pBdr>
          <w:left w:val="single" w:color="6B3C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Direct appeal notice of appeal deadline (10-day federal / varies by state)</w:t>
      </w:r>
    </w:p>
    <w:p>
      <w:pPr>
        <w:pBdr>
          <w:left w:val="single" w:color="6B3C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Habeas corpus petition window tracking (1-year AEDPA limitation)</w:t>
      </w:r>
    </w:p>
    <w:p>
      <w:pPr>
        <w:pBdr>
          <w:left w:val="single" w:color="6B3C3C"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Post-conviction relief and motion for new trial filing windows</w:t>
      </w:r>
    </w:p>
    <w:p>
      <w:pPr>
        <w:pBdr>
          <w:left w:val="single" w:color="6B3C3C" w:sz="24" w:space="8"/>
        </w:pBdr>
        <w:spacing w:after="0" w:before="0"/>
        <w:ind w:left="160"/>
      </w:pPr>
    </w:p>
    <w:p>
      <w:pPr>
        <w:spacing w:after="0" w:before="0"/>
      </w:pPr>
    </w:p>
    <w:p>
      <w:pPr>
        <w:pBdr>
          <w:left w:val="single" w:color="3C4C6B"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3C4C6B"/>
          <w:sz w:val="22"/>
          <w:szCs w:val="22"/>
        </w:rPr>
        <w:t xml:space="preserve">Appellate Practice</w:t>
      </w:r>
    </w:p>
    <w:p>
      <w:pPr>
        <w:pBdr>
          <w:left w:val="single" w:color="3C4C6B" w:sz="24" w:space="8"/>
        </w:pBdr>
        <w:spacing w:after="80" w:before="0"/>
        <w:ind w:left="160"/>
      </w:pPr>
      <w:r>
        <w:rPr>
          <w:rFonts w:ascii="Calibri" w:cs="Calibri" w:eastAsia="Calibri" w:hAnsi="Calibri"/>
          <w:b w:val="false"/>
          <w:bCs w:val="false"/>
          <w:i/>
          <w:iCs/>
          <w:caps w:val="false"/>
          <w:color w:val="4A5568"/>
          <w:sz w:val="20"/>
          <w:szCs w:val="20"/>
        </w:rPr>
        <w:t xml:space="preserve">Notice of appeal windows, briefing schedules, oral argument calendars</w:t>
      </w:r>
    </w:p>
    <w:p>
      <w:pPr>
        <w:pBdr>
          <w:left w:val="single" w:color="3C4C6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Notice of appeal deadline tracking from judgment or order (30-day federal default)</w:t>
      </w:r>
    </w:p>
    <w:p>
      <w:pPr>
        <w:pBdr>
          <w:left w:val="single" w:color="3C4C6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Briefing schedule management — opening brief, response, reply, sur-reply</w:t>
      </w:r>
    </w:p>
    <w:p>
      <w:pPr>
        <w:pBdr>
          <w:left w:val="single" w:color="3C4C6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Extension request tracking and appellate court calendar management</w:t>
      </w:r>
    </w:p>
    <w:p>
      <w:pPr>
        <w:pBdr>
          <w:left w:val="single" w:color="3C4C6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Certiorari petition window monitoring (90-day Supreme Court)</w:t>
      </w:r>
    </w:p>
    <w:p>
      <w:pPr>
        <w:pBdr>
          <w:left w:val="single" w:color="3C4C6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Record designation and appendix preparation deadline tracking</w:t>
      </w:r>
    </w:p>
    <w:p>
      <w:pPr>
        <w:pBdr>
          <w:left w:val="single" w:color="3C4C6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Oral argument scheduling and preparation timeline management</w:t>
      </w:r>
    </w:p>
    <w:p>
      <w:pPr>
        <w:pBdr>
          <w:left w:val="single" w:color="3C4C6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Mandate issuance and remand deadline tracking</w:t>
      </w:r>
    </w:p>
    <w:p>
      <w:pPr>
        <w:pBdr>
          <w:left w:val="single" w:color="3C4C6B"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Multi-circuit and state appellate deadline rules by jurisdiction</w:t>
      </w:r>
    </w:p>
    <w:p>
      <w:pPr>
        <w:pBdr>
          <w:left w:val="single" w:color="3C4C6B" w:sz="24" w:space="8"/>
        </w:pBdr>
        <w:spacing w:after="0" w:before="0"/>
        <w:ind w:left="160"/>
      </w:pPr>
    </w:p>
    <w:p>
      <w:pPr>
        <w:spacing w:after="0" w:before="0"/>
      </w:pPr>
    </w:p>
    <w:p>
      <w:pPr>
        <w:pBdr>
          <w:left w:val="single" w:color="14213D" w:sz="24" w:space="8"/>
        </w:pBdr>
        <w:spacing w:after="60" w:before="0"/>
        <w:ind w:left="160"/>
      </w:pPr>
      <w:r>
        <w:rPr>
          <w:rFonts w:ascii="Calibri" w:cs="Calibri" w:eastAsia="Calibri" w:hAnsi="Calibri"/>
          <w:b w:val="false"/>
          <w:bCs w:val="false"/>
          <w:i w:val="false"/>
          <w:iCs w:val="false"/>
          <w:caps w:val="false"/>
          <w:color w:val="1A1A1A"/>
          <w:sz w:val="22"/>
          <w:szCs w:val="22"/>
        </w:rPr>
        <w:t xml:space="preserve">✓  </w:t>
      </w:r>
      <w:r>
        <w:rPr>
          <w:rFonts w:ascii="Calibri" w:cs="Calibri" w:eastAsia="Calibri" w:hAnsi="Calibri"/>
          <w:b/>
          <w:bCs/>
          <w:i w:val="false"/>
          <w:iCs w:val="false"/>
          <w:caps w:val="false"/>
          <w:color w:val="14213D"/>
          <w:sz w:val="22"/>
          <w:szCs w:val="22"/>
        </w:rPr>
        <w:t xml:space="preserve">Corporate &amp; Transactional</w:t>
      </w:r>
    </w:p>
    <w:p>
      <w:pPr>
        <w:pBdr>
          <w:left w:val="single" w:color="14213D" w:sz="24" w:space="8"/>
        </w:pBdr>
        <w:spacing w:after="80" w:before="0"/>
        <w:ind w:left="160"/>
      </w:pPr>
      <w:r>
        <w:rPr>
          <w:rFonts w:ascii="Calibri" w:cs="Calibri" w:eastAsia="Calibri" w:hAnsi="Calibri"/>
          <w:b w:val="false"/>
          <w:bCs w:val="false"/>
          <w:i/>
          <w:iCs/>
          <w:caps w:val="false"/>
          <w:color w:val="4A5568"/>
          <w:sz w:val="20"/>
          <w:szCs w:val="20"/>
        </w:rPr>
        <w:t xml:space="preserve">M&amp;A timelines, regulatory approval windows, contract renewal tracking</w:t>
      </w:r>
    </w:p>
    <w:p>
      <w:pPr>
        <w:pBdr>
          <w:left w:val="single" w:color="14213D"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M&amp;A due diligence deadline tracking and closing condition monitoring</w:t>
      </w:r>
    </w:p>
    <w:p>
      <w:pPr>
        <w:pBdr>
          <w:left w:val="single" w:color="14213D"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HSR Act and antitrust regulatory clearance period management</w:t>
      </w:r>
    </w:p>
    <w:p>
      <w:pPr>
        <w:pBdr>
          <w:left w:val="single" w:color="14213D"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SEC filing deadlines — 10-K, 10-Q, 8-K, proxy statement windows</w:t>
      </w:r>
    </w:p>
    <w:p>
      <w:pPr>
        <w:pBdr>
          <w:left w:val="single" w:color="14213D"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Contract expiration, renewal option, and notice period tracking</w:t>
      </w:r>
    </w:p>
    <w:p>
      <w:pPr>
        <w:pBdr>
          <w:left w:val="single" w:color="14213D"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Board meeting and annual shareholder meeting deadline monitoring</w:t>
      </w:r>
    </w:p>
    <w:p>
      <w:pPr>
        <w:pBdr>
          <w:left w:val="single" w:color="14213D"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Delaware and state corporate filing deadline management</w:t>
      </w:r>
    </w:p>
    <w:p>
      <w:pPr>
        <w:pBdr>
          <w:left w:val="single" w:color="14213D"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Loan covenant compliance reporting deadline tracking</w:t>
      </w:r>
    </w:p>
    <w:p>
      <w:pPr>
        <w:pBdr>
          <w:left w:val="single" w:color="14213D" w:sz="24" w:space="8"/>
        </w:pBdr>
        <w:spacing w:after="40" w:before="40" w:line="280"/>
        <w:ind w:left="300"/>
      </w:pPr>
      <w:r>
        <w:rPr>
          <w:rFonts w:ascii="Calibri" w:cs="Calibri" w:eastAsia="Calibri" w:hAnsi="Calibri"/>
          <w:b w:val="false"/>
          <w:bCs w:val="false"/>
          <w:i w:val="false"/>
          <w:iCs w:val="false"/>
          <w:caps w:val="false"/>
          <w:color w:val="4A5568"/>
          <w:sz w:val="20"/>
          <w:szCs w:val="20"/>
        </w:rPr>
        <w:t xml:space="preserve">–  NDAs, exclusivity agreements, and LOI expiration window monitoring</w:t>
      </w:r>
    </w:p>
    <w:p>
      <w:pPr>
        <w:pBdr>
          <w:left w:val="single" w:color="14213D" w:sz="24" w:space="8"/>
        </w:pBdr>
        <w:spacing w:after="0" w:before="0"/>
        <w:ind w:left="160"/>
      </w:pPr>
    </w:p>
    <w:p>
      <w:pPr>
        <w:spacing w:after="0" w:before="0"/>
      </w:pPr>
      <w:r>
        <w:br w:type="page"/>
      </w:r>
    </w:p>
    <w:p>
      <w:pPr>
        <w:shd w:fill="14213D" w:val="clear"/>
        <w:spacing w:after="60" w:before="0"/>
        <w:ind w:left="200"/>
      </w:pPr>
      <w:r>
        <w:rPr>
          <w:rFonts w:ascii="Calibri" w:cs="Calibri" w:eastAsia="Calibri" w:hAnsi="Calibri"/>
          <w:b/>
          <w:bCs/>
          <w:i w:val="false"/>
          <w:iCs w:val="false"/>
          <w:caps w:val="false"/>
          <w:color w:val="FFFFFF"/>
          <w:sz w:val="36"/>
          <w:szCs w:val="36"/>
        </w:rPr>
        <w:t xml:space="preserve">Platform Features</w:t>
      </w:r>
    </w:p>
    <w:p>
      <w:pPr>
        <w:shd w:fill="14213D" w:val="clear"/>
        <w:spacing w:after="0" w:before="0"/>
        <w:ind w:left="200"/>
      </w:pPr>
      <w:r>
        <w:rPr>
          <w:rFonts w:ascii="Calibri" w:cs="Calibri" w:eastAsia="Calibri" w:hAnsi="Calibri"/>
          <w:b w:val="false"/>
          <w:bCs w:val="false"/>
          <w:i/>
          <w:iCs/>
          <w:caps w:val="false"/>
          <w:color w:val="FFFFFF"/>
          <w:sz w:val="21"/>
          <w:szCs w:val="21"/>
        </w:rPr>
        <w:t xml:space="preserve">The complete docketing platform — for every practice area</w:t>
      </w:r>
    </w:p>
    <w:p>
      <w:pPr>
        <w:shd w:fill="14213D" w:val="clear"/>
        <w:spacing w:after="0" w:before="0"/>
      </w:pPr>
      <w:r>
        <w:rPr>
          <w:rFonts w:ascii="Calibri" w:cs="Calibri" w:eastAsia="Calibri" w:hAnsi="Calibri"/>
          <w:b w:val="false"/>
          <w:bCs w:val="false"/>
          <w:i w:val="false"/>
          <w:iCs w:val="false"/>
          <w:caps w:val="false"/>
          <w:color w:val="1A1A1A"/>
          <w:sz w:val="10"/>
          <w:szCs w:val="10"/>
        </w:rPr>
        <w:t xml:space="preserve"> </w:t>
      </w:r>
    </w:p>
    <w:p>
      <w:pPr>
        <w:pStyle w:val="Heading2"/>
        <w:spacing w:after="120" w:before="280"/>
      </w:pPr>
      <w:r>
        <w:rPr>
          <w:rFonts w:ascii="Calibri" w:cs="Calibri" w:eastAsia="Calibri" w:hAnsi="Calibri"/>
          <w:b/>
          <w:bCs/>
          <w:i w:val="false"/>
          <w:iCs w:val="false"/>
          <w:caps w:val="false"/>
          <w:color w:val="14213D"/>
          <w:sz w:val="26"/>
          <w:szCs w:val="26"/>
        </w:rPr>
        <w:t xml:space="preserve">Automatic Processing (Core Platform)</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Document intake —  </w:t>
      </w:r>
      <w:r>
        <w:rPr>
          <w:rFonts w:ascii="Calibri" w:cs="Calibri" w:eastAsia="Calibri" w:hAnsi="Calibri"/>
          <w:b w:val="false"/>
          <w:bCs w:val="false"/>
          <w:i w:val="false"/>
          <w:iCs w:val="false"/>
          <w:caps w:val="false"/>
          <w:color w:val="4A5568"/>
          <w:sz w:val="21"/>
          <w:szCs w:val="21"/>
        </w:rPr>
        <w:t xml:space="preserve">Accepts filings via email, direct agency feed, or upload. Native PDFs, scanned PDFs, and image-based documents all processed identically.</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Filing classification —  </w:t>
      </w:r>
      <w:r>
        <w:rPr>
          <w:rFonts w:ascii="Calibri" w:cs="Calibri" w:eastAsia="Calibri" w:hAnsi="Calibri"/>
          <w:b w:val="false"/>
          <w:bCs w:val="false"/>
          <w:i w:val="false"/>
          <w:iCs w:val="false"/>
          <w:caps w:val="false"/>
          <w:color w:val="4A5568"/>
          <w:sz w:val="21"/>
          <w:szCs w:val="21"/>
        </w:rPr>
        <w:t xml:space="preserve">Identifies the document type across all practice areas — court order, agency notice, regulatory filing, contract, permit — and applies the correct downstream logic.</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Date and party extraction —  </w:t>
      </w:r>
      <w:r>
        <w:rPr>
          <w:rFonts w:ascii="Calibri" w:cs="Calibri" w:eastAsia="Calibri" w:hAnsi="Calibri"/>
          <w:b w:val="false"/>
          <w:bCs w:val="false"/>
          <w:i w:val="false"/>
          <w:iCs w:val="false"/>
          <w:caps w:val="false"/>
          <w:color w:val="4A5568"/>
          <w:sz w:val="21"/>
          <w:szCs w:val="21"/>
        </w:rPr>
        <w:t xml:space="preserve">Extracts every governing date, case number, docket number, party name, and counsel from each document automatically.</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OCR pipeline —  </w:t>
      </w:r>
      <w:r>
        <w:rPr>
          <w:rFonts w:ascii="Calibri" w:cs="Calibri" w:eastAsia="Calibri" w:hAnsi="Calibri"/>
          <w:b w:val="false"/>
          <w:bCs w:val="false"/>
          <w:i w:val="false"/>
          <w:iCs w:val="false"/>
          <w:caps w:val="false"/>
          <w:color w:val="4A5568"/>
          <w:sz w:val="21"/>
          <w:szCs w:val="21"/>
        </w:rPr>
        <w:t xml:space="preserve">Optical character recognition for scanned and image-based filings. Handles fax-quality documents, handwritten annotations, and low-resolution scans.</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Rules engine —  </w:t>
      </w:r>
      <w:r>
        <w:rPr>
          <w:rFonts w:ascii="Calibri" w:cs="Calibri" w:eastAsia="Calibri" w:hAnsi="Calibri"/>
          <w:b w:val="false"/>
          <w:bCs w:val="false"/>
          <w:i w:val="false"/>
          <w:iCs w:val="false"/>
          <w:caps w:val="false"/>
          <w:color w:val="4A5568"/>
          <w:sz w:val="21"/>
          <w:szCs w:val="21"/>
        </w:rPr>
        <w:t xml:space="preserve">Jurisdiction-specific deadline calculation across all practice areas. Federal and state courts, federal agencies, international IP offices, regulatory bodies.</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Holiday and weekend adjustment —  </w:t>
      </w:r>
      <w:r>
        <w:rPr>
          <w:rFonts w:ascii="Calibri" w:cs="Calibri" w:eastAsia="Calibri" w:hAnsi="Calibri"/>
          <w:b w:val="false"/>
          <w:bCs w:val="false"/>
          <w:i w:val="false"/>
          <w:iCs w:val="false"/>
          <w:caps w:val="false"/>
          <w:color w:val="4A5568"/>
          <w:sz w:val="21"/>
          <w:szCs w:val="21"/>
        </w:rPr>
        <w:t xml:space="preserve">Deadlines falling on non-business days are automatically shifted to the next valid date per applicable procedural rules.</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Docket entry pre-population —  </w:t>
      </w:r>
      <w:r>
        <w:rPr>
          <w:rFonts w:ascii="Calibri" w:cs="Calibri" w:eastAsia="Calibri" w:hAnsi="Calibri"/>
          <w:b w:val="false"/>
          <w:bCs w:val="false"/>
          <w:i w:val="false"/>
          <w:iCs w:val="false"/>
          <w:caps w:val="false"/>
          <w:color w:val="4A5568"/>
          <w:sz w:val="21"/>
          <w:szCs w:val="21"/>
        </w:rPr>
        <w:t xml:space="preserve">Every entry is presented for human review and confirmation before saving. The docketing team retains complete professional control.</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Audit trail —  </w:t>
      </w:r>
      <w:r>
        <w:rPr>
          <w:rFonts w:ascii="Calibri" w:cs="Calibri" w:eastAsia="Calibri" w:hAnsi="Calibri"/>
          <w:b w:val="false"/>
          <w:bCs w:val="false"/>
          <w:i w:val="false"/>
          <w:iCs w:val="false"/>
          <w:caps w:val="false"/>
          <w:color w:val="4A5568"/>
          <w:sz w:val="21"/>
          <w:szCs w:val="21"/>
        </w:rPr>
        <w:t xml:space="preserve">Every entry, edit, and deadline change is logged with a full history for compliance, supervision, and malpractice defense.</w:t>
      </w:r>
    </w:p>
    <w:p>
      <w:pPr>
        <w:spacing w:after="0" w:before="0"/>
      </w:pPr>
    </w:p>
    <w:p>
      <w:pPr>
        <w:pStyle w:val="Heading2"/>
        <w:spacing w:after="120" w:before="280"/>
      </w:pPr>
      <w:r>
        <w:rPr>
          <w:rFonts w:ascii="Calibri" w:cs="Calibri" w:eastAsia="Calibri" w:hAnsi="Calibri"/>
          <w:b/>
          <w:bCs/>
          <w:i w:val="false"/>
          <w:iCs w:val="false"/>
          <w:caps w:val="false"/>
          <w:color w:val="14213D"/>
          <w:sz w:val="26"/>
          <w:szCs w:val="26"/>
        </w:rPr>
        <w:t xml:space="preserve">AI-Powered Features (AI Layer)</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Natural language search —  </w:t>
      </w:r>
      <w:r>
        <w:rPr>
          <w:rFonts w:ascii="Calibri" w:cs="Calibri" w:eastAsia="Calibri" w:hAnsi="Calibri"/>
          <w:b w:val="false"/>
          <w:bCs w:val="false"/>
          <w:i w:val="false"/>
          <w:iCs w:val="false"/>
          <w:caps w:val="false"/>
          <w:color w:val="4A5568"/>
          <w:sz w:val="21"/>
          <w:szCs w:val="21"/>
        </w:rPr>
        <w:t xml:space="preserve">"What motions deadlines does the trial team have this month?" — plain-English queries return structured results across all matters and practice areas.</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Document summarisation —  </w:t>
      </w:r>
      <w:r>
        <w:rPr>
          <w:rFonts w:ascii="Calibri" w:cs="Calibri" w:eastAsia="Calibri" w:hAnsi="Calibri"/>
          <w:b w:val="false"/>
          <w:bCs w:val="false"/>
          <w:i w:val="false"/>
          <w:iCs w:val="false"/>
          <w:caps w:val="false"/>
          <w:color w:val="4A5568"/>
          <w:sz w:val="21"/>
          <w:szCs w:val="21"/>
        </w:rPr>
        <w:t xml:space="preserve">Reads incoming filings and produces structured summaries: key dates, required actions, parties, and strategic context. Works across all document types.</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Daily intelligent briefing —  </w:t>
      </w:r>
      <w:r>
        <w:rPr>
          <w:rFonts w:ascii="Calibri" w:cs="Calibri" w:eastAsia="Calibri" w:hAnsi="Calibri"/>
          <w:b w:val="false"/>
          <w:bCs w:val="false"/>
          <w:i w:val="false"/>
          <w:iCs w:val="false"/>
          <w:caps w:val="false"/>
          <w:color w:val="4A5568"/>
          <w:sz w:val="21"/>
          <w:szCs w:val="21"/>
        </w:rPr>
        <w:t xml:space="preserve">Each attorney receives a personalised morning digest: deadlines today, deadlines this week, matters requiring attention, and risk flags — in priority order.</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Conflict of interest screening —  </w:t>
      </w:r>
      <w:r>
        <w:rPr>
          <w:rFonts w:ascii="Calibri" w:cs="Calibri" w:eastAsia="Calibri" w:hAnsi="Calibri"/>
          <w:b w:val="false"/>
          <w:bCs w:val="false"/>
          <w:i w:val="false"/>
          <w:iCs w:val="false"/>
          <w:caps w:val="false"/>
          <w:color w:val="4A5568"/>
          <w:sz w:val="21"/>
          <w:szCs w:val="21"/>
        </w:rPr>
        <w:t xml:space="preserve">New matter intake triggers an automated check against existing matters for potential conflicts across all practice areas.</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Workload distribution analysis —  </w:t>
      </w:r>
      <w:r>
        <w:rPr>
          <w:rFonts w:ascii="Calibri" w:cs="Calibri" w:eastAsia="Calibri" w:hAnsi="Calibri"/>
          <w:b w:val="false"/>
          <w:bCs w:val="false"/>
          <w:i w:val="false"/>
          <w:iCs w:val="false"/>
          <w:caps w:val="false"/>
          <w:color w:val="4A5568"/>
          <w:sz w:val="21"/>
          <w:szCs w:val="21"/>
        </w:rPr>
        <w:t xml:space="preserve">Surfaces imbalances across attorneys — flags when one attorney carries a disproportionate deadline load in any given period.</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Client report generation —  </w:t>
      </w:r>
      <w:r>
        <w:rPr>
          <w:rFonts w:ascii="Calibri" w:cs="Calibri" w:eastAsia="Calibri" w:hAnsi="Calibri"/>
          <w:b w:val="false"/>
          <w:bCs w:val="false"/>
          <w:i w:val="false"/>
          <w:iCs w:val="false"/>
          <w:caps w:val="false"/>
          <w:color w:val="4A5568"/>
          <w:sz w:val="21"/>
          <w:szCs w:val="21"/>
        </w:rPr>
        <w:t xml:space="preserve">Generates professional status updates for clients, summarising matter history, recent activity, and upcoming deadlines in plain language.</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Risk and anomaly detection —  </w:t>
      </w:r>
      <w:r>
        <w:rPr>
          <w:rFonts w:ascii="Calibri" w:cs="Calibri" w:eastAsia="Calibri" w:hAnsi="Calibri"/>
          <w:b w:val="false"/>
          <w:bCs w:val="false"/>
          <w:i w:val="false"/>
          <w:iCs w:val="false"/>
          <w:caps w:val="false"/>
          <w:color w:val="4A5568"/>
          <w:sz w:val="21"/>
          <w:szCs w:val="21"/>
        </w:rPr>
        <w:t xml:space="preserve">Flags inconsistencies, conflicting dates, approaching fatal deadlines, and matters with missing information before they become problems.</w:t>
      </w:r>
    </w:p>
    <w:p>
      <w:pPr>
        <w:spacing w:after="0" w:before="0"/>
      </w:pPr>
      <w:r>
        <w:br w:type="page"/>
      </w:r>
    </w:p>
    <w:p>
      <w:pPr>
        <w:shd w:fill="1E3A5F" w:val="clear"/>
        <w:spacing w:after="60" w:before="0"/>
        <w:ind w:left="200"/>
      </w:pPr>
      <w:r>
        <w:rPr>
          <w:rFonts w:ascii="Calibri" w:cs="Calibri" w:eastAsia="Calibri" w:hAnsi="Calibri"/>
          <w:b/>
          <w:bCs/>
          <w:i w:val="false"/>
          <w:iCs w:val="false"/>
          <w:caps w:val="false"/>
          <w:color w:val="FFFFFF"/>
          <w:sz w:val="36"/>
          <w:szCs w:val="36"/>
        </w:rPr>
        <w:t xml:space="preserve">Security &amp; Reliability</w:t>
      </w:r>
    </w:p>
    <w:p>
      <w:pPr>
        <w:shd w:fill="1E3A5F" w:val="clear"/>
        <w:spacing w:after="0" w:before="0"/>
        <w:ind w:left="200"/>
      </w:pPr>
      <w:r>
        <w:rPr>
          <w:rFonts w:ascii="Calibri" w:cs="Calibri" w:eastAsia="Calibri" w:hAnsi="Calibri"/>
          <w:b w:val="false"/>
          <w:bCs w:val="false"/>
          <w:i/>
          <w:iCs/>
          <w:caps w:val="false"/>
          <w:color w:val="FFFFFF"/>
          <w:sz w:val="21"/>
          <w:szCs w:val="21"/>
        </w:rPr>
        <w:t xml:space="preserve">Client data demands the same precision as client deadlines</w:t>
      </w:r>
    </w:p>
    <w:p>
      <w:pPr>
        <w:shd w:fill="1E3A5F" w:val="clear"/>
        <w:spacing w:after="0" w:before="0"/>
      </w:pPr>
      <w:r>
        <w:rPr>
          <w:rFonts w:ascii="Calibri" w:cs="Calibri" w:eastAsia="Calibri" w:hAnsi="Calibri"/>
          <w:b w:val="false"/>
          <w:bCs w:val="false"/>
          <w:i w:val="false"/>
          <w:iCs w:val="false"/>
          <w:caps w:val="false"/>
          <w:color w:val="1A1A1A"/>
          <w:sz w:val="10"/>
          <w:szCs w:val="10"/>
        </w:rPr>
        <w:t xml:space="preserve"> </w:t>
      </w:r>
    </w:p>
    <w:p>
      <w:pPr>
        <w:spacing w:after="80" w:before="60" w:line="296"/>
        <w:jc w:val="left"/>
      </w:pPr>
      <w:r>
        <w:rPr>
          <w:rFonts w:ascii="Calibri" w:cs="Calibri" w:eastAsia="Calibri" w:hAnsi="Calibri"/>
          <w:b w:val="false"/>
          <w:bCs w:val="false"/>
          <w:i w:val="false"/>
          <w:iCs w:val="false"/>
          <w:caps w:val="false"/>
          <w:color w:val="4A5568"/>
          <w:sz w:val="21"/>
          <w:szCs w:val="21"/>
        </w:rPr>
        <w:t xml:space="preserve">Legal matter data is among the most sensitive information any firm handles. Client identities, litigation strategy, regulatory exposure, M&amp;A targets, immigration status — all of it passes through a docketing system. Clinentora is built with that responsibility at its core.</w:t>
      </w:r>
    </w:p>
    <w:p>
      <w:pPr>
        <w:pStyle w:val="Heading2"/>
        <w:spacing w:after="120" w:before="280"/>
      </w:pPr>
      <w:r>
        <w:rPr>
          <w:rFonts w:ascii="Calibri" w:cs="Calibri" w:eastAsia="Calibri" w:hAnsi="Calibri"/>
          <w:b/>
          <w:bCs/>
          <w:i w:val="false"/>
          <w:iCs w:val="false"/>
          <w:caps w:val="false"/>
          <w:color w:val="14213D"/>
          <w:sz w:val="26"/>
          <w:szCs w:val="26"/>
        </w:rPr>
        <w:t xml:space="preserve">Data Protection</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Encryption in transit (TLS 1.3) and at rest (AES-256) for all matter data and documents</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Role-based access control — attorneys, paralegals, support staff, and clients each see only what they need</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Multi-factor authentication available across all user accounts</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Full audit log of every access, entry, edit, and deadline change — permanent record for supervision and malpractice defense</w:t>
      </w:r>
    </w:p>
    <w:p>
      <w:pPr>
        <w:pStyle w:val="Heading2"/>
        <w:spacing w:after="120" w:before="280"/>
      </w:pPr>
      <w:r>
        <w:rPr>
          <w:rFonts w:ascii="Calibri" w:cs="Calibri" w:eastAsia="Calibri" w:hAnsi="Calibri"/>
          <w:b/>
          <w:bCs/>
          <w:i w:val="false"/>
          <w:iCs w:val="false"/>
          <w:caps w:val="false"/>
          <w:color w:val="14213D"/>
          <w:sz w:val="26"/>
          <w:szCs w:val="26"/>
        </w:rPr>
        <w:t xml:space="preserve">Operational Reliability</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Daily automated backups with point-in-time recovery — no data loss from system failures</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Redundant infrastructure with continuous uptime monitoring — no scheduled downtime windows</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No inactivity pauses or data freezes — the platform is available whenever your firm is</w:t>
      </w:r>
    </w:p>
    <w:p>
      <w:pPr>
        <w:pStyle w:val="ListParagraph"/>
        <w:numPr>
          <w:ilvl w:val="0"/>
          <w:numId w:val="2"/>
        </w:numPr>
        <w:spacing w:after="60" w:before="60" w:line="280"/>
      </w:pPr>
      <w:r>
        <w:rPr>
          <w:rFonts w:ascii="Calibri" w:cs="Calibri" w:eastAsia="Calibri" w:hAnsi="Calibri"/>
          <w:b w:val="false"/>
          <w:bCs w:val="false"/>
          <w:i w:val="false"/>
          <w:iCs w:val="false"/>
          <w:caps w:val="false"/>
          <w:color w:val="4A5568"/>
          <w:sz w:val="21"/>
          <w:szCs w:val="21"/>
        </w:rPr>
        <w:t xml:space="preserve">Data residency options for firms with jurisdictional or client-imposed data location requirements</w:t>
      </w:r>
    </w:p>
    <w:p>
      <w:pPr>
        <w:pStyle w:val="Heading2"/>
        <w:spacing w:after="120" w:before="280"/>
      </w:pPr>
      <w:r>
        <w:rPr>
          <w:rFonts w:ascii="Calibri" w:cs="Calibri" w:eastAsia="Calibri" w:hAnsi="Calibri"/>
          <w:b/>
          <w:bCs/>
          <w:i w:val="false"/>
          <w:iCs w:val="false"/>
          <w:caps w:val="false"/>
          <w:color w:val="14213D"/>
          <w:sz w:val="26"/>
          <w:szCs w:val="26"/>
        </w:rPr>
        <w:t xml:space="preserve">Confidentiality</w:t>
      </w:r>
    </w:p>
    <w:p>
      <w:pPr>
        <w:spacing w:after="80" w:before="60" w:line="296"/>
        <w:jc w:val="left"/>
      </w:pPr>
      <w:r>
        <w:rPr>
          <w:rFonts w:ascii="Calibri" w:cs="Calibri" w:eastAsia="Calibri" w:hAnsi="Calibri"/>
          <w:b w:val="false"/>
          <w:bCs w:val="false"/>
          <w:i w:val="false"/>
          <w:iCs w:val="false"/>
          <w:caps w:val="false"/>
          <w:color w:val="4A5568"/>
          <w:sz w:val="21"/>
          <w:szCs w:val="21"/>
        </w:rPr>
        <w:t xml:space="preserve">Your matter data is never used to train shared models, never shared with other firms, and never used for any purpose beyond delivering the Clinentora service to you. Full data processing terms are available for review by your firm's IT, risk, and general counsel teams before onboarding begins.</w:t>
      </w:r>
    </w:p>
    <w:p>
      <w:pPr>
        <w:spacing w:after="0" w:before="0"/>
      </w:pPr>
      <w:r>
        <w:br w:type="page"/>
      </w:r>
    </w:p>
    <w:p>
      <w:pPr>
        <w:shd w:fill="A07840" w:val="clear"/>
        <w:spacing w:after="60" w:before="0"/>
        <w:ind w:left="200"/>
      </w:pPr>
      <w:r>
        <w:rPr>
          <w:rFonts w:ascii="Calibri" w:cs="Calibri" w:eastAsia="Calibri" w:hAnsi="Calibri"/>
          <w:b/>
          <w:bCs/>
          <w:i w:val="false"/>
          <w:iCs w:val="false"/>
          <w:caps w:val="false"/>
          <w:color w:val="FFFFFF"/>
          <w:sz w:val="36"/>
          <w:szCs w:val="36"/>
        </w:rPr>
        <w:t xml:space="preserve">Switching Is Simpler Than You Think</w:t>
      </w:r>
    </w:p>
    <w:p>
      <w:pPr>
        <w:shd w:fill="A07840" w:val="clear"/>
        <w:spacing w:after="0" w:before="0"/>
        <w:ind w:left="200"/>
      </w:pPr>
      <w:r>
        <w:rPr>
          <w:rFonts w:ascii="Calibri" w:cs="Calibri" w:eastAsia="Calibri" w:hAnsi="Calibri"/>
          <w:b w:val="false"/>
          <w:bCs w:val="false"/>
          <w:i/>
          <w:iCs/>
          <w:caps w:val="false"/>
          <w:color w:val="FFFFFF"/>
          <w:sz w:val="21"/>
          <w:szCs w:val="21"/>
        </w:rPr>
        <w:t xml:space="preserve">For firms already using a docketing system</w:t>
      </w:r>
    </w:p>
    <w:p>
      <w:pPr>
        <w:shd w:fill="A07840" w:val="clear"/>
        <w:spacing w:after="0" w:before="0"/>
      </w:pPr>
      <w:r>
        <w:rPr>
          <w:rFonts w:ascii="Calibri" w:cs="Calibri" w:eastAsia="Calibri" w:hAnsi="Calibri"/>
          <w:b w:val="false"/>
          <w:bCs w:val="false"/>
          <w:i w:val="false"/>
          <w:iCs w:val="false"/>
          <w:caps w:val="false"/>
          <w:color w:val="1A1A1A"/>
          <w:sz w:val="10"/>
          <w:szCs w:val="10"/>
        </w:rPr>
        <w:t xml:space="preserve"> </w:t>
      </w:r>
    </w:p>
    <w:p>
      <w:pPr>
        <w:spacing w:after="180" w:before="100" w:line="340"/>
        <w:jc w:val="left"/>
      </w:pPr>
      <w:r>
        <w:rPr>
          <w:rFonts w:ascii="Calibri" w:cs="Calibri" w:eastAsia="Calibri" w:hAnsi="Calibri"/>
          <w:b w:val="false"/>
          <w:bCs w:val="false"/>
          <w:i w:val="false"/>
          <w:iCs w:val="false"/>
          <w:caps w:val="false"/>
          <w:color w:val="14213D"/>
          <w:sz w:val="25"/>
          <w:szCs w:val="25"/>
        </w:rPr>
        <w:t xml:space="preserve">The biggest barrier to changing systems is the transition. Clinentora is designed to make switching the easy decision, not the hard one.</w:t>
      </w:r>
    </w:p>
    <w:p>
      <w:pPr>
        <w:pStyle w:val="Heading2"/>
        <w:spacing w:after="120" w:before="280"/>
      </w:pPr>
      <w:r>
        <w:rPr>
          <w:rFonts w:ascii="Calibri" w:cs="Calibri" w:eastAsia="Calibri" w:hAnsi="Calibri"/>
          <w:b/>
          <w:bCs/>
          <w:i w:val="false"/>
          <w:iCs w:val="false"/>
          <w:caps w:val="false"/>
          <w:color w:val="14213D"/>
          <w:sz w:val="26"/>
          <w:szCs w:val="26"/>
        </w:rPr>
        <w:t xml:space="preserve">What migration looks like</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Data import —  </w:t>
      </w:r>
      <w:r>
        <w:rPr>
          <w:rFonts w:ascii="Calibri" w:cs="Calibri" w:eastAsia="Calibri" w:hAnsi="Calibri"/>
          <w:b w:val="false"/>
          <w:bCs w:val="false"/>
          <w:i w:val="false"/>
          <w:iCs w:val="false"/>
          <w:caps w:val="false"/>
          <w:color w:val="4A5568"/>
          <w:sz w:val="21"/>
          <w:szCs w:val="21"/>
        </w:rPr>
        <w:t xml:space="preserve">Active matters, historical deadlines, and document records are imported from your existing system. Clinentora supports common export formats from major docketing platforms across all practice areas.</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No re-keying —  </w:t>
      </w:r>
      <w:r>
        <w:rPr>
          <w:rFonts w:ascii="Calibri" w:cs="Calibri" w:eastAsia="Calibri" w:hAnsi="Calibri"/>
          <w:b w:val="false"/>
          <w:bCs w:val="false"/>
          <w:i w:val="false"/>
          <w:iCs w:val="false"/>
          <w:caps w:val="false"/>
          <w:color w:val="4A5568"/>
          <w:sz w:val="21"/>
          <w:szCs w:val="21"/>
        </w:rPr>
        <w:t xml:space="preserve">Your team should never have to manually re-enter a deadline that already exists somewhere else. We handle the migration, not you.</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Parallel run period —  </w:t>
      </w:r>
      <w:r>
        <w:rPr>
          <w:rFonts w:ascii="Calibri" w:cs="Calibri" w:eastAsia="Calibri" w:hAnsi="Calibri"/>
          <w:b w:val="false"/>
          <w:bCs w:val="false"/>
          <w:i w:val="false"/>
          <w:iCs w:val="false"/>
          <w:caps w:val="false"/>
          <w:color w:val="4A5568"/>
          <w:sz w:val="21"/>
          <w:szCs w:val="21"/>
        </w:rPr>
        <w:t xml:space="preserve">Your firm can run Clinentora alongside your current system during a transition window, so matters are never tracked in only one place during the changeover.</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Dedicated onboarding —  </w:t>
      </w:r>
      <w:r>
        <w:rPr>
          <w:rFonts w:ascii="Calibri" w:cs="Calibri" w:eastAsia="Calibri" w:hAnsi="Calibri"/>
          <w:b w:val="false"/>
          <w:bCs w:val="false"/>
          <w:i w:val="false"/>
          <w:iCs w:val="false"/>
          <w:caps w:val="false"/>
          <w:color w:val="4A5568"/>
          <w:sz w:val="21"/>
          <w:szCs w:val="21"/>
        </w:rPr>
        <w:t xml:space="preserve">A Clinentora specialist works with your docketing staff through setup, data validation, rule configuration for your specific practice areas, and go-live.</w:t>
      </w:r>
    </w:p>
    <w:p>
      <w:pPr>
        <w:pStyle w:val="ListParagraph"/>
        <w:numPr>
          <w:ilvl w:val="0"/>
          <w:numId w:val="3"/>
        </w:numPr>
        <w:spacing w:after="80" w:before="80" w:line="296"/>
      </w:pPr>
      <w:r>
        <w:rPr>
          <w:rFonts w:ascii="Calibri" w:cs="Calibri" w:eastAsia="Calibri" w:hAnsi="Calibri"/>
          <w:b/>
          <w:bCs/>
          <w:i w:val="false"/>
          <w:iCs w:val="false"/>
          <w:caps w:val="false"/>
          <w:color w:val="14213D"/>
          <w:sz w:val="21"/>
          <w:szCs w:val="21"/>
        </w:rPr>
        <w:t xml:space="preserve">Practice area configuration —  </w:t>
      </w:r>
      <w:r>
        <w:rPr>
          <w:rFonts w:ascii="Calibri" w:cs="Calibri" w:eastAsia="Calibri" w:hAnsi="Calibri"/>
          <w:b w:val="false"/>
          <w:bCs w:val="false"/>
          <w:i w:val="false"/>
          <w:iCs w:val="false"/>
          <w:caps w:val="false"/>
          <w:color w:val="4A5568"/>
          <w:sz w:val="21"/>
          <w:szCs w:val="21"/>
        </w:rPr>
        <w:t xml:space="preserve">The platform is configured for the specific practice areas your firm handles — not a generic setup that leaves gaps in your domain.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D8DCE3" w:sz="1"/>
              <w:left w:val="single" w:color="D8DCE3" w:sz="1"/>
              <w:bottom w:val="single" w:color="D8DCE3" w:sz="1"/>
              <w:right w:val="single" w:color="D8DCE3" w:sz="1"/>
            </w:tcBorders>
            <w:shd w:fill="14213D" w:val="clear"/>
            <w:tcMar>
              <w:top w:type="dxa" w:w="140"/>
              <w:left w:type="dxa" w:w="180"/>
              <w:bottom w:type="dxa" w:w="140"/>
              <w:right w:type="dxa" w:w="180"/>
            </w:tcMar>
            <w:vAlign w:val="top"/>
          </w:tcPr>
          <w:p>
            <w:pPr>
              <w:spacing w:after="0" w:before="0" w:line="280"/>
              <w:jc w:val="left"/>
            </w:pPr>
            <w:r>
              <w:rPr>
                <w:rFonts w:ascii="Calibri" w:cs="Calibri" w:eastAsia="Calibri" w:hAnsi="Calibri"/>
                <w:b/>
                <w:bCs/>
                <w:i w:val="false"/>
                <w:iCs w:val="false"/>
                <w:caps w:val="false"/>
                <w:color w:val="FFFFFF"/>
                <w:sz w:val="18"/>
                <w:szCs w:val="18"/>
              </w:rPr>
              <w:t xml:space="preserve"/>
            </w:r>
          </w:p>
        </w:tc>
        <w:tc>
          <w:tcPr>
            <w:tcW w:type="dxa" w:w="3100"/>
            <w:tcBorders>
              <w:top w:val="single" w:color="D8DCE3" w:sz="1"/>
              <w:left w:val="single" w:color="D8DCE3" w:sz="1"/>
              <w:bottom w:val="single" w:color="D8DCE3" w:sz="1"/>
              <w:right w:val="single" w:color="D8DCE3" w:sz="1"/>
            </w:tcBorders>
            <w:shd w:fill="14213D" w:val="clear"/>
            <w:tcMar>
              <w:top w:type="dxa" w:w="140"/>
              <w:left w:type="dxa" w:w="180"/>
              <w:bottom w:type="dxa" w:w="140"/>
              <w:right w:type="dxa" w:w="180"/>
            </w:tcMar>
            <w:vAlign w:val="top"/>
          </w:tcPr>
          <w:p>
            <w:pPr>
              <w:spacing w:after="0" w:before="0" w:line="280"/>
              <w:jc w:val="center"/>
            </w:pPr>
            <w:r>
              <w:rPr>
                <w:rFonts w:ascii="Calibri" w:cs="Calibri" w:eastAsia="Calibri" w:hAnsi="Calibri"/>
                <w:b/>
                <w:bCs/>
                <w:i w:val="false"/>
                <w:iCs w:val="false"/>
                <w:caps w:val="false"/>
                <w:color w:val="FFFFFF"/>
                <w:sz w:val="18"/>
                <w:szCs w:val="18"/>
              </w:rPr>
              <w:t xml:space="preserve">Legacy / Generic Systems</w:t>
            </w:r>
          </w:p>
        </w:tc>
        <w:tc>
          <w:tcPr>
            <w:tcW w:type="dxa" w:w="3360"/>
            <w:tcBorders>
              <w:top w:val="single" w:color="D8DCE3" w:sz="1"/>
              <w:left w:val="single" w:color="D8DCE3" w:sz="1"/>
              <w:bottom w:val="single" w:color="D8DCE3" w:sz="1"/>
              <w:right w:val="single" w:color="D8DCE3" w:sz="1"/>
            </w:tcBorders>
            <w:shd w:fill="14213D" w:val="clear"/>
            <w:tcMar>
              <w:top w:type="dxa" w:w="140"/>
              <w:left w:type="dxa" w:w="180"/>
              <w:bottom w:type="dxa" w:w="140"/>
              <w:right w:type="dxa" w:w="180"/>
            </w:tcMar>
            <w:vAlign w:val="top"/>
          </w:tcPr>
          <w:p>
            <w:pPr>
              <w:spacing w:after="0" w:before="0" w:line="280"/>
              <w:jc w:val="center"/>
            </w:pPr>
            <w:r>
              <w:rPr>
                <w:rFonts w:ascii="Calibri" w:cs="Calibri" w:eastAsia="Calibri" w:hAnsi="Calibri"/>
                <w:b/>
                <w:bCs/>
                <w:i w:val="false"/>
                <w:iCs w:val="false"/>
                <w:caps w:val="false"/>
                <w:color w:val="FFFFFF"/>
                <w:sz w:val="18"/>
                <w:szCs w:val="18"/>
              </w:rPr>
              <w:t xml:space="preserve">Clinentora</w:t>
            </w:r>
          </w:p>
        </w:tc>
      </w:tr>
      <w:tr>
        <w:tc>
          <w:tcPr>
            <w:tcW w:type="dxa" w:w="2900"/>
            <w:tcBorders>
              <w:top w:val="single" w:color="D8DCE3" w:sz="1"/>
              <w:left w:val="single" w:color="D8DCE3" w:sz="1"/>
              <w:bottom w:val="single" w:color="D8DCE3" w:sz="1"/>
              <w:right w:val="single" w:color="D8DCE3" w:sz="1"/>
            </w:tcBorders>
            <w:shd w:fill="F7F8FA" w:val="clear"/>
            <w:tcMar>
              <w:top w:type="dxa" w:w="140"/>
              <w:left w:type="dxa" w:w="180"/>
              <w:bottom w:type="dxa" w:w="140"/>
              <w:right w:type="dxa" w:w="180"/>
            </w:tcMar>
            <w:vAlign w:val="top"/>
          </w:tcPr>
          <w:p>
            <w:pPr>
              <w:spacing w:after="0" w:before="0" w:line="280"/>
              <w:jc w:val="left"/>
            </w:pPr>
            <w:r>
              <w:rPr>
                <w:rFonts w:ascii="Calibri" w:cs="Calibri" w:eastAsia="Calibri" w:hAnsi="Calibri"/>
                <w:b/>
                <w:bCs/>
                <w:i w:val="false"/>
                <w:iCs w:val="false"/>
                <w:caps w:val="false"/>
                <w:color w:val="14213D"/>
                <w:sz w:val="20"/>
                <w:szCs w:val="20"/>
              </w:rPr>
              <w:t xml:space="preserve">Practice area coverage</w:t>
            </w:r>
          </w:p>
        </w:tc>
        <w:tc>
          <w:tcPr>
            <w:tcW w:type="dxa" w:w="3100"/>
            <w:tcBorders>
              <w:top w:val="single" w:color="D8DCE3" w:sz="1"/>
              <w:left w:val="single" w:color="D8DCE3" w:sz="1"/>
              <w:bottom w:val="single" w:color="D8DCE3" w:sz="1"/>
              <w:right w:val="single" w:color="D8DCE3" w:sz="1"/>
            </w:tcBorders>
            <w:shd w:fill="FFF5F5"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B3261E"/>
                <w:sz w:val="20"/>
                <w:szCs w:val="20"/>
              </w:rPr>
              <w:t xml:space="preserve">One or two domains natively</w:t>
            </w:r>
          </w:p>
        </w:tc>
        <w:tc>
          <w:tcPr>
            <w:tcW w:type="dxa" w:w="3360"/>
            <w:tcBorders>
              <w:top w:val="single" w:color="D8DCE3" w:sz="1"/>
              <w:left w:val="single" w:color="D8DCE3" w:sz="1"/>
              <w:bottom w:val="single" w:color="D8DCE3" w:sz="1"/>
              <w:right w:val="single" w:color="D8DCE3" w:sz="1"/>
            </w:tcBorders>
            <w:shd w:fill="E0F2F1"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0E7C7B"/>
                <w:sz w:val="20"/>
                <w:szCs w:val="20"/>
              </w:rPr>
              <w:t xml:space="preserve">All major practice areas natively</w:t>
            </w:r>
          </w:p>
        </w:tc>
      </w:tr>
      <w:tr>
        <w:tc>
          <w:tcPr>
            <w:tcW w:type="dxa" w:w="2900"/>
            <w:tcBorders>
              <w:top w:val="single" w:color="D8DCE3" w:sz="1"/>
              <w:left w:val="single" w:color="D8DCE3" w:sz="1"/>
              <w:bottom w:val="single" w:color="D8DCE3" w:sz="1"/>
              <w:right w:val="single" w:color="D8DCE3" w:sz="1"/>
            </w:tcBorders>
            <w:shd w:fill="F7F8FA" w:val="clear"/>
            <w:tcMar>
              <w:top w:type="dxa" w:w="140"/>
              <w:left w:type="dxa" w:w="180"/>
              <w:bottom w:type="dxa" w:w="140"/>
              <w:right w:type="dxa" w:w="180"/>
            </w:tcMar>
            <w:vAlign w:val="top"/>
          </w:tcPr>
          <w:p>
            <w:pPr>
              <w:spacing w:after="0" w:before="0" w:line="280"/>
              <w:jc w:val="left"/>
            </w:pPr>
            <w:r>
              <w:rPr>
                <w:rFonts w:ascii="Calibri" w:cs="Calibri" w:eastAsia="Calibri" w:hAnsi="Calibri"/>
                <w:b/>
                <w:bCs/>
                <w:i w:val="false"/>
                <w:iCs w:val="false"/>
                <w:caps w:val="false"/>
                <w:color w:val="14213D"/>
                <w:sz w:val="20"/>
                <w:szCs w:val="20"/>
              </w:rPr>
              <w:t xml:space="preserve">Data entry</w:t>
            </w:r>
          </w:p>
        </w:tc>
        <w:tc>
          <w:tcPr>
            <w:tcW w:type="dxa" w:w="3100"/>
            <w:tcBorders>
              <w:top w:val="single" w:color="D8DCE3" w:sz="1"/>
              <w:left w:val="single" w:color="D8DCE3" w:sz="1"/>
              <w:bottom w:val="single" w:color="D8DCE3" w:sz="1"/>
              <w:right w:val="single" w:color="D8DCE3" w:sz="1"/>
            </w:tcBorders>
            <w:shd w:fill="FFF5F5"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B3261E"/>
                <w:sz w:val="20"/>
                <w:szCs w:val="20"/>
              </w:rPr>
              <w:t xml:space="preserve">Manual reading and typing still required</w:t>
            </w:r>
          </w:p>
        </w:tc>
        <w:tc>
          <w:tcPr>
            <w:tcW w:type="dxa" w:w="3360"/>
            <w:tcBorders>
              <w:top w:val="single" w:color="D8DCE3" w:sz="1"/>
              <w:left w:val="single" w:color="D8DCE3" w:sz="1"/>
              <w:bottom w:val="single" w:color="D8DCE3" w:sz="1"/>
              <w:right w:val="single" w:color="D8DCE3" w:sz="1"/>
            </w:tcBorders>
            <w:shd w:fill="E0F2F1"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0E7C7B"/>
                <w:sz w:val="20"/>
                <w:szCs w:val="20"/>
              </w:rPr>
              <w:t xml:space="preserve">Extracted automatically from documents</w:t>
            </w:r>
          </w:p>
        </w:tc>
      </w:tr>
      <w:tr>
        <w:tc>
          <w:tcPr>
            <w:tcW w:type="dxa" w:w="2900"/>
            <w:tcBorders>
              <w:top w:val="single" w:color="D8DCE3" w:sz="1"/>
              <w:left w:val="single" w:color="D8DCE3" w:sz="1"/>
              <w:bottom w:val="single" w:color="D8DCE3" w:sz="1"/>
              <w:right w:val="single" w:color="D8DCE3" w:sz="1"/>
            </w:tcBorders>
            <w:shd w:fill="F7F8FA" w:val="clear"/>
            <w:tcMar>
              <w:top w:type="dxa" w:w="140"/>
              <w:left w:type="dxa" w:w="180"/>
              <w:bottom w:type="dxa" w:w="140"/>
              <w:right w:type="dxa" w:w="180"/>
            </w:tcMar>
            <w:vAlign w:val="top"/>
          </w:tcPr>
          <w:p>
            <w:pPr>
              <w:spacing w:after="0" w:before="0" w:line="280"/>
              <w:jc w:val="left"/>
            </w:pPr>
            <w:r>
              <w:rPr>
                <w:rFonts w:ascii="Calibri" w:cs="Calibri" w:eastAsia="Calibri" w:hAnsi="Calibri"/>
                <w:b/>
                <w:bCs/>
                <w:i w:val="false"/>
                <w:iCs w:val="false"/>
                <w:caps w:val="false"/>
                <w:color w:val="14213D"/>
                <w:sz w:val="20"/>
                <w:szCs w:val="20"/>
              </w:rPr>
              <w:t xml:space="preserve">Rules maintenance</w:t>
            </w:r>
          </w:p>
        </w:tc>
        <w:tc>
          <w:tcPr>
            <w:tcW w:type="dxa" w:w="3100"/>
            <w:tcBorders>
              <w:top w:val="single" w:color="D8DCE3" w:sz="1"/>
              <w:left w:val="single" w:color="D8DCE3" w:sz="1"/>
              <w:bottom w:val="single" w:color="D8DCE3" w:sz="1"/>
              <w:right w:val="single" w:color="D8DCE3" w:sz="1"/>
            </w:tcBorders>
            <w:shd w:fill="FFF5F5"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B3261E"/>
                <w:sz w:val="20"/>
                <w:szCs w:val="20"/>
              </w:rPr>
              <w:t xml:space="preserve">Manual updates when rules change</w:t>
            </w:r>
          </w:p>
        </w:tc>
        <w:tc>
          <w:tcPr>
            <w:tcW w:type="dxa" w:w="3360"/>
            <w:tcBorders>
              <w:top w:val="single" w:color="D8DCE3" w:sz="1"/>
              <w:left w:val="single" w:color="D8DCE3" w:sz="1"/>
              <w:bottom w:val="single" w:color="D8DCE3" w:sz="1"/>
              <w:right w:val="single" w:color="D8DCE3" w:sz="1"/>
            </w:tcBorders>
            <w:shd w:fill="E0F2F1"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0E7C7B"/>
                <w:sz w:val="20"/>
                <w:szCs w:val="20"/>
              </w:rPr>
              <w:t xml:space="preserve">Maintained and updated continuously</w:t>
            </w:r>
          </w:p>
        </w:tc>
      </w:tr>
      <w:tr>
        <w:tc>
          <w:tcPr>
            <w:tcW w:type="dxa" w:w="2900"/>
            <w:tcBorders>
              <w:top w:val="single" w:color="D8DCE3" w:sz="1"/>
              <w:left w:val="single" w:color="D8DCE3" w:sz="1"/>
              <w:bottom w:val="single" w:color="D8DCE3" w:sz="1"/>
              <w:right w:val="single" w:color="D8DCE3" w:sz="1"/>
            </w:tcBorders>
            <w:shd w:fill="F7F8FA" w:val="clear"/>
            <w:tcMar>
              <w:top w:type="dxa" w:w="140"/>
              <w:left w:type="dxa" w:w="180"/>
              <w:bottom w:type="dxa" w:w="140"/>
              <w:right w:type="dxa" w:w="180"/>
            </w:tcMar>
            <w:vAlign w:val="top"/>
          </w:tcPr>
          <w:p>
            <w:pPr>
              <w:spacing w:after="0" w:before="0" w:line="280"/>
              <w:jc w:val="left"/>
            </w:pPr>
            <w:r>
              <w:rPr>
                <w:rFonts w:ascii="Calibri" w:cs="Calibri" w:eastAsia="Calibri" w:hAnsi="Calibri"/>
                <w:b/>
                <w:bCs/>
                <w:i w:val="false"/>
                <w:iCs w:val="false"/>
                <w:caps w:val="false"/>
                <w:color w:val="14213D"/>
                <w:sz w:val="20"/>
                <w:szCs w:val="20"/>
              </w:rPr>
              <w:t xml:space="preserve">Multi-practice firm support</w:t>
            </w:r>
          </w:p>
        </w:tc>
        <w:tc>
          <w:tcPr>
            <w:tcW w:type="dxa" w:w="3100"/>
            <w:tcBorders>
              <w:top w:val="single" w:color="D8DCE3" w:sz="1"/>
              <w:left w:val="single" w:color="D8DCE3" w:sz="1"/>
              <w:bottom w:val="single" w:color="D8DCE3" w:sz="1"/>
              <w:right w:val="single" w:color="D8DCE3" w:sz="1"/>
            </w:tcBorders>
            <w:shd w:fill="FFF5F5"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B3261E"/>
                <w:sz w:val="20"/>
                <w:szCs w:val="20"/>
              </w:rPr>
              <w:t xml:space="preserve">Workarounds required for other areas</w:t>
            </w:r>
          </w:p>
        </w:tc>
        <w:tc>
          <w:tcPr>
            <w:tcW w:type="dxa" w:w="3360"/>
            <w:tcBorders>
              <w:top w:val="single" w:color="D8DCE3" w:sz="1"/>
              <w:left w:val="single" w:color="D8DCE3" w:sz="1"/>
              <w:bottom w:val="single" w:color="D8DCE3" w:sz="1"/>
              <w:right w:val="single" w:color="D8DCE3" w:sz="1"/>
            </w:tcBorders>
            <w:shd w:fill="E0F2F1"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0E7C7B"/>
                <w:sz w:val="20"/>
                <w:szCs w:val="20"/>
              </w:rPr>
              <w:t xml:space="preserve">Native support for every practice area</w:t>
            </w:r>
          </w:p>
        </w:tc>
      </w:tr>
      <w:tr>
        <w:tc>
          <w:tcPr>
            <w:tcW w:type="dxa" w:w="2900"/>
            <w:tcBorders>
              <w:top w:val="single" w:color="D8DCE3" w:sz="1"/>
              <w:left w:val="single" w:color="D8DCE3" w:sz="1"/>
              <w:bottom w:val="single" w:color="D8DCE3" w:sz="1"/>
              <w:right w:val="single" w:color="D8DCE3" w:sz="1"/>
            </w:tcBorders>
            <w:shd w:fill="F7F8FA" w:val="clear"/>
            <w:tcMar>
              <w:top w:type="dxa" w:w="140"/>
              <w:left w:type="dxa" w:w="180"/>
              <w:bottom w:type="dxa" w:w="140"/>
              <w:right w:type="dxa" w:w="180"/>
            </w:tcMar>
            <w:vAlign w:val="top"/>
          </w:tcPr>
          <w:p>
            <w:pPr>
              <w:spacing w:after="0" w:before="0" w:line="280"/>
              <w:jc w:val="left"/>
            </w:pPr>
            <w:r>
              <w:rPr>
                <w:rFonts w:ascii="Calibri" w:cs="Calibri" w:eastAsia="Calibri" w:hAnsi="Calibri"/>
                <w:b/>
                <w:bCs/>
                <w:i w:val="false"/>
                <w:iCs w:val="false"/>
                <w:caps w:val="false"/>
                <w:color w:val="14213D"/>
                <w:sz w:val="20"/>
                <w:szCs w:val="20"/>
              </w:rPr>
              <w:t xml:space="preserve">Interface</w:t>
            </w:r>
          </w:p>
        </w:tc>
        <w:tc>
          <w:tcPr>
            <w:tcW w:type="dxa" w:w="3100"/>
            <w:tcBorders>
              <w:top w:val="single" w:color="D8DCE3" w:sz="1"/>
              <w:left w:val="single" w:color="D8DCE3" w:sz="1"/>
              <w:bottom w:val="single" w:color="D8DCE3" w:sz="1"/>
              <w:right w:val="single" w:color="D8DCE3" w:sz="1"/>
            </w:tcBorders>
            <w:shd w:fill="FFF5F5"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B3261E"/>
                <w:sz w:val="20"/>
                <w:szCs w:val="20"/>
              </w:rPr>
              <w:t xml:space="preserve">Dated, often desktop-only</w:t>
            </w:r>
          </w:p>
        </w:tc>
        <w:tc>
          <w:tcPr>
            <w:tcW w:type="dxa" w:w="3360"/>
            <w:tcBorders>
              <w:top w:val="single" w:color="D8DCE3" w:sz="1"/>
              <w:left w:val="single" w:color="D8DCE3" w:sz="1"/>
              <w:bottom w:val="single" w:color="D8DCE3" w:sz="1"/>
              <w:right w:val="single" w:color="D8DCE3" w:sz="1"/>
            </w:tcBorders>
            <w:shd w:fill="E0F2F1"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0E7C7B"/>
                <w:sz w:val="20"/>
                <w:szCs w:val="20"/>
              </w:rPr>
              <w:t xml:space="preserve">Cloud-native, accessible from any device</w:t>
            </w:r>
          </w:p>
        </w:tc>
      </w:tr>
      <w:tr>
        <w:tc>
          <w:tcPr>
            <w:tcW w:type="dxa" w:w="2900"/>
            <w:tcBorders>
              <w:top w:val="single" w:color="D8DCE3" w:sz="1"/>
              <w:left w:val="single" w:color="D8DCE3" w:sz="1"/>
              <w:bottom w:val="single" w:color="D8DCE3" w:sz="1"/>
              <w:right w:val="single" w:color="D8DCE3" w:sz="1"/>
            </w:tcBorders>
            <w:shd w:fill="F7F8FA" w:val="clear"/>
            <w:tcMar>
              <w:top w:type="dxa" w:w="140"/>
              <w:left w:type="dxa" w:w="180"/>
              <w:bottom w:type="dxa" w:w="140"/>
              <w:right w:type="dxa" w:w="180"/>
            </w:tcMar>
            <w:vAlign w:val="top"/>
          </w:tcPr>
          <w:p>
            <w:pPr>
              <w:spacing w:after="0" w:before="0" w:line="280"/>
              <w:jc w:val="left"/>
            </w:pPr>
            <w:r>
              <w:rPr>
                <w:rFonts w:ascii="Calibri" w:cs="Calibri" w:eastAsia="Calibri" w:hAnsi="Calibri"/>
                <w:b/>
                <w:bCs/>
                <w:i w:val="false"/>
                <w:iCs w:val="false"/>
                <w:caps w:val="false"/>
                <w:color w:val="14213D"/>
                <w:sz w:val="20"/>
                <w:szCs w:val="20"/>
              </w:rPr>
              <w:t xml:space="preserve">Document intake</w:t>
            </w:r>
          </w:p>
        </w:tc>
        <w:tc>
          <w:tcPr>
            <w:tcW w:type="dxa" w:w="3100"/>
            <w:tcBorders>
              <w:top w:val="single" w:color="D8DCE3" w:sz="1"/>
              <w:left w:val="single" w:color="D8DCE3" w:sz="1"/>
              <w:bottom w:val="single" w:color="D8DCE3" w:sz="1"/>
              <w:right w:val="single" w:color="D8DCE3" w:sz="1"/>
            </w:tcBorders>
            <w:shd w:fill="FFF5F5"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B3261E"/>
                <w:sz w:val="20"/>
                <w:szCs w:val="20"/>
              </w:rPr>
              <w:t xml:space="preserve">Upload then enter manually</w:t>
            </w:r>
          </w:p>
        </w:tc>
        <w:tc>
          <w:tcPr>
            <w:tcW w:type="dxa" w:w="3360"/>
            <w:tcBorders>
              <w:top w:val="single" w:color="D8DCE3" w:sz="1"/>
              <w:left w:val="single" w:color="D8DCE3" w:sz="1"/>
              <w:bottom w:val="single" w:color="D8DCE3" w:sz="1"/>
              <w:right w:val="single" w:color="D8DCE3" w:sz="1"/>
            </w:tcBorders>
            <w:shd w:fill="E0F2F1"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0E7C7B"/>
                <w:sz w:val="20"/>
                <w:szCs w:val="20"/>
              </w:rPr>
              <w:t xml:space="preserve">Read and pre-populated on receipt</w:t>
            </w:r>
          </w:p>
        </w:tc>
      </w:tr>
      <w:tr>
        <w:tc>
          <w:tcPr>
            <w:tcW w:type="dxa" w:w="2900"/>
            <w:tcBorders>
              <w:top w:val="single" w:color="D8DCE3" w:sz="1"/>
              <w:left w:val="single" w:color="D8DCE3" w:sz="1"/>
              <w:bottom w:val="single" w:color="D8DCE3" w:sz="1"/>
              <w:right w:val="single" w:color="D8DCE3" w:sz="1"/>
            </w:tcBorders>
            <w:shd w:fill="F7F8FA" w:val="clear"/>
            <w:tcMar>
              <w:top w:type="dxa" w:w="140"/>
              <w:left w:type="dxa" w:w="180"/>
              <w:bottom w:type="dxa" w:w="140"/>
              <w:right w:type="dxa" w:w="180"/>
            </w:tcMar>
            <w:vAlign w:val="top"/>
          </w:tcPr>
          <w:p>
            <w:pPr>
              <w:spacing w:after="0" w:before="0" w:line="280"/>
              <w:jc w:val="left"/>
            </w:pPr>
            <w:r>
              <w:rPr>
                <w:rFonts w:ascii="Calibri" w:cs="Calibri" w:eastAsia="Calibri" w:hAnsi="Calibri"/>
                <w:b/>
                <w:bCs/>
                <w:i w:val="false"/>
                <w:iCs w:val="false"/>
                <w:caps w:val="false"/>
                <w:color w:val="14213D"/>
                <w:sz w:val="20"/>
                <w:szCs w:val="20"/>
              </w:rPr>
              <w:t xml:space="preserve">Support</w:t>
            </w:r>
          </w:p>
        </w:tc>
        <w:tc>
          <w:tcPr>
            <w:tcW w:type="dxa" w:w="3100"/>
            <w:tcBorders>
              <w:top w:val="single" w:color="D8DCE3" w:sz="1"/>
              <w:left w:val="single" w:color="D8DCE3" w:sz="1"/>
              <w:bottom w:val="single" w:color="D8DCE3" w:sz="1"/>
              <w:right w:val="single" w:color="D8DCE3" w:sz="1"/>
            </w:tcBorders>
            <w:shd w:fill="FFF5F5"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B3261E"/>
                <w:sz w:val="20"/>
                <w:szCs w:val="20"/>
              </w:rPr>
              <w:t xml:space="preserve">Ticket queues, slow response</w:t>
            </w:r>
          </w:p>
        </w:tc>
        <w:tc>
          <w:tcPr>
            <w:tcW w:type="dxa" w:w="3360"/>
            <w:tcBorders>
              <w:top w:val="single" w:color="D8DCE3" w:sz="1"/>
              <w:left w:val="single" w:color="D8DCE3" w:sz="1"/>
              <w:bottom w:val="single" w:color="D8DCE3" w:sz="1"/>
              <w:right w:val="single" w:color="D8DCE3" w:sz="1"/>
            </w:tcBorders>
            <w:shd w:fill="E0F2F1" w:val="clear"/>
            <w:tcMar>
              <w:top w:type="dxa" w:w="140"/>
              <w:left w:type="dxa" w:w="180"/>
              <w:bottom w:type="dxa" w:w="140"/>
              <w:right w:type="dxa" w:w="180"/>
            </w:tcMar>
            <w:vAlign w:val="top"/>
          </w:tcPr>
          <w:p>
            <w:pPr>
              <w:spacing w:after="0" w:before="0" w:line="280"/>
              <w:jc w:val="center"/>
            </w:pPr>
            <w:r>
              <w:rPr>
                <w:rFonts w:ascii="Calibri" w:cs="Calibri" w:eastAsia="Calibri" w:hAnsi="Calibri"/>
                <w:b w:val="false"/>
                <w:bCs w:val="false"/>
                <w:i w:val="false"/>
                <w:iCs w:val="false"/>
                <w:caps w:val="false"/>
                <w:color w:val="0E7C7B"/>
                <w:sz w:val="20"/>
                <w:szCs w:val="20"/>
              </w:rPr>
              <w:t xml:space="preserve">Dedicated onboarding and responsive support</w:t>
            </w:r>
          </w:p>
        </w:tc>
      </w:tr>
    </w:tbl>
    <w:p>
      <w:pPr>
        <w:spacing w:after="0" w:before="0"/>
      </w:pPr>
      <w:r>
        <w:br w:type="page"/>
      </w:r>
    </w:p>
    <w:p>
      <w:pPr>
        <w:shd w:fill="A07840" w:val="clear"/>
        <w:spacing w:after="60" w:before="0"/>
        <w:ind w:left="200"/>
      </w:pPr>
      <w:r>
        <w:rPr>
          <w:rFonts w:ascii="Calibri" w:cs="Calibri" w:eastAsia="Calibri" w:hAnsi="Calibri"/>
          <w:b/>
          <w:bCs/>
          <w:i w:val="false"/>
          <w:iCs w:val="false"/>
          <w:caps w:val="false"/>
          <w:color w:val="FFFFFF"/>
          <w:sz w:val="36"/>
          <w:szCs w:val="36"/>
        </w:rPr>
        <w:t xml:space="preserve">Our Partners</w:t>
      </w:r>
    </w:p>
    <w:p>
      <w:pPr>
        <w:shd w:fill="A07840" w:val="clear"/>
        <w:spacing w:after="0" w:before="0"/>
        <w:ind w:left="200"/>
      </w:pPr>
      <w:r>
        <w:rPr>
          <w:rFonts w:ascii="Calibri" w:cs="Calibri" w:eastAsia="Calibri" w:hAnsi="Calibri"/>
          <w:b w:val="false"/>
          <w:bCs w:val="false"/>
          <w:i/>
          <w:iCs/>
          <w:caps w:val="false"/>
          <w:color w:val="FFFFFF"/>
          <w:sz w:val="21"/>
          <w:szCs w:val="21"/>
        </w:rPr>
        <w:t xml:space="preserve">The team behind Clinentora</w:t>
      </w:r>
    </w:p>
    <w:p>
      <w:pPr>
        <w:shd w:fill="A07840" w:val="clear"/>
        <w:spacing w:after="0" w:before="0"/>
      </w:pPr>
      <w:r>
        <w:rPr>
          <w:rFonts w:ascii="Calibri" w:cs="Calibri" w:eastAsia="Calibri" w:hAnsi="Calibri"/>
          <w:b w:val="false"/>
          <w:bCs w:val="false"/>
          <w:i w:val="false"/>
          <w:iCs w:val="false"/>
          <w:caps w:val="false"/>
          <w:color w:val="1A1A1A"/>
          <w:sz w:val="10"/>
          <w:szCs w:val="10"/>
        </w:rPr>
        <w:t xml:space="preserve"> </w:t>
      </w:r>
    </w:p>
    <w:p>
      <w:pPr>
        <w:spacing w:after="80" w:before="60" w:line="296"/>
        <w:jc w:val="left"/>
      </w:pPr>
      <w:r>
        <w:rPr>
          <w:rFonts w:ascii="Calibri" w:cs="Calibri" w:eastAsia="Calibri" w:hAnsi="Calibri"/>
          <w:b w:val="false"/>
          <w:bCs w:val="false"/>
          <w:i w:val="false"/>
          <w:iCs w:val="false"/>
          <w:caps w:val="false"/>
          <w:color w:val="4A5568"/>
          <w:sz w:val="21"/>
          <w:szCs w:val="21"/>
        </w:rPr>
        <w:t xml:space="preserve">Clinentora is led by a founding team that built the platform after speaking directly with attorneys, docketing specialists, and paralegals across multiple practice areas about where existing tools consistently fell short.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CE3" w:sz="1"/>
              <w:left w:val="single" w:color="D8DCE3" w:sz="1"/>
              <w:bottom w:val="single" w:color="D8DCE3" w:sz="1"/>
              <w:right w:val="single" w:color="D8DCE3" w:sz="1"/>
            </w:tcBorders>
            <w:shd w:fill="F7F8FA" w:val="clear"/>
            <w:tcMar>
              <w:top w:type="dxa" w:w="240"/>
              <w:left w:type="dxa" w:w="240"/>
              <w:bottom w:type="dxa" w:w="240"/>
              <w:right w:type="dxa" w:w="240"/>
            </w:tcMar>
            <w:vAlign w:val="top"/>
          </w:tcPr>
          <w:p>
            <w:pPr>
              <w:spacing w:after="40" w:before="0"/>
            </w:pPr>
            <w:r>
              <w:rPr>
                <w:rFonts w:ascii="Calibri" w:cs="Calibri" w:eastAsia="Calibri" w:hAnsi="Calibri"/>
                <w:b/>
                <w:bCs/>
                <w:i w:val="false"/>
                <w:iCs w:val="false"/>
                <w:caps w:val="false"/>
                <w:color w:val="0E7C7B"/>
                <w:sz w:val="17"/>
                <w:szCs w:val="17"/>
              </w:rPr>
              <w:t xml:space="preserve">CO-FOUNDER &amp; CHIEF EXECUTIVE OFFICER</w:t>
            </w:r>
          </w:p>
          <w:p>
            <w:pPr>
              <w:spacing w:after="80" w:before="0"/>
            </w:pPr>
            <w:r>
              <w:rPr>
                <w:rFonts w:ascii="Calibri" w:cs="Calibri" w:eastAsia="Calibri" w:hAnsi="Calibri"/>
                <w:b/>
                <w:bCs/>
                <w:i w:val="false"/>
                <w:iCs w:val="false"/>
                <w:caps w:val="false"/>
                <w:color w:val="14213D"/>
                <w:sz w:val="26"/>
                <w:szCs w:val="26"/>
              </w:rPr>
              <w:t xml:space="preserve">Sukhmanjeet Singh</w:t>
            </w:r>
          </w:p>
          <w:p>
            <w:pPr>
              <w:spacing w:after="40" w:before="0"/>
            </w:pPr>
            <w:r>
              <w:rPr>
                <w:rFonts w:ascii="Calibri" w:cs="Calibri" w:eastAsia="Calibri" w:hAnsi="Calibri"/>
                <w:b w:val="false"/>
                <w:bCs w:val="false"/>
                <w:i w:val="false"/>
                <w:iCs w:val="false"/>
                <w:caps w:val="false"/>
                <w:color w:val="718096"/>
                <w:sz w:val="19"/>
                <w:szCs w:val="19"/>
              </w:rPr>
              <w:t xml:space="preserve">sukhman@clinentora.com  ·  </w:t>
            </w:r>
            <w:r>
              <w:rPr>
                <w:rFonts w:ascii="Calibri" w:cs="Calibri" w:eastAsia="Calibri" w:hAnsi="Calibri"/>
                <w:b w:val="false"/>
                <w:bCs w:val="false"/>
                <w:i w:val="false"/>
                <w:iCs w:val="false"/>
                <w:caps w:val="false"/>
                <w:color w:val="0E7C7B"/>
                <w:sz w:val="19"/>
                <w:szCs w:val="19"/>
              </w:rPr>
              <w:t xml:space="preserve">linkedin.com/in/sukhmanjeet-singh-642a63258</w:t>
            </w:r>
          </w:p>
          <w:p>
            <w:pPr>
              <w:spacing w:after="0" w:before="60" w:line="300"/>
            </w:pPr>
            <w:r>
              <w:rPr>
                <w:rFonts w:ascii="Calibri" w:cs="Calibri" w:eastAsia="Calibri" w:hAnsi="Calibri"/>
                <w:b w:val="false"/>
                <w:bCs w:val="false"/>
                <w:i w:val="false"/>
                <w:iCs w:val="false"/>
                <w:caps w:val="false"/>
                <w:color w:val="4A5568"/>
                <w:sz w:val="20"/>
                <w:szCs w:val="20"/>
              </w:rPr>
              <w:t xml:space="preserve">Leads Clinentora's product vision and firm relationships. Responsible for strategy, partnerships, and ensuring the platform solves the real operational problems of legal practice — not the theoretical ones. Sukhmanjeet's approach to product design is grounded in direct conversation with the attorneys and docketing professionals who use these tools every day.</w:t>
            </w:r>
          </w:p>
        </w:tc>
      </w:tr>
      <w:tr>
        <w:tc>
          <w:tcPr>
            <w:tcBorders>
              <w:top w:val="single" w:color="D8DCE3" w:sz="1"/>
              <w:left w:val="single" w:color="D8DCE3" w:sz="1"/>
              <w:bottom w:val="single" w:color="D8DCE3" w:sz="1"/>
              <w:right w:val="single" w:color="D8DCE3" w:sz="1"/>
            </w:tcBorders>
            <w:shd w:fill="FFFFFF" w:val="clear"/>
            <w:tcMar>
              <w:top w:type="dxa" w:w="240"/>
              <w:left w:type="dxa" w:w="240"/>
              <w:bottom w:type="dxa" w:w="240"/>
              <w:right w:type="dxa" w:w="240"/>
            </w:tcMar>
            <w:vAlign w:val="top"/>
          </w:tcPr>
          <w:p>
            <w:pPr>
              <w:spacing w:after="40" w:before="0"/>
            </w:pPr>
            <w:r>
              <w:rPr>
                <w:rFonts w:ascii="Calibri" w:cs="Calibri" w:eastAsia="Calibri" w:hAnsi="Calibri"/>
                <w:b/>
                <w:bCs/>
                <w:i w:val="false"/>
                <w:iCs w:val="false"/>
                <w:caps w:val="false"/>
                <w:color w:val="0E7C7B"/>
                <w:sz w:val="17"/>
                <w:szCs w:val="17"/>
              </w:rPr>
              <w:t xml:space="preserve">CO-FOUNDER &amp; CHIEF TECHNOLOGY OFFICER</w:t>
            </w:r>
          </w:p>
          <w:p>
            <w:pPr>
              <w:spacing w:after="80" w:before="0"/>
            </w:pPr>
            <w:r>
              <w:rPr>
                <w:rFonts w:ascii="Calibri" w:cs="Calibri" w:eastAsia="Calibri" w:hAnsi="Calibri"/>
                <w:b/>
                <w:bCs/>
                <w:i w:val="false"/>
                <w:iCs w:val="false"/>
                <w:caps w:val="false"/>
                <w:color w:val="14213D"/>
                <w:sz w:val="26"/>
                <w:szCs w:val="26"/>
              </w:rPr>
              <w:t xml:space="preserve">Tamal Krishna Chhabra</w:t>
            </w:r>
          </w:p>
          <w:p>
            <w:pPr>
              <w:spacing w:after="40" w:before="0"/>
            </w:pPr>
            <w:r>
              <w:rPr>
                <w:rFonts w:ascii="Calibri" w:cs="Calibri" w:eastAsia="Calibri" w:hAnsi="Calibri"/>
                <w:b w:val="false"/>
                <w:bCs w:val="false"/>
                <w:i w:val="false"/>
                <w:iCs w:val="false"/>
                <w:caps w:val="false"/>
                <w:color w:val="718096"/>
                <w:sz w:val="19"/>
                <w:szCs w:val="19"/>
              </w:rPr>
              <w:t xml:space="preserve">tamal@clinentora.com  ·  </w:t>
            </w:r>
            <w:r>
              <w:rPr>
                <w:rFonts w:ascii="Calibri" w:cs="Calibri" w:eastAsia="Calibri" w:hAnsi="Calibri"/>
                <w:b w:val="false"/>
                <w:bCs w:val="false"/>
                <w:i w:val="false"/>
                <w:iCs w:val="false"/>
                <w:caps w:val="false"/>
                <w:color w:val="0E7C7B"/>
                <w:sz w:val="19"/>
                <w:szCs w:val="19"/>
              </w:rPr>
              <w:t xml:space="preserve">linkedin.com/in/tamalkrish</w:t>
            </w:r>
          </w:p>
          <w:p>
            <w:pPr>
              <w:spacing w:after="0" w:before="60" w:line="300"/>
            </w:pPr>
            <w:r>
              <w:rPr>
                <w:rFonts w:ascii="Calibri" w:cs="Calibri" w:eastAsia="Calibri" w:hAnsi="Calibri"/>
                <w:b w:val="false"/>
                <w:bCs w:val="false"/>
                <w:i w:val="false"/>
                <w:iCs w:val="false"/>
                <w:caps w:val="false"/>
                <w:color w:val="4A5568"/>
                <w:sz w:val="20"/>
                <w:szCs w:val="20"/>
              </w:rPr>
              <w:t xml:space="preserve">Leads the architecture and engineering behind Clinentora's document intelligence engine, multi-domain rules system, and security infrastructure. Tamal's focus is on making automation reliable enough that firms can trust it with their most consequential work — across every practice area and every jurisdiction.</w:t>
            </w:r>
          </w:p>
        </w:tc>
      </w:tr>
    </w:tbl>
    <w:p>
      <w:pPr>
        <w:spacing w:after="0" w:before="0"/>
      </w:pPr>
    </w:p>
    <w:p>
      <w:pPr>
        <w:pStyle w:val="Heading2"/>
        <w:spacing w:after="120" w:before="280"/>
      </w:pPr>
      <w:r>
        <w:rPr>
          <w:rFonts w:ascii="Calibri" w:cs="Calibri" w:eastAsia="Calibri" w:hAnsi="Calibri"/>
          <w:b/>
          <w:bCs/>
          <w:i w:val="false"/>
          <w:iCs w:val="false"/>
          <w:caps w:val="false"/>
          <w:color w:val="14213D"/>
          <w:sz w:val="26"/>
          <w:szCs w:val="26"/>
        </w:rPr>
        <w:t xml:space="preserve">Advisory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CE3" w:sz="1"/>
              <w:left w:val="single" w:color="D8DCE3" w:sz="1"/>
              <w:bottom w:val="single" w:color="D8DCE3" w:sz="1"/>
              <w:right w:val="single" w:color="D8DCE3" w:sz="1"/>
            </w:tcBorders>
            <w:shd w:fill="F9F3EA" w:val="clear"/>
            <w:tcMar>
              <w:top w:type="dxa" w:w="240"/>
              <w:left w:type="dxa" w:w="240"/>
              <w:bottom w:type="dxa" w:w="240"/>
              <w:right w:type="dxa" w:w="240"/>
            </w:tcMar>
            <w:vAlign w:val="top"/>
          </w:tcPr>
          <w:p>
            <w:pPr>
              <w:spacing w:after="40" w:before="0"/>
            </w:pPr>
            <w:r>
              <w:rPr>
                <w:rFonts w:ascii="Calibri" w:cs="Calibri" w:eastAsia="Calibri" w:hAnsi="Calibri"/>
                <w:b/>
                <w:bCs/>
                <w:i w:val="false"/>
                <w:iCs w:val="false"/>
                <w:caps w:val="false"/>
                <w:color w:val="A07840"/>
                <w:sz w:val="17"/>
                <w:szCs w:val="17"/>
              </w:rPr>
              <w:t xml:space="preserve">IP DOCKETING ADVISOR</w:t>
            </w:r>
          </w:p>
          <w:p>
            <w:pPr>
              <w:spacing w:after="80" w:before="0"/>
            </w:pPr>
            <w:r>
              <w:rPr>
                <w:rFonts w:ascii="Calibri" w:cs="Calibri" w:eastAsia="Calibri" w:hAnsi="Calibri"/>
                <w:b/>
                <w:bCs/>
                <w:i w:val="false"/>
                <w:iCs w:val="false"/>
                <w:caps w:val="false"/>
                <w:color w:val="14213D"/>
                <w:sz w:val="24"/>
                <w:szCs w:val="24"/>
              </w:rPr>
              <w:t xml:space="preserve">Karol Wilder</w:t>
            </w:r>
          </w:p>
          <w:p>
            <w:pPr>
              <w:spacing w:after="40" w:before="0"/>
            </w:pPr>
            <w:r>
              <w:rPr>
                <w:rFonts w:ascii="Calibri" w:cs="Calibri" w:eastAsia="Calibri" w:hAnsi="Calibri"/>
                <w:b w:val="false"/>
                <w:bCs w:val="false"/>
                <w:i w:val="false"/>
                <w:iCs w:val="false"/>
                <w:caps w:val="false"/>
                <w:color w:val="0E7C7B"/>
                <w:sz w:val="19"/>
                <w:szCs w:val="19"/>
              </w:rPr>
              <w:t xml:space="preserve">linkedin.com/in/karol-wilder-b521ab10</w:t>
            </w:r>
          </w:p>
          <w:p>
            <w:pPr>
              <w:spacing w:after="0" w:before="60" w:line="300"/>
            </w:pPr>
            <w:r>
              <w:rPr>
                <w:rFonts w:ascii="Calibri" w:cs="Calibri" w:eastAsia="Calibri" w:hAnsi="Calibri"/>
                <w:b w:val="false"/>
                <w:bCs w:val="false"/>
                <w:i w:val="false"/>
                <w:iCs w:val="false"/>
                <w:caps w:val="false"/>
                <w:color w:val="4A5568"/>
                <w:sz w:val="20"/>
                <w:szCs w:val="20"/>
              </w:rPr>
              <w:t xml:space="preserve">35+ years of IP docketing and paralegal experience across major pharmaceutical and life sciences companies, including Eli Lilly, Bayer Crop Science, MilliporeSigma, and Pfizer. Has managed global IP portfolios of 1,500+ matters with consistent 99.9%+ deadline compliance. Deep practitioner knowledge of what docketing systems must — and currently fail to — deliver.</w:t>
            </w:r>
          </w:p>
        </w:tc>
      </w:tr>
    </w:tbl>
    <w:p>
      <w:pPr>
        <w:pBdr>
          <w:left w:val="single" w:color="0E7C7B" w:sz="28" w:space="8"/>
        </w:pBdr>
        <w:spacing w:after="60" w:before="160" w:line="340"/>
        <w:ind w:left="400" w:right="400"/>
      </w:pPr>
      <w:r>
        <w:rPr>
          <w:rFonts w:ascii="Calibri" w:cs="Calibri" w:eastAsia="Calibri" w:hAnsi="Calibri"/>
          <w:b w:val="false"/>
          <w:bCs w:val="false"/>
          <w:i/>
          <w:iCs/>
          <w:caps w:val="false"/>
          <w:color w:val="14213D"/>
          <w:sz w:val="25"/>
          <w:szCs w:val="25"/>
        </w:rPr>
        <w:t xml:space="preserve">“We built Clinentora because we kept hearing the same thing from attorneys across every kind of practice: the tools they had were either too narrow, or still required too much manual work. We built the platform we wished existed.”</w:t>
      </w:r>
    </w:p>
    <w:p>
      <w:pPr>
        <w:spacing w:after="180" w:before="0"/>
        <w:ind w:left="400"/>
      </w:pPr>
      <w:r>
        <w:rPr>
          <w:rFonts w:ascii="Calibri" w:cs="Calibri" w:eastAsia="Calibri" w:hAnsi="Calibri"/>
          <w:b w:val="false"/>
          <w:bCs w:val="false"/>
          <w:i w:val="false"/>
          <w:iCs w:val="false"/>
          <w:caps w:val="false"/>
          <w:color w:val="718096"/>
          <w:sz w:val="19"/>
          <w:szCs w:val="19"/>
        </w:rPr>
        <w:t xml:space="preserve">— Clinentora Co-Founders</w:t>
      </w:r>
    </w:p>
    <w:p>
      <w:pPr>
        <w:spacing w:after="0" w:before="0"/>
      </w:pPr>
      <w:r>
        <w:br w:type="page"/>
      </w:r>
    </w:p>
    <w:p>
      <w:pPr>
        <w:spacing w:after="0" w:before="0"/>
      </w:pPr>
    </w:p>
    <w:p>
      <w:pPr>
        <w:spacing w:after="0" w:before="0"/>
      </w:pPr>
    </w:p>
    <w:p>
      <w:pPr>
        <w:spacing w:after="160" w:before="0"/>
        <w:jc w:val="center"/>
      </w:pPr>
      <w:r>
        <w:rPr>
          <w:rFonts w:ascii="Calibri" w:cs="Calibri" w:eastAsia="Calibri" w:hAnsi="Calibri"/>
          <w:b/>
          <w:bCs/>
          <w:i w:val="false"/>
          <w:iCs w:val="false"/>
          <w:caps w:val="false"/>
          <w:color w:val="14213D"/>
          <w:sz w:val="28"/>
          <w:szCs w:val="28"/>
        </w:rPr>
        <w:t xml:space="preserve">Every practice area. One platform. Zero missed deadlines.</w:t>
      </w:r>
    </w:p>
    <w:p>
      <w:pPr>
        <w:spacing w:after="400" w:before="0"/>
        <w:ind w:left="1000" w:right="1000"/>
        <w:jc w:val="center"/>
      </w:pPr>
      <w:r>
        <w:rPr>
          <w:rFonts w:ascii="Calibri" w:cs="Calibri" w:eastAsia="Calibri" w:hAnsi="Calibri"/>
          <w:b w:val="false"/>
          <w:bCs w:val="false"/>
          <w:i w:val="false"/>
          <w:iCs w:val="false"/>
          <w:caps w:val="false"/>
          <w:color w:val="4A5568"/>
          <w:sz w:val="22"/>
          <w:szCs w:val="22"/>
        </w:rPr>
        <w:t xml:space="preserve">Whether your firm handles one practice area or ten, we'd welcome the chance to show you Clinentora working with the kinds of documents your team receives every day.</w:t>
      </w:r>
    </w:p>
    <w:p>
      <w:pPr>
        <w:pBdr>
          <w:bottom w:val="single" w:color="0E7C7B" w:sz="4" w:space="1"/>
        </w:pBdr>
        <w:spacing w:after="360" w:before="0"/>
        <w:ind w:left="3000" w:right="3000"/>
      </w:pPr>
    </w:p>
    <w:p>
      <w:pPr>
        <w:spacing w:after="60" w:before="0"/>
        <w:jc w:val="center"/>
      </w:pPr>
      <w:r>
        <w:rPr>
          <w:rFonts w:ascii="Calibri" w:cs="Calibri" w:eastAsia="Calibri" w:hAnsi="Calibri"/>
          <w:b/>
          <w:bCs/>
          <w:i w:val="false"/>
          <w:iCs w:val="false"/>
          <w:caps w:val="false"/>
          <w:color w:val="0E7C7B"/>
          <w:sz w:val="24"/>
          <w:szCs w:val="24"/>
        </w:rPr>
        <w:t xml:space="preserve">hello@clinentora.com</w:t>
      </w:r>
    </w:p>
    <w:p>
      <w:pPr>
        <w:spacing w:after="0" w:before="0"/>
        <w:jc w:val="center"/>
      </w:pPr>
      <w:r>
        <w:rPr>
          <w:rFonts w:ascii="Calibri" w:cs="Calibri" w:eastAsia="Calibri" w:hAnsi="Calibri"/>
          <w:b w:val="false"/>
          <w:bCs w:val="false"/>
          <w:i w:val="false"/>
          <w:iCs w:val="false"/>
          <w:caps w:val="false"/>
          <w:color w:val="4A5568"/>
          <w:sz w:val="21"/>
          <w:szCs w:val="21"/>
        </w:rPr>
        <w:t xml:space="preserve">clinentora.com</w:t>
      </w:r>
    </w:p>
    <w:p>
      <w:pPr>
        <w:spacing w:after="0" w:before="0"/>
      </w:pPr>
    </w:p>
    <w:p>
      <w:pPr>
        <w:spacing w:after="0" w:before="0"/>
      </w:pPr>
    </w:p>
    <w:p>
      <w:pPr>
        <w:spacing w:after="0" w:before="0"/>
      </w:pPr>
    </w:p>
    <w:p>
      <w:pPr>
        <w:spacing w:after="40" w:before="0"/>
        <w:jc w:val="center"/>
      </w:pPr>
      <w:r>
        <w:rPr>
          <w:rFonts w:ascii="Calibri" w:cs="Calibri" w:eastAsia="Calibri" w:hAnsi="Calibri"/>
          <w:b/>
          <w:bCs/>
          <w:i w:val="false"/>
          <w:iCs w:val="false"/>
          <w:caps w:val="false"/>
          <w:color w:val="14213D"/>
          <w:spacing w:val="20"/>
          <w:sz w:val="26"/>
          <w:szCs w:val="26"/>
        </w:rPr>
        <w:t xml:space="preserve">CLINENTORA</w:t>
      </w:r>
    </w:p>
    <w:p>
      <w:pPr>
        <w:spacing w:after="0" w:before="0"/>
        <w:jc w:val="center"/>
      </w:pPr>
      <w:r>
        <w:rPr>
          <w:rFonts w:ascii="Calibri" w:cs="Calibri" w:eastAsia="Calibri" w:hAnsi="Calibri"/>
          <w:b w:val="false"/>
          <w:bCs w:val="false"/>
          <w:i/>
          <w:iCs/>
          <w:caps w:val="false"/>
          <w:color w:val="718096"/>
          <w:sz w:val="17"/>
          <w:szCs w:val="17"/>
        </w:rPr>
        <w:t xml:space="preserve">Legal Docketing Platform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3" w:sz="2" w:space="4"/>
      </w:pBdr>
      <w:spacing w:after="0" w:before="80"/>
      <w:jc w:val="center"/>
    </w:pPr>
    <w:r>
      <w:rPr>
        <w:rFonts w:ascii="Calibri" w:cs="Calibri" w:eastAsia="Calibri" w:hAnsi="Calibri"/>
        <w:b w:val="false"/>
        <w:bCs w:val="false"/>
        <w:i w:val="false"/>
        <w:iCs w:val="false"/>
        <w:caps w:val="false"/>
        <w:color w:val="718096"/>
        <w:sz w:val="15"/>
        <w:szCs w:val="15"/>
      </w:rPr>
      <w:t xml:space="preserve">Clinentora  ·  Every practice area. Every deadline. Handled.  ·  Page </w:t>
    </w:r>
    <w:r>
      <w:rPr>
        <w:rFonts w:ascii="Calibri" w:cs="Calibri" w:eastAsia="Calibri" w:hAnsi="Calibri"/>
        <w:color w:val="71809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b w:val="false"/>
        <w:bCs w:val="false"/>
        <w:i w:val="false"/>
        <w:iCs w:val="false"/>
        <w:caps w:val="false"/>
        <w:color w:val="718096"/>
        <w:sz w:val="16"/>
        <w:szCs w:val="16"/>
      </w:rPr>
      <w:t xml:space="preserve">CLINENTORA  ·  Legal Docketing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b/>
        <w:bCs/>
        <w:color w:val="0E7C7B"/>
        <w:sz w:val="22"/>
        <w:szCs w:val="22"/>
      </w:rPr>
    </w:lvl>
  </w:abstractNum>
  <w:abstractNum w:abstractNumId="3" w15:restartNumberingAfterBreak="0">
    <w:multiLevelType w:val="hybridMultilevel"/>
    <w:lvl w:ilvl="0" w15:tentative="1">
      <w:start w:val="1"/>
      <w:numFmt w:val="bullet"/>
      <w:lvlText w:val="–"/>
      <w:lvlJc w:val="left"/>
      <w:pPr>
        <w:ind w:left="440" w:hanging="280"/>
      </w:pPr>
      <w:rPr>
        <w:color w:val="0E7C7B"/>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4213D"/>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421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2026-07-16T09:16:51.976Z</dcterms:created>
  <dcterms:modified xsi:type="dcterms:W3CDTF">2026-07-16T09:16:51.993Z</dcterms:modified>
</cp:coreProperties>
</file>

<file path=docProps/custom.xml><?xml version="1.0" encoding="utf-8"?>
<Properties xmlns="http://schemas.openxmlformats.org/officeDocument/2006/custom-properties" xmlns:vt="http://schemas.openxmlformats.org/officeDocument/2006/docPropsVTypes"/>
</file>