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Prior Art Search Report</w:t>
      </w:r>
    </w:p>
    <w:p>
      <w:pPr>
        <w:jc w:val="center"/>
      </w:pPr>
      <w:r>
        <w:rPr>
          <w:color w:val="64748B"/>
          <w:sz w:val="20"/>
        </w:rPr>
        <w:t>Generated: June 29, 2026    Patents reviewed: 1    Key features: 2</w:t>
      </w:r>
    </w:p>
    <w:p/>
    <w:p>
      <w:pPr>
        <w:pStyle w:val="Heading1"/>
      </w:pPr>
      <w:r>
        <w:t>1.  Summary Table</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4320"/>
            <w:shd w:val="clear" w:color="auto" w:fill="1B3A6B"/>
            <w:vAlign w:val="center"/>
          </w:tcPr>
          <w:p>
            <w:pPr>
              <w:jc w:val="center"/>
            </w:pPr>
            <w:r>
              <w:rPr>
                <w:color w:val="FFFFFF"/>
              </w:rPr>
            </w:r>
            <w:r>
              <w:rPr>
                <w:rFonts w:ascii="Calibri" w:hAnsi="Calibri"/>
                <w:b/>
                <w:sz w:val="22"/>
              </w:rPr>
              <w:t>Title</w:t>
            </w:r>
          </w:p>
        </w:tc>
        <w:tc>
          <w:tcPr>
            <w:tcW w:type="dxa" w:w="2592"/>
            <w:shd w:val="clear" w:color="auto" w:fill="1B3A6B"/>
            <w:vAlign w:val="center"/>
          </w:tcPr>
          <w:p>
            <w:pPr>
              <w:jc w:val="center"/>
            </w:pPr>
            <w:r>
              <w:rPr>
                <w:color w:val="FFFFFF"/>
              </w:rPr>
            </w:r>
            <w:r>
              <w:rPr>
                <w:rFonts w:ascii="Calibri" w:hAnsi="Calibri"/>
                <w:b/>
                <w:sz w:val="22"/>
              </w:rPr>
              <w:t>Publication Number</w:t>
            </w:r>
          </w:p>
        </w:tc>
        <w:tc>
          <w:tcPr>
            <w:tcW w:type="dxa" w:w="2448"/>
            <w:shd w:val="clear" w:color="auto" w:fill="1B3A6B"/>
            <w:vAlign w:val="center"/>
          </w:tcPr>
          <w:p>
            <w:pPr>
              <w:jc w:val="center"/>
            </w:pPr>
            <w:r>
              <w:rPr>
                <w:color w:val="FFFFFF"/>
              </w:rPr>
            </w:r>
            <w:r>
              <w:rPr>
                <w:rFonts w:ascii="Calibri" w:hAnsi="Calibri"/>
                <w:b/>
                <w:sz w:val="22"/>
              </w:rPr>
              <w:t>Owner</w:t>
            </w:r>
          </w:p>
        </w:tc>
      </w:tr>
      <w:tr>
        <w:tc>
          <w:tcPr>
            <w:tcW w:type="dxa" w:w="3120"/>
            <w:vAlign w:val="center"/>
          </w:tcPr>
          <w:p>
            <w:pPr>
              <w:jc w:val="left"/>
            </w:pPr>
            <w:r/>
            <w:r>
              <w:rPr>
                <w:rFonts w:ascii="Calibri" w:hAnsi="Calibri"/>
                <w:b w:val="0"/>
                <w:sz w:val="22"/>
              </w:rPr>
              <w:t>US10573135B2</w:t>
            </w:r>
          </w:p>
        </w:tc>
        <w:tc>
          <w:tcPr>
            <w:tcW w:type="dxa" w:w="3120"/>
            <w:vAlign w:val="center"/>
          </w:tcPr>
          <w:p>
            <w:pPr>
              <w:jc w:val="center"/>
            </w:pPr>
            <w:r/>
            <w:r>
              <w:rPr>
                <w:rFonts w:ascii="Calibri" w:hAnsi="Calibri"/>
                <w:b w:val="0"/>
                <w:sz w:val="22"/>
              </w:rPr>
              <w:t>US10573135B2</w:t>
            </w:r>
          </w:p>
        </w:tc>
        <w:tc>
          <w:tcPr>
            <w:tcW w:type="dxa" w:w="3120"/>
            <w:vAlign w:val="center"/>
          </w:tcPr>
          <w:p>
            <w:pPr>
              <w:jc w:val="left"/>
            </w:pPr>
            <w:r/>
            <w:r>
              <w:rPr>
                <w:rFonts w:ascii="Calibri" w:hAnsi="Calibri"/>
                <w:b w:val="0"/>
                <w:sz w:val="22"/>
              </w:rPr>
              <w:t>Swiftgo</w:t>
            </w:r>
          </w:p>
        </w:tc>
      </w:tr>
    </w:tbl>
    <w:p/>
    <w:p>
      <w:r>
        <w:br w:type="page"/>
      </w:r>
    </w:p>
    <w:p>
      <w:pPr>
        <w:pStyle w:val="Heading1"/>
      </w:pPr>
      <w:r>
        <w:t>2.  Claim Charts</w:t>
      </w:r>
    </w:p>
    <w:p>
      <w:pPr>
        <w:pStyle w:val="Heading2"/>
      </w:pPr>
      <w:r>
        <w:rPr>
          <w:sz w:val="24"/>
        </w:rPr>
        <w:t>US10573135B2  –  US10573135B2</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648"/>
            <w:shd w:val="clear" w:color="auto" w:fill="1B3A6B"/>
            <w:vAlign w:val="center"/>
          </w:tcPr>
          <w:p>
            <w:pPr>
              <w:jc w:val="center"/>
            </w:pPr>
            <w:r>
              <w:rPr>
                <w:color w:val="FFFFFF"/>
              </w:rPr>
            </w:r>
            <w:r>
              <w:rPr>
                <w:rFonts w:ascii="Calibri" w:hAnsi="Calibri"/>
                <w:b/>
                <w:sz w:val="22"/>
              </w:rPr>
              <w:t>No.</w:t>
            </w:r>
          </w:p>
        </w:tc>
        <w:tc>
          <w:tcPr>
            <w:tcW w:type="dxa" w:w="2952"/>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left"/>
            </w:pPr>
            <w:r>
              <w:rPr>
                <w:color w:val="FFFFFF"/>
              </w:rPr>
            </w:r>
            <w:r>
              <w:rPr>
                <w:rFonts w:ascii="Calibri" w:hAnsi="Calibri"/>
                <w:b/>
                <w:sz w:val="22"/>
              </w:rPr>
              <w:t>Justification from Patent</w:t>
            </w:r>
          </w:p>
        </w:tc>
      </w:tr>
      <w:tr>
        <w:tc>
          <w:tcPr>
            <w:tcW w:type="dxa" w:w="3120"/>
            <w:vAlign w:val="center"/>
          </w:tcPr>
          <w:p>
            <w:pPr>
              <w:jc w:val="center"/>
            </w:pPr>
            <w:r/>
            <w:r>
              <w:rPr>
                <w:rFonts w:ascii="Calibri" w:hAnsi="Calibri"/>
                <w:b w:val="0"/>
                <w:sz w:val="22"/>
              </w:rPr>
              <w:t>1</w:t>
            </w:r>
          </w:p>
        </w:tc>
        <w:tc>
          <w:tcPr>
            <w:tcW w:type="dxa" w:w="3120"/>
            <w:vAlign w:val="center"/>
          </w:tcPr>
          <w:p>
            <w:pPr>
              <w:jc w:val="left"/>
            </w:pPr>
            <w:r/>
            <w:r>
              <w:rPr>
                <w:rFonts w:ascii="Calibri" w:hAnsi="Calibri"/>
                <w:b w:val="0"/>
                <w:sz w:val="22"/>
              </w:rPr>
              <w:t>A self-contained shopping cart structure utilizing independent weight sensors positioned on or within multiple separate receptacles to isolate and measure the weight of specific categorized items</w:t>
            </w:r>
          </w:p>
        </w:tc>
        <w:tc>
          <w:tcPr>
            <w:tcW w:type="dxa" w:w="3120"/>
            <w:vAlign w:val="center"/>
          </w:tcPr>
          <w:p>
            <w:pPr>
              <w:jc w:val="left"/>
            </w:pPr>
            <w:r/>
            <w:r>
              <w:rPr>
                <w:rFonts w:ascii="Calibri" w:hAnsi="Calibri"/>
                <w:b w:val="0"/>
                <w:sz w:val="22"/>
              </w:rPr>
              <w:t>The patent discloses a self-contained shopping cart structure utilizing independent weight sensors positioned on or within multiple separate receptacles to isolate and measure the weight of specific categorized items. This is evident in Claim 27, which mentions 'a plurality of portable shopping receptacles' and 'weight sensors coupled to the portable shopping receptacle for movement through the shopping location.' Additionally, Claim 17 describes a method where 'the item detection sensor is configured to indicate the weight of the selected item of merchandise when the selected item of merchandise is present in the portable shopping receptacle.' These passages indicate that the patent discloses a system with independent weight sensors in separate receptacles to measure item weights, which is conceptually equivalent to the key feature.</w:t>
            </w:r>
          </w:p>
        </w:tc>
      </w:tr>
      <w:tr>
        <w:tc>
          <w:tcPr>
            <w:tcW w:type="dxa" w:w="3120"/>
            <w:shd w:val="clear" w:color="auto" w:fill="EFF6FF"/>
            <w:vAlign w:val="center"/>
          </w:tcPr>
          <w:p>
            <w:pPr>
              <w:jc w:val="center"/>
            </w:pPr>
            <w:r/>
            <w:r>
              <w:rPr>
                <w:rFonts w:ascii="Calibri" w:hAnsi="Calibri"/>
                <w:b w:val="0"/>
                <w:sz w:val="22"/>
              </w:rPr>
              <w:t>2</w:t>
            </w:r>
          </w:p>
        </w:tc>
        <w:tc>
          <w:tcPr>
            <w:tcW w:type="dxa" w:w="3120"/>
            <w:shd w:val="clear" w:color="auto" w:fill="EFF6FF"/>
            <w:vAlign w:val="center"/>
          </w:tcPr>
          <w:p>
            <w:pPr>
              <w:jc w:val="left"/>
            </w:pPr>
            <w:r/>
            <w:r>
              <w:rPr>
                <w:rFonts w:ascii="Calibri" w:hAnsi="Calibri"/>
                <w:b w:val="0"/>
                <w:sz w:val="22"/>
              </w:rPr>
              <w:t>A predictive load-distribution system that utilizes computer vision to analyze the physical orientation and stack-stability of products within a cart to alert users of potential item damage or tipping hazards.</w:t>
            </w:r>
          </w:p>
        </w:tc>
        <w:tc>
          <w:tcPr>
            <w:tcW w:type="dxa" w:w="3120"/>
            <w:shd w:val="clear" w:color="auto" w:fill="EFF6FF"/>
            <w:vAlign w:val="center"/>
          </w:tcPr>
          <w:p>
            <w:pPr>
              <w:jc w:val="left"/>
            </w:pPr>
            <w:r/>
            <w:r>
              <w:rPr>
                <w:rFonts w:ascii="Calibri" w:hAnsi="Calibri"/>
                <w:b w:val="0"/>
                <w:sz w:val="22"/>
              </w:rPr>
              <w:t>This feature is not explicitly disclosed in this patent.</w:t>
            </w:r>
          </w:p>
        </w:tc>
      </w:tr>
    </w:tbl>
    <w:p/>
    <w:p>
      <w:r>
        <w:br w:type="page"/>
      </w:r>
    </w:p>
    <w:p>
      <w:pPr>
        <w:pStyle w:val="Heading1"/>
      </w:pPr>
      <w:r>
        <w:t>3.  Novelty Matrix</w:t>
      </w:r>
    </w:p>
    <w:p>
      <w:r>
        <w:rPr>
          <w:i/>
          <w:sz w:val="20"/>
        </w:rPr>
        <w:t>Yes = feature is disclosed in this patent  |  No = feature is not found in this patent</w:t>
      </w:r>
    </w:p>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3600"/>
            <w:shd w:val="clear" w:color="auto" w:fill="1B3A6B"/>
            <w:vAlign w:val="center"/>
          </w:tcPr>
          <w:p>
            <w:pPr>
              <w:jc w:val="left"/>
            </w:pPr>
            <w:r>
              <w:rPr>
                <w:color w:val="FFFFFF"/>
              </w:rPr>
            </w:r>
            <w:r>
              <w:rPr>
                <w:rFonts w:ascii="Calibri" w:hAnsi="Calibri"/>
                <w:b/>
                <w:sz w:val="22"/>
              </w:rPr>
              <w:t>Key Feature</w:t>
            </w:r>
          </w:p>
        </w:tc>
        <w:tc>
          <w:tcPr>
            <w:tcW w:type="dxa" w:w="5760"/>
            <w:shd w:val="clear" w:color="auto" w:fill="1B3A6B"/>
            <w:vAlign w:val="center"/>
          </w:tcPr>
          <w:p>
            <w:pPr>
              <w:jc w:val="center"/>
            </w:pPr>
            <w:r>
              <w:rPr>
                <w:color w:val="FFFFFF"/>
              </w:rPr>
            </w:r>
            <w:r>
              <w:rPr>
                <w:rFonts w:ascii="Calibri" w:hAnsi="Calibri"/>
                <w:b/>
                <w:sz w:val="22"/>
              </w:rPr>
              <w:t>US10573135B2</w:t>
              <w:br/>
              <w:t>US10573135B2</w:t>
            </w:r>
          </w:p>
        </w:tc>
      </w:tr>
      <w:tr>
        <w:tc>
          <w:tcPr>
            <w:tcW w:type="dxa" w:w="4680"/>
            <w:vAlign w:val="center"/>
          </w:tcPr>
          <w:p>
            <w:pPr>
              <w:jc w:val="left"/>
            </w:pPr>
            <w:r/>
            <w:r>
              <w:rPr>
                <w:rFonts w:ascii="Calibri" w:hAnsi="Calibri"/>
                <w:b w:val="0"/>
                <w:sz w:val="22"/>
              </w:rPr>
              <w:t>Feature 1: A self-contained shopping cart structure utilizing independent weight sensors positioned on or within multiple separate receptacles to isolate and measure the weight of specific categorized items</w:t>
            </w:r>
          </w:p>
        </w:tc>
        <w:tc>
          <w:tcPr>
            <w:tcW w:type="dxa" w:w="4680"/>
            <w:shd w:val="clear" w:color="auto" w:fill="DCFCE7"/>
            <w:vAlign w:val="center"/>
          </w:tcPr>
          <w:p>
            <w:pPr>
              <w:jc w:val="center"/>
            </w:pPr>
            <w:r/>
            <w:r>
              <w:rPr>
                <w:rFonts w:ascii="Calibri" w:hAnsi="Calibri"/>
                <w:b/>
                <w:sz w:val="22"/>
              </w:rPr>
              <w:t>Yes</w:t>
            </w:r>
          </w:p>
        </w:tc>
      </w:tr>
      <w:tr>
        <w:tc>
          <w:tcPr>
            <w:tcW w:type="dxa" w:w="4680"/>
            <w:vAlign w:val="center"/>
          </w:tcPr>
          <w:p>
            <w:pPr>
              <w:jc w:val="left"/>
            </w:pPr>
            <w:r/>
            <w:r>
              <w:rPr>
                <w:rFonts w:ascii="Calibri" w:hAnsi="Calibri"/>
                <w:b w:val="0"/>
                <w:sz w:val="22"/>
              </w:rPr>
              <w:t>Feature 2: A predictive load-distribution system that utilizes computer vision to analyze the physical orientation and stack-stability of products within a cart to alert users of potential item damage or tipping hazards.</w:t>
            </w:r>
          </w:p>
        </w:tc>
        <w:tc>
          <w:tcPr>
            <w:tcW w:type="dxa" w:w="4680"/>
            <w:shd w:val="clear" w:color="auto" w:fill="FEE2E2"/>
            <w:vAlign w:val="center"/>
          </w:tcPr>
          <w:p>
            <w:pPr>
              <w:jc w:val="center"/>
            </w:pPr>
            <w:r/>
            <w:r>
              <w:rPr>
                <w:rFonts w:ascii="Calibri" w:hAnsi="Calibri"/>
                <w:b/>
                <w:sz w:val="22"/>
              </w:rPr>
              <w:t>No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