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Prior Art Search Report</w:t>
      </w:r>
    </w:p>
    <w:p>
      <w:pPr>
        <w:jc w:val="center"/>
      </w:pPr>
      <w:r>
        <w:rPr>
          <w:color w:val="64748B"/>
          <w:sz w:val="20"/>
        </w:rPr>
        <w:t>Generated: June 15, 2026    Patents reviewed: 1    Key features: 8</w:t>
      </w:r>
    </w:p>
    <w:p/>
    <w:p>
      <w:pPr>
        <w:pStyle w:val="Heading1"/>
      </w:pPr>
      <w:r>
        <w:t>1.  Summary Table</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4320"/>
            <w:shd w:val="clear" w:color="auto" w:fill="1B3A6B"/>
            <w:vAlign w:val="center"/>
          </w:tcPr>
          <w:p>
            <w:pPr>
              <w:jc w:val="center"/>
            </w:pPr>
            <w:r>
              <w:rPr>
                <w:color w:val="FFFFFF"/>
              </w:rPr>
            </w:r>
            <w:r>
              <w:rPr>
                <w:rFonts w:ascii="Calibri" w:hAnsi="Calibri"/>
                <w:b/>
                <w:sz w:val="22"/>
              </w:rPr>
              <w:t>Title</w:t>
            </w:r>
          </w:p>
        </w:tc>
        <w:tc>
          <w:tcPr>
            <w:tcW w:type="dxa" w:w="2592"/>
            <w:shd w:val="clear" w:color="auto" w:fill="1B3A6B"/>
            <w:vAlign w:val="center"/>
          </w:tcPr>
          <w:p>
            <w:pPr>
              <w:jc w:val="center"/>
            </w:pPr>
            <w:r>
              <w:rPr>
                <w:color w:val="FFFFFF"/>
              </w:rPr>
            </w:r>
            <w:r>
              <w:rPr>
                <w:rFonts w:ascii="Calibri" w:hAnsi="Calibri"/>
                <w:b/>
                <w:sz w:val="22"/>
              </w:rPr>
              <w:t>Publication Number</w:t>
            </w:r>
          </w:p>
        </w:tc>
        <w:tc>
          <w:tcPr>
            <w:tcW w:type="dxa" w:w="2448"/>
            <w:shd w:val="clear" w:color="auto" w:fill="1B3A6B"/>
            <w:vAlign w:val="center"/>
          </w:tcPr>
          <w:p>
            <w:pPr>
              <w:jc w:val="center"/>
            </w:pPr>
            <w:r>
              <w:rPr>
                <w:color w:val="FFFFFF"/>
              </w:rPr>
            </w:r>
            <w:r>
              <w:rPr>
                <w:rFonts w:ascii="Calibri" w:hAnsi="Calibri"/>
                <w:b/>
                <w:sz w:val="22"/>
              </w:rPr>
              <w:t>Owner</w:t>
            </w:r>
          </w:p>
        </w:tc>
      </w:tr>
      <w:tr>
        <w:tc>
          <w:tcPr>
            <w:tcW w:type="dxa" w:w="3120"/>
            <w:vAlign w:val="center"/>
          </w:tcPr>
          <w:p>
            <w:pPr>
              <w:jc w:val="left"/>
            </w:pPr>
            <w:r/>
            <w:r>
              <w:rPr>
                <w:rFonts w:ascii="Calibri" w:hAnsi="Calibri"/>
                <w:b w:val="0"/>
                <w:sz w:val="22"/>
              </w:rPr>
              <w:t>US20230194891A1</w:t>
            </w:r>
          </w:p>
        </w:tc>
        <w:tc>
          <w:tcPr>
            <w:tcW w:type="dxa" w:w="3120"/>
            <w:vAlign w:val="center"/>
          </w:tcPr>
          <w:p>
            <w:pPr>
              <w:jc w:val="center"/>
            </w:pPr>
            <w:r/>
            <w:r>
              <w:rPr>
                <w:rFonts w:ascii="Calibri" w:hAnsi="Calibri"/>
                <w:b w:val="0"/>
                <w:sz w:val="22"/>
              </w:rPr>
              <w:t>US20230194891A1</w:t>
            </w:r>
          </w:p>
        </w:tc>
        <w:tc>
          <w:tcPr>
            <w:tcW w:type="dxa" w:w="3120"/>
            <w:vAlign w:val="center"/>
          </w:tcPr>
          <w:p>
            <w:pPr>
              <w:jc w:val="left"/>
            </w:pPr>
            <w:r/>
            <w:r>
              <w:rPr>
                <w:rFonts w:ascii="Calibri" w:hAnsi="Calibri"/>
                <w:b w:val="0"/>
                <w:sz w:val="22"/>
              </w:rPr>
              <w:t>Google</w:t>
            </w:r>
          </w:p>
        </w:tc>
      </w:tr>
    </w:tbl>
    <w:p/>
    <w:p>
      <w:r>
        <w:br w:type="page"/>
      </w:r>
    </w:p>
    <w:p>
      <w:pPr>
        <w:pStyle w:val="Heading1"/>
      </w:pPr>
      <w:r>
        <w:t>2.  Claim Charts</w:t>
      </w:r>
    </w:p>
    <w:p>
      <w:pPr>
        <w:pStyle w:val="Heading2"/>
      </w:pPr>
      <w:r>
        <w:rPr>
          <w:sz w:val="24"/>
        </w:rPr>
        <w:t>US20230194891A1  –  US20230194891A1</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648"/>
            <w:shd w:val="clear" w:color="auto" w:fill="1B3A6B"/>
            <w:vAlign w:val="center"/>
          </w:tcPr>
          <w:p>
            <w:pPr>
              <w:jc w:val="center"/>
            </w:pPr>
            <w:r>
              <w:rPr>
                <w:color w:val="FFFFFF"/>
              </w:rPr>
            </w:r>
            <w:r>
              <w:rPr>
                <w:rFonts w:ascii="Calibri" w:hAnsi="Calibri"/>
                <w:b/>
                <w:sz w:val="22"/>
              </w:rPr>
              <w:t>No.</w:t>
            </w:r>
          </w:p>
        </w:tc>
        <w:tc>
          <w:tcPr>
            <w:tcW w:type="dxa" w:w="2952"/>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left"/>
            </w:pPr>
            <w:r>
              <w:rPr>
                <w:color w:val="FFFFFF"/>
              </w:rPr>
            </w:r>
            <w:r>
              <w:rPr>
                <w:rFonts w:ascii="Calibri" w:hAnsi="Calibri"/>
                <w:b/>
                <w:sz w:val="22"/>
              </w:rPr>
              <w:t>Justification from Patent</w:t>
            </w:r>
          </w:p>
        </w:tc>
      </w:tr>
      <w:tr>
        <w:tc>
          <w:tcPr>
            <w:tcW w:type="dxa" w:w="3120"/>
            <w:vAlign w:val="center"/>
          </w:tcPr>
          <w:p>
            <w:pPr>
              <w:jc w:val="center"/>
            </w:pPr>
            <w:r/>
            <w:r>
              <w:rPr>
                <w:rFonts w:ascii="Calibri" w:hAnsi="Calibri"/>
                <w:b w:val="0"/>
                <w:sz w:val="22"/>
              </w:rPr>
              <w:t>1</w:t>
            </w:r>
          </w:p>
        </w:tc>
        <w:tc>
          <w:tcPr>
            <w:tcW w:type="dxa" w:w="3120"/>
            <w:vAlign w:val="center"/>
          </w:tcPr>
          <w:p>
            <w:pPr>
              <w:jc w:val="left"/>
            </w:pPr>
            <w:r/>
            <w:r>
              <w:rPr>
                <w:rFonts w:ascii="Calibri" w:hAnsi="Calibri"/>
                <w:b w:val="0"/>
                <w:sz w:val="22"/>
              </w:rPr>
              <w:t>Dynamic Variable-Focal Fluidic Lens System: The see-through lenses feature a localized, multi-layered fluidic chamber paired with a micro-piezoelectric actuator embedded in the nose bridge. Real-time changes in voltage alter the fluid pressure and curvature of the inner lens boundaries, dynamically adjusting prescription focal lengths based on eye-tracking data.</w:t>
            </w:r>
          </w:p>
        </w:tc>
        <w:tc>
          <w:tcPr>
            <w:tcW w:type="dxa" w:w="3120"/>
            <w:vAlign w:val="center"/>
          </w:tcPr>
          <w:p>
            <w:pPr>
              <w:jc w:val="left"/>
            </w:pPr>
            <w:r/>
            <w:r>
              <w:rPr>
                <w:rFonts w:ascii="Calibri" w:hAnsi="Calibri"/>
                <w:b w:val="0"/>
                <w:sz w:val="22"/>
              </w:rPr>
              <w:t>[Auto-generation failed — please fill in manually]</w:t>
            </w:r>
          </w:p>
        </w:tc>
      </w:tr>
      <w:tr>
        <w:tc>
          <w:tcPr>
            <w:tcW w:type="dxa" w:w="3120"/>
            <w:shd w:val="clear" w:color="auto" w:fill="EFF6FF"/>
            <w:vAlign w:val="center"/>
          </w:tcPr>
          <w:p>
            <w:pPr>
              <w:jc w:val="center"/>
            </w:pPr>
            <w:r/>
            <w:r>
              <w:rPr>
                <w:rFonts w:ascii="Calibri" w:hAnsi="Calibri"/>
                <w:b w:val="0"/>
                <w:sz w:val="22"/>
              </w:rPr>
              <w:t>2</w:t>
            </w:r>
          </w:p>
        </w:tc>
        <w:tc>
          <w:tcPr>
            <w:tcW w:type="dxa" w:w="3120"/>
            <w:shd w:val="clear" w:color="auto" w:fill="EFF6FF"/>
            <w:vAlign w:val="center"/>
          </w:tcPr>
          <w:p>
            <w:pPr>
              <w:jc w:val="left"/>
            </w:pPr>
            <w:r/>
            <w:r>
              <w:rPr>
                <w:rFonts w:ascii="Calibri" w:hAnsi="Calibri"/>
                <w:b w:val="0"/>
                <w:sz w:val="22"/>
              </w:rPr>
              <w:t>Seamless Monocoque Temple Shell Architecture: The smart glasses utilize a right and left temple constructed as a one-piece, seamless shell structure with ultra-thin thermoplastic or metallic walls ($T \le 1.0\text{ mm}$) enclosing a hollow internal compartment. This compartment is physically accessible via a single proximal opening for component insertion before frame attachment.</w:t>
            </w:r>
          </w:p>
        </w:tc>
        <w:tc>
          <w:tcPr>
            <w:tcW w:type="dxa" w:w="3120"/>
            <w:shd w:val="clear" w:color="auto" w:fill="EFF6FF"/>
            <w:vAlign w:val="center"/>
          </w:tcPr>
          <w:p>
            <w:pPr>
              <w:jc w:val="left"/>
            </w:pPr>
            <w:r/>
            <w:r>
              <w:rPr>
                <w:rFonts w:ascii="Calibri" w:hAnsi="Calibri"/>
                <w:b w:val="0"/>
                <w:sz w:val="22"/>
              </w:rPr>
              <w:t>[Auto-generation failed — please fill in manually]</w:t>
            </w:r>
          </w:p>
        </w:tc>
      </w:tr>
      <w:tr>
        <w:tc>
          <w:tcPr>
            <w:tcW w:type="dxa" w:w="3120"/>
            <w:vAlign w:val="center"/>
          </w:tcPr>
          <w:p>
            <w:pPr>
              <w:jc w:val="center"/>
            </w:pPr>
            <w:r/>
            <w:r>
              <w:rPr>
                <w:rFonts w:ascii="Calibri" w:hAnsi="Calibri"/>
                <w:b w:val="0"/>
                <w:sz w:val="22"/>
              </w:rPr>
              <w:t>3</w:t>
            </w:r>
          </w:p>
        </w:tc>
        <w:tc>
          <w:tcPr>
            <w:tcW w:type="dxa" w:w="3120"/>
            <w:vAlign w:val="center"/>
          </w:tcPr>
          <w:p>
            <w:pPr>
              <w:jc w:val="left"/>
            </w:pPr>
            <w:r/>
            <w:r>
              <w:rPr>
                <w:rFonts w:ascii="Calibri" w:hAnsi="Calibri"/>
                <w:b w:val="0"/>
                <w:sz w:val="22"/>
              </w:rPr>
              <w:t>Integrated Rigid-Flexible Ear Bend Support: The distal portion of the seamless temple features a solid material body volume (plastic or epoxy) embedding an internal core wire made of stainless steel or titanium. This core wire provides internal mechanical strength and shape-retention elasticity to allow manual adjustment behind the wearer's ear.</w:t>
            </w:r>
          </w:p>
        </w:tc>
        <w:tc>
          <w:tcPr>
            <w:tcW w:type="dxa" w:w="3120"/>
            <w:vAlign w:val="center"/>
          </w:tcPr>
          <w:p>
            <w:pPr>
              <w:jc w:val="left"/>
            </w:pPr>
            <w:r/>
            <w:r>
              <w:rPr>
                <w:rFonts w:ascii="Calibri" w:hAnsi="Calibri"/>
                <w:b w:val="0"/>
                <w:sz w:val="22"/>
              </w:rPr>
              <w:t>[Auto-generation failed — please fill in manually]</w:t>
            </w:r>
          </w:p>
        </w:tc>
      </w:tr>
      <w:tr>
        <w:tc>
          <w:tcPr>
            <w:tcW w:type="dxa" w:w="3120"/>
            <w:shd w:val="clear" w:color="auto" w:fill="EFF6FF"/>
            <w:vAlign w:val="center"/>
          </w:tcPr>
          <w:p>
            <w:pPr>
              <w:jc w:val="center"/>
            </w:pPr>
            <w:r/>
            <w:r>
              <w:rPr>
                <w:rFonts w:ascii="Calibri" w:hAnsi="Calibri"/>
                <w:b w:val="0"/>
                <w:sz w:val="22"/>
              </w:rPr>
              <w:t>4</w:t>
            </w:r>
          </w:p>
        </w:tc>
        <w:tc>
          <w:tcPr>
            <w:tcW w:type="dxa" w:w="3120"/>
            <w:shd w:val="clear" w:color="auto" w:fill="EFF6FF"/>
            <w:vAlign w:val="center"/>
          </w:tcPr>
          <w:p>
            <w:pPr>
              <w:jc w:val="left"/>
            </w:pPr>
            <w:r/>
            <w:r>
              <w:rPr>
                <w:rFonts w:ascii="Calibri" w:hAnsi="Calibri"/>
                <w:b w:val="0"/>
                <w:sz w:val="22"/>
              </w:rPr>
              <w:t>Aperture-Based Externally Accessible Interfaces: The thin structural walls of the monocoque temple compartment are machined or milled with discrete environmental apertures. These apertures are geometrically aligned to expose acoustic meshes for internal speakers/microphones and optical ports for light sensors without breaking the continuous shell geometry.</w:t>
            </w:r>
          </w:p>
        </w:tc>
        <w:tc>
          <w:tcPr>
            <w:tcW w:type="dxa" w:w="3120"/>
            <w:shd w:val="clear" w:color="auto" w:fill="EFF6FF"/>
            <w:vAlign w:val="center"/>
          </w:tcPr>
          <w:p>
            <w:pPr>
              <w:jc w:val="left"/>
            </w:pPr>
            <w:r/>
            <w:r>
              <w:rPr>
                <w:rFonts w:ascii="Calibri" w:hAnsi="Calibri"/>
                <w:b w:val="0"/>
                <w:sz w:val="22"/>
              </w:rPr>
              <w:t>[Auto-generation failed — please fill in manually]</w:t>
            </w:r>
          </w:p>
        </w:tc>
      </w:tr>
      <w:tr>
        <w:tc>
          <w:tcPr>
            <w:tcW w:type="dxa" w:w="3120"/>
            <w:vAlign w:val="center"/>
          </w:tcPr>
          <w:p>
            <w:pPr>
              <w:jc w:val="center"/>
            </w:pPr>
            <w:r/>
            <w:r>
              <w:rPr>
                <w:rFonts w:ascii="Calibri" w:hAnsi="Calibri"/>
                <w:b w:val="0"/>
                <w:sz w:val="22"/>
              </w:rPr>
              <w:t>5</w:t>
            </w:r>
          </w:p>
        </w:tc>
        <w:tc>
          <w:tcPr>
            <w:tcW w:type="dxa" w:w="3120"/>
            <w:vAlign w:val="center"/>
          </w:tcPr>
          <w:p>
            <w:pPr>
              <w:jc w:val="left"/>
            </w:pPr>
            <w:r/>
            <w:r>
              <w:rPr>
                <w:rFonts w:ascii="Calibri" w:hAnsi="Calibri"/>
                <w:b w:val="0"/>
                <w:sz w:val="22"/>
              </w:rPr>
              <w:t>Protruding Optoelectronic Display Projector Assembly: The temple pre-form includes an integrated, downward-protruding optoelectronic structure housing a light projector and a flat screen element ($\le 1.0\text{ mm}$ thickness). The window is statically oriented to project digital data onto an in-lens micro-display embedded within the see-through spectacle lenses.</w:t>
            </w:r>
          </w:p>
        </w:tc>
        <w:tc>
          <w:tcPr>
            <w:tcW w:type="dxa" w:w="3120"/>
            <w:vAlign w:val="center"/>
          </w:tcPr>
          <w:p>
            <w:pPr>
              <w:jc w:val="left"/>
            </w:pPr>
            <w:r/>
            <w:r>
              <w:rPr>
                <w:rFonts w:ascii="Calibri" w:hAnsi="Calibri"/>
                <w:b w:val="0"/>
                <w:sz w:val="22"/>
              </w:rPr>
              <w:t>[Auto-generation failed — please fill in manually]</w:t>
            </w:r>
          </w:p>
        </w:tc>
      </w:tr>
      <w:tr>
        <w:tc>
          <w:tcPr>
            <w:tcW w:type="dxa" w:w="3120"/>
            <w:shd w:val="clear" w:color="auto" w:fill="EFF6FF"/>
            <w:vAlign w:val="center"/>
          </w:tcPr>
          <w:p>
            <w:pPr>
              <w:jc w:val="center"/>
            </w:pPr>
            <w:r/>
            <w:r>
              <w:rPr>
                <w:rFonts w:ascii="Calibri" w:hAnsi="Calibri"/>
                <w:b w:val="0"/>
                <w:sz w:val="22"/>
              </w:rPr>
              <w:t>6</w:t>
            </w:r>
          </w:p>
        </w:tc>
        <w:tc>
          <w:tcPr>
            <w:tcW w:type="dxa" w:w="3120"/>
            <w:shd w:val="clear" w:color="auto" w:fill="EFF6FF"/>
            <w:vAlign w:val="center"/>
          </w:tcPr>
          <w:p>
            <w:pPr>
              <w:jc w:val="left"/>
            </w:pPr>
            <w:r/>
            <w:r>
              <w:rPr>
                <w:rFonts w:ascii="Calibri" w:hAnsi="Calibri"/>
                <w:b w:val="0"/>
                <w:sz w:val="22"/>
              </w:rPr>
              <w:t>Thermally Coupled Hydrophobic Haptic Temple Coating: The external surface of the monocoque temple is wrapped in a electro-active polymer coating that changes texture (vibrational roughness) and surface temperature dynamically. This serves as a silent, non-visual notification matrix, utilizing localized Peltier-effect nodes to deliver distinct hot or cold haptic alerts directly to the temporal bone.</w:t>
            </w:r>
          </w:p>
        </w:tc>
        <w:tc>
          <w:tcPr>
            <w:tcW w:type="dxa" w:w="3120"/>
            <w:shd w:val="clear" w:color="auto" w:fill="EFF6FF"/>
            <w:vAlign w:val="center"/>
          </w:tcPr>
          <w:p>
            <w:pPr>
              <w:jc w:val="left"/>
            </w:pPr>
            <w:r/>
            <w:r>
              <w:rPr>
                <w:rFonts w:ascii="Calibri" w:hAnsi="Calibri"/>
                <w:b w:val="0"/>
                <w:sz w:val="22"/>
              </w:rPr>
              <w:t>[Auto-generation failed — please fill in manually]</w:t>
            </w:r>
          </w:p>
        </w:tc>
      </w:tr>
      <w:tr>
        <w:tc>
          <w:tcPr>
            <w:tcW w:type="dxa" w:w="3120"/>
            <w:vAlign w:val="center"/>
          </w:tcPr>
          <w:p>
            <w:pPr>
              <w:jc w:val="center"/>
            </w:pPr>
            <w:r/>
            <w:r>
              <w:rPr>
                <w:rFonts w:ascii="Calibri" w:hAnsi="Calibri"/>
                <w:b w:val="0"/>
                <w:sz w:val="22"/>
              </w:rPr>
              <w:t>7</w:t>
            </w:r>
          </w:p>
        </w:tc>
        <w:tc>
          <w:tcPr>
            <w:tcW w:type="dxa" w:w="3120"/>
            <w:vAlign w:val="center"/>
          </w:tcPr>
          <w:p>
            <w:pPr>
              <w:jc w:val="left"/>
            </w:pPr>
            <w:r/>
            <w:r>
              <w:rPr>
                <w:rFonts w:ascii="Calibri" w:hAnsi="Calibri"/>
                <w:b w:val="0"/>
                <w:sz w:val="22"/>
              </w:rPr>
              <w:t>Contactless Inductive Slide-to-Charge Rail Topology: Instead of relying on internal batteries inserted through a proximal opening, the temple compartment houses a series of planar copper induction coils aligned along an inner longitudinal rail. The glasses charge via an external magnetic dock that slides over the temple, transferring energy wirelessly through the seamless plastic wall without requiring a structural charging port or opening.</w:t>
            </w:r>
          </w:p>
        </w:tc>
        <w:tc>
          <w:tcPr>
            <w:tcW w:type="dxa" w:w="3120"/>
            <w:vAlign w:val="center"/>
          </w:tcPr>
          <w:p>
            <w:pPr>
              <w:jc w:val="left"/>
            </w:pPr>
            <w:r/>
            <w:r>
              <w:rPr>
                <w:rFonts w:ascii="Calibri" w:hAnsi="Calibri"/>
                <w:b w:val="0"/>
                <w:sz w:val="22"/>
              </w:rPr>
              <w:t>[Auto-generation failed — please fill in manually]</w:t>
            </w:r>
          </w:p>
        </w:tc>
      </w:tr>
      <w:tr>
        <w:tc>
          <w:tcPr>
            <w:tcW w:type="dxa" w:w="3120"/>
            <w:shd w:val="clear" w:color="auto" w:fill="EFF6FF"/>
            <w:vAlign w:val="center"/>
          </w:tcPr>
          <w:p>
            <w:pPr>
              <w:jc w:val="center"/>
            </w:pPr>
            <w:r/>
            <w:r>
              <w:rPr>
                <w:rFonts w:ascii="Calibri" w:hAnsi="Calibri"/>
                <w:b w:val="0"/>
                <w:sz w:val="22"/>
              </w:rPr>
              <w:t>8</w:t>
            </w:r>
          </w:p>
        </w:tc>
        <w:tc>
          <w:tcPr>
            <w:tcW w:type="dxa" w:w="3120"/>
            <w:shd w:val="clear" w:color="auto" w:fill="EFF6FF"/>
            <w:vAlign w:val="center"/>
          </w:tcPr>
          <w:p>
            <w:pPr>
              <w:jc w:val="left"/>
            </w:pPr>
            <w:r/>
            <w:r>
              <w:rPr>
                <w:rFonts w:ascii="Calibri" w:hAnsi="Calibri"/>
                <w:b w:val="0"/>
                <w:sz w:val="22"/>
              </w:rPr>
              <w:t>Gaze-Activated Micro-Fluidic Anti-Fogging Venting: The frame includes miniature capillary channels running along the top rim of the lens half-frames. When internal infrared sensors detect a rise in humidity between the eye and the lens, a micro-solenoid valve opens to release micro-bursts of compressed air, forcing cross-ventilation across the inner lens surface to instantly eliminate condensation.</w:t>
            </w:r>
          </w:p>
        </w:tc>
        <w:tc>
          <w:tcPr>
            <w:tcW w:type="dxa" w:w="3120"/>
            <w:shd w:val="clear" w:color="auto" w:fill="EFF6FF"/>
            <w:vAlign w:val="center"/>
          </w:tcPr>
          <w:p>
            <w:pPr>
              <w:jc w:val="left"/>
            </w:pPr>
            <w:r/>
            <w:r>
              <w:rPr>
                <w:rFonts w:ascii="Calibri" w:hAnsi="Calibri"/>
                <w:b w:val="0"/>
                <w:sz w:val="22"/>
              </w:rPr>
              <w:t>[Auto-generation failed — please fill in manually]</w:t>
            </w:r>
          </w:p>
        </w:tc>
      </w:tr>
    </w:tbl>
    <w:p/>
    <w:p>
      <w:r>
        <w:br w:type="page"/>
      </w:r>
    </w:p>
    <w:p>
      <w:pPr>
        <w:pStyle w:val="Heading1"/>
      </w:pPr>
      <w:r>
        <w:t>3.  Novelty Matrix</w:t>
      </w:r>
    </w:p>
    <w:p>
      <w:r>
        <w:rPr>
          <w:i/>
          <w:sz w:val="20"/>
        </w:rPr>
        <w:t>Yes = feature is disclosed in this patent  |  No = feature is not found in this patent</w:t>
      </w:r>
    </w:p>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3600"/>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center"/>
            </w:pPr>
            <w:r>
              <w:rPr>
                <w:color w:val="FFFFFF"/>
              </w:rPr>
            </w:r>
            <w:r>
              <w:rPr>
                <w:rFonts w:ascii="Calibri" w:hAnsi="Calibri"/>
                <w:b/>
                <w:sz w:val="22"/>
              </w:rPr>
              <w:t>US20230194891A1</w:t>
              <w:br/>
              <w:t>US20230194891A1</w:t>
            </w:r>
          </w:p>
        </w:tc>
      </w:tr>
      <w:tr>
        <w:tc>
          <w:tcPr>
            <w:tcW w:type="dxa" w:w="4680"/>
            <w:vAlign w:val="center"/>
          </w:tcPr>
          <w:p>
            <w:pPr>
              <w:jc w:val="left"/>
            </w:pPr>
            <w:r/>
            <w:r>
              <w:rPr>
                <w:rFonts w:ascii="Calibri" w:hAnsi="Calibri"/>
                <w:b w:val="0"/>
                <w:sz w:val="22"/>
              </w:rPr>
              <w:t>Feature 1: Dynamic Variable-Focal Fluidic Lens System: The see-through lenses feature a localized, multi-layered fluidic chamber paired with a micro-piezoelectric actuator embedded in the nose bridge. Real-time changes in voltage alter the fluid pressure and curvature of the inner lens boundaries, dynamically adjusting prescription focal lengths based on eye-tracking data.</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2: Seamless Monocoque Temple Shell Architecture: The smart glasses utilize a right and left temple constructed as a one-piece, seamless shell structure with ultra-thin thermoplastic or metallic walls ($T \le 1.0\text{ mm}$) enclosing a hollow internal compartment. This compartment is physically accessible via a single proximal opening for component insertion before frame attachment.</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3: Integrated Rigid-Flexible Ear Bend Support: The distal portion of the seamless temple features a solid material body volume (plastic or epoxy) embedding an internal core wire made of stainless steel or titanium. This core wire provides internal mechanical strength and shape-retention elasticity to allow manual adjustment behind the wearer's ear.</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4: Aperture-Based Externally Accessible Interfaces: The thin structural walls of the monocoque temple compartment are machined or milled with discrete environmental apertures. These apertures are geometrically aligned to expose acoustic meshes for internal speakers/microphones and optical ports for light sensors without breaking the continuous shell geometry.</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5: Protruding Optoelectronic Display Projector Assembly: The temple pre-form includes an integrated, downward-protruding optoelectronic structure housing a light projector and a flat screen element ($\le 1.0\text{ mm}$ thickness). The window is statically oriented to project digital data onto an in-lens micro-display embedded within the see-through spectacle lenses.</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6: Thermally Coupled Hydrophobic Haptic Temple Coating: The external surface of the monocoque temple is wrapped in a electro-active polymer coating that changes texture (vibrational roughness) and surface temperature dynamically. This serves as a silent, non-visual notification matrix, utilizing localized Peltier-effect nodes to deliver distinct hot or cold haptic alerts directly to the temporal bone.</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7: Contactless Inductive Slide-to-Charge Rail Topology: Instead of relying on internal batteries inserted through a proximal opening, the temple compartment houses a series of planar copper induction coils aligned along an inner longitudinal rail. The glasses charge via an external magnetic dock that slides over the temple, transferring energy wirelessly through the seamless plastic wall without requiring a structural charging port or opening.</w:t>
            </w:r>
          </w:p>
        </w:tc>
        <w:tc>
          <w:tcPr>
            <w:tcW w:type="dxa" w:w="4680"/>
            <w:shd w:val="clear" w:color="auto" w:fill="FEE2E2"/>
            <w:vAlign w:val="center"/>
          </w:tcPr>
          <w:p>
            <w:pPr>
              <w:jc w:val="center"/>
            </w:pPr>
            <w:r/>
            <w:r>
              <w:rPr>
                <w:rFonts w:ascii="Calibri" w:hAnsi="Calibri"/>
                <w:b/>
                <w:sz w:val="22"/>
              </w:rPr>
              <w:t>No</w:t>
            </w:r>
          </w:p>
        </w:tc>
      </w:tr>
      <w:tr>
        <w:tc>
          <w:tcPr>
            <w:tcW w:type="dxa" w:w="4680"/>
            <w:vAlign w:val="center"/>
          </w:tcPr>
          <w:p>
            <w:pPr>
              <w:jc w:val="left"/>
            </w:pPr>
            <w:r/>
            <w:r>
              <w:rPr>
                <w:rFonts w:ascii="Calibri" w:hAnsi="Calibri"/>
                <w:b w:val="0"/>
                <w:sz w:val="22"/>
              </w:rPr>
              <w:t>Feature 8: Gaze-Activated Micro-Fluidic Anti-Fogging Venting: The frame includes miniature capillary channels running along the top rim of the lens half-frames. When internal infrared sensors detect a rise in humidity between the eye and the lens, a micro-solenoid valve opens to release micro-bursts of compressed air, forcing cross-ventilation across the inner lens surface to instantly eliminate condensation.</w:t>
            </w:r>
          </w:p>
        </w:tc>
        <w:tc>
          <w:tcPr>
            <w:tcW w:type="dxa" w:w="4680"/>
            <w:shd w:val="clear" w:color="auto" w:fill="FEE2E2"/>
            <w:vAlign w:val="center"/>
          </w:tcPr>
          <w:p>
            <w:pPr>
              <w:jc w:val="center"/>
            </w:pPr>
            <w:r/>
            <w:r>
              <w:rPr>
                <w:rFonts w:ascii="Calibri" w:hAnsi="Calibri"/>
                <w:b/>
                <w:sz w:val="22"/>
              </w:rPr>
              <w:t>No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