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>
              <w:pStyle w:val="Title"/>
              <w:rPr>
                <w:sz w:val="24"/>
                <w:szCs w:val="24"/>
              </w:rPr>
            </w:pP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>
              <w:pStyle w:val="Title"/>
              <w:rPr>
                <w:sz w:val="24"/>
                <w:szCs w:val="24"/>
              </w:rPr>
            </w:pPr>
          </w:p>
        </w:tc>
      </w:tr>
      <w:bookmarkEnd w:id="0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>
              <w:rPr>
                <w:sz w:val="24"/>
                <w:szCs w:val="24"/>
              </w:rPr>
            </w:pP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>
              <w:jc w:val="center"/>
            </w:pP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3A78D7" w:rsidRPr="0003455F" w:rsidRDefault="003A78D7" w:rsidP="00F92BD8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3A78D7" w:rsidP="003A78D7"/>
        </w:tc>
        <w:tc>
          <w:tcPr>
            <w:tcW w:w="2520" w:type="dxa"/>
          </w:tcPr>
          <w:p w:rsidR="003A78D7" w:rsidRPr="0003455F" w:rsidRDefault="003A78D7" w:rsidP="003A78D7"/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43E12" w:rsidRPr="00462CBC" w:rsidRDefault="00443E12" w:rsidP="00443E12">
      <w:pPr>
        <w:pStyle w:val="Heading1"/>
      </w:pPr>
      <w:r>
        <w:t>1.0 purpose</w:t>
      </w:r>
    </w:p>
    <w:p w:rsidR="00443E12" w:rsidRDefault="00443E12" w:rsidP="00443E12">
      <w:pPr>
        <w:jc w:val="both"/>
      </w:pPr>
      <w:r>
        <w:rPr>
          <w:lang w:val="en-GB"/>
        </w:rPr>
        <w:t>To outline the procedures for training staff on Standard Operating Procedures (SOP’s), Quality Forms, requirements for GMP compliance and other non-GMP training. This SOP also outlines the requirements for training files.</w:t>
      </w:r>
    </w:p>
    <w:p w:rsidR="00443E12" w:rsidRDefault="00443E12" w:rsidP="00443E12">
      <w:pPr>
        <w:pStyle w:val="Heading1"/>
      </w:pPr>
      <w:r>
        <w:t>2.0 SCOPE</w:t>
      </w:r>
    </w:p>
    <w:p w:rsidR="00443E12" w:rsidRPr="00BA30BE" w:rsidRDefault="00443E12" w:rsidP="00443E12">
      <w:pPr>
        <w:jc w:val="both"/>
        <w:rPr>
          <w:lang w:val="en-GB"/>
        </w:rPr>
      </w:pPr>
      <w:r>
        <w:rPr>
          <w:lang w:val="en-GB"/>
        </w:rPr>
        <w:t>This document pertains to all Radiant permanent and temporary employees, as well as consultant requiring specific training in accordance with GMP regulations.</w:t>
      </w:r>
    </w:p>
    <w:p w:rsidR="00443E12" w:rsidRDefault="00443E12" w:rsidP="00443E12">
      <w:pPr>
        <w:pStyle w:val="Heading1"/>
      </w:pPr>
      <w:r>
        <w:t>3.0 equipment</w:t>
      </w:r>
    </w:p>
    <w:p w:rsidR="00443E12" w:rsidRDefault="00443E12" w:rsidP="00443E12">
      <w:r>
        <w:t>N/A</w:t>
      </w:r>
    </w:p>
    <w:p w:rsidR="00443E12" w:rsidRDefault="00443E12" w:rsidP="00443E12">
      <w:pPr>
        <w:pStyle w:val="Heading1"/>
      </w:pPr>
      <w:r>
        <w:t>4.0 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443E12" w:rsidTr="00A753D2">
        <w:trPr>
          <w:tblHeader/>
        </w:trPr>
        <w:tc>
          <w:tcPr>
            <w:tcW w:w="2700" w:type="dxa"/>
            <w:shd w:val="clear" w:color="auto" w:fill="C9ECFC" w:themeFill="text2" w:themeFillTint="33"/>
          </w:tcPr>
          <w:p w:rsidR="00443E12" w:rsidRPr="003F5319" w:rsidRDefault="00443E12" w:rsidP="00A753D2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443E12" w:rsidRPr="003F5319" w:rsidRDefault="00443E12" w:rsidP="00A753D2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443E12" w:rsidTr="00A753D2">
        <w:tc>
          <w:tcPr>
            <w:tcW w:w="2700" w:type="dxa"/>
          </w:tcPr>
          <w:p w:rsidR="00443E12" w:rsidRPr="005C3153" w:rsidRDefault="00443E12" w:rsidP="00A753D2">
            <w:pPr>
              <w:rPr>
                <w:b/>
              </w:rPr>
            </w:pPr>
            <w:r>
              <w:rPr>
                <w:b/>
              </w:rPr>
              <w:t>CTO</w:t>
            </w:r>
          </w:p>
        </w:tc>
        <w:tc>
          <w:tcPr>
            <w:tcW w:w="6840" w:type="dxa"/>
          </w:tcPr>
          <w:p w:rsidR="00443E12" w:rsidRPr="00542493" w:rsidRDefault="00443E12" w:rsidP="00A753D2">
            <w:pPr>
              <w:tabs>
                <w:tab w:val="left" w:pos="2625"/>
              </w:tabs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Human Cells, Tissues and Organs</w:t>
            </w:r>
          </w:p>
        </w:tc>
      </w:tr>
      <w:tr w:rsidR="00443E12" w:rsidTr="00A753D2">
        <w:tc>
          <w:tcPr>
            <w:tcW w:w="2700" w:type="dxa"/>
          </w:tcPr>
          <w:p w:rsidR="00443E12" w:rsidRDefault="00443E12" w:rsidP="00A753D2">
            <w:pPr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6840" w:type="dxa"/>
          </w:tcPr>
          <w:p w:rsidR="00443E12" w:rsidRPr="004F2F45" w:rsidRDefault="00443E12" w:rsidP="00A753D2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M</w:t>
            </w:r>
            <w:r w:rsidRPr="004F2F45">
              <w:rPr>
                <w:rFonts w:ascii="Calibri Light" w:hAnsi="Calibri Light"/>
              </w:rPr>
              <w:t>eans any article, instrument, apparatus or contrivance, including any</w:t>
            </w:r>
            <w:r>
              <w:rPr>
                <w:rFonts w:ascii="Calibri Light" w:hAnsi="Calibri Light"/>
              </w:rPr>
              <w:t xml:space="preserve"> </w:t>
            </w:r>
            <w:r w:rsidRPr="004F2F45">
              <w:rPr>
                <w:rFonts w:ascii="Calibri Light" w:hAnsi="Calibri Light"/>
              </w:rPr>
              <w:t>component, part or accessory thereof, manufactured, sold or represented for use in:</w:t>
            </w:r>
          </w:p>
          <w:p w:rsidR="00443E12" w:rsidRPr="004F2F45" w:rsidRDefault="00443E12" w:rsidP="00A753D2">
            <w:pPr>
              <w:ind w:left="720"/>
              <w:rPr>
                <w:rFonts w:ascii="Calibri Light" w:hAnsi="Calibri Light"/>
              </w:rPr>
            </w:pPr>
            <w:r w:rsidRPr="004F2F45">
              <w:rPr>
                <w:rFonts w:ascii="Calibri Light" w:hAnsi="Calibri Light"/>
              </w:rPr>
              <w:t>a) the diagnosis, treatment, mitigation or prevention of a disease, disorder</w:t>
            </w:r>
            <w:r>
              <w:rPr>
                <w:rFonts w:ascii="Calibri Light" w:hAnsi="Calibri Light"/>
              </w:rPr>
              <w:t xml:space="preserve"> or abnormal physical state, or </w:t>
            </w:r>
            <w:r w:rsidRPr="004F2F45">
              <w:rPr>
                <w:rFonts w:ascii="Calibri Light" w:hAnsi="Calibri Light"/>
              </w:rPr>
              <w:t>its symptoms, in human beings or animals,</w:t>
            </w:r>
          </w:p>
          <w:p w:rsidR="00443E12" w:rsidRPr="004F2F45" w:rsidRDefault="00443E12" w:rsidP="00A753D2">
            <w:pPr>
              <w:ind w:left="720"/>
              <w:rPr>
                <w:rFonts w:ascii="Calibri Light" w:hAnsi="Calibri Light"/>
              </w:rPr>
            </w:pPr>
            <w:r w:rsidRPr="004F2F45">
              <w:rPr>
                <w:rFonts w:ascii="Calibri Light" w:hAnsi="Calibri Light"/>
              </w:rPr>
              <w:t>b) restoring, correcting or modifying a body function or the body structure of human beings or animals,</w:t>
            </w:r>
          </w:p>
          <w:p w:rsidR="00443E12" w:rsidRDefault="00443E12" w:rsidP="00A753D2">
            <w:pPr>
              <w:ind w:left="720"/>
              <w:rPr>
                <w:rFonts w:ascii="Calibri Light" w:hAnsi="Calibri Light"/>
              </w:rPr>
            </w:pPr>
            <w:r w:rsidRPr="004F2F45">
              <w:rPr>
                <w:rFonts w:ascii="Calibri Light" w:hAnsi="Calibri Light"/>
              </w:rPr>
              <w:t>c) the diagnosis of pregnancy in human beings or animals, or</w:t>
            </w:r>
          </w:p>
          <w:p w:rsidR="00443E12" w:rsidRDefault="00443E12" w:rsidP="00A753D2">
            <w:pPr>
              <w:tabs>
                <w:tab w:val="left" w:pos="2625"/>
              </w:tabs>
              <w:rPr>
                <w:rFonts w:ascii="Calibri Light" w:hAnsi="Calibri Light"/>
              </w:rPr>
            </w:pPr>
            <w:r w:rsidRPr="004F2F45">
              <w:rPr>
                <w:rFonts w:ascii="Calibri Light" w:hAnsi="Calibri Light"/>
              </w:rPr>
              <w:t>d) the care of human beings or animals during pregnancy and at an</w:t>
            </w:r>
            <w:r>
              <w:rPr>
                <w:rFonts w:ascii="Calibri Light" w:hAnsi="Calibri Light"/>
              </w:rPr>
              <w:t xml:space="preserve">d after birth of the offspring, </w:t>
            </w:r>
            <w:r w:rsidRPr="004F2F45">
              <w:rPr>
                <w:rFonts w:ascii="Calibri Light" w:hAnsi="Calibri Light"/>
              </w:rPr>
              <w:t>including care of the offspring, and includes a contraceptive device but does not include a drug.</w:t>
            </w:r>
          </w:p>
        </w:tc>
      </w:tr>
      <w:tr w:rsidR="00443E12" w:rsidTr="00A753D2">
        <w:tc>
          <w:tcPr>
            <w:tcW w:w="2700" w:type="dxa"/>
          </w:tcPr>
          <w:p w:rsidR="00443E12" w:rsidRDefault="00443E12" w:rsidP="00A753D2">
            <w:pPr>
              <w:rPr>
                <w:b/>
              </w:rPr>
            </w:pPr>
            <w:r>
              <w:rPr>
                <w:b/>
              </w:rPr>
              <w:t>Drug</w:t>
            </w:r>
          </w:p>
        </w:tc>
        <w:tc>
          <w:tcPr>
            <w:tcW w:w="6840" w:type="dxa"/>
          </w:tcPr>
          <w:p w:rsidR="00443E12" w:rsidRPr="00016332" w:rsidRDefault="00443E12" w:rsidP="00A753D2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</w:t>
            </w:r>
            <w:r w:rsidRPr="00016332">
              <w:rPr>
                <w:rFonts w:ascii="Calibri Light" w:hAnsi="Calibri Light"/>
              </w:rPr>
              <w:t>ncludes any substance or mixture of substances manufactured, sold or represented for use in:</w:t>
            </w:r>
          </w:p>
          <w:p w:rsidR="00443E12" w:rsidRPr="00885117" w:rsidRDefault="00443E12" w:rsidP="00443E12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/>
              </w:rPr>
            </w:pPr>
            <w:r w:rsidRPr="00885117">
              <w:rPr>
                <w:rFonts w:ascii="Calibri Light" w:hAnsi="Calibri Light"/>
              </w:rPr>
              <w:t>the diagnosis, treatment, mitigation or prevention of a disease, disorder or abnormal physical state, or its symptoms, in human beings or animals,</w:t>
            </w:r>
          </w:p>
          <w:p w:rsidR="00443E12" w:rsidRDefault="00443E12" w:rsidP="00443E12">
            <w:pPr>
              <w:pStyle w:val="ListParagraph"/>
              <w:numPr>
                <w:ilvl w:val="0"/>
                <w:numId w:val="18"/>
              </w:numPr>
              <w:rPr>
                <w:rFonts w:ascii="Calibri Light" w:hAnsi="Calibri Light"/>
              </w:rPr>
            </w:pPr>
            <w:r w:rsidRPr="00885117">
              <w:rPr>
                <w:rFonts w:ascii="Calibri Light" w:hAnsi="Calibri Light"/>
              </w:rPr>
              <w:t>restoring, correcting or modifying organic functions in human beings or animals, or</w:t>
            </w:r>
          </w:p>
          <w:p w:rsidR="00443E12" w:rsidRDefault="00443E12" w:rsidP="00A753D2">
            <w:pPr>
              <w:rPr>
                <w:rFonts w:ascii="Calibri Light" w:hAnsi="Calibri Light"/>
              </w:rPr>
            </w:pPr>
            <w:r w:rsidRPr="003849C9">
              <w:rPr>
                <w:rFonts w:ascii="Calibri Light" w:hAnsi="Calibri Light"/>
              </w:rPr>
              <w:lastRenderedPageBreak/>
              <w:t>disinfection in premises in which food is</w:t>
            </w:r>
            <w:r>
              <w:rPr>
                <w:rFonts w:ascii="Calibri Light" w:hAnsi="Calibri Light"/>
              </w:rPr>
              <w:t xml:space="preserve"> manufactured, prepared or kept</w:t>
            </w:r>
          </w:p>
        </w:tc>
      </w:tr>
      <w:tr w:rsidR="00443E12" w:rsidTr="00A753D2">
        <w:tc>
          <w:tcPr>
            <w:tcW w:w="2700" w:type="dxa"/>
          </w:tcPr>
          <w:p w:rsidR="00443E12" w:rsidRDefault="00443E12" w:rsidP="00A753D2">
            <w:proofErr w:type="spellStart"/>
            <w:r w:rsidRPr="005C3153">
              <w:rPr>
                <w:b/>
              </w:rPr>
              <w:lastRenderedPageBreak/>
              <w:t>G</w:t>
            </w:r>
            <w:r>
              <w:rPr>
                <w:b/>
              </w:rPr>
              <w:t>x</w:t>
            </w:r>
            <w:r w:rsidRPr="005C3153">
              <w:rPr>
                <w:b/>
              </w:rPr>
              <w:t>P</w:t>
            </w:r>
            <w:proofErr w:type="spellEnd"/>
          </w:p>
        </w:tc>
        <w:tc>
          <w:tcPr>
            <w:tcW w:w="6840" w:type="dxa"/>
          </w:tcPr>
          <w:p w:rsidR="00443E12" w:rsidRDefault="00443E12" w:rsidP="00A753D2">
            <w:r w:rsidRPr="00BB4364">
              <w:rPr>
                <w:rFonts w:ascii="Calibri Light" w:hAnsi="Calibri Light"/>
              </w:rPr>
              <w:t>Series of laws, regulations and guidance governing the research, development, testing, manufacturing and distribution of pharmaceutical &amp; biopharmaceutical products that constitutes "Good X Practice" (i.e. Good Clinical Practice, Good Laboratory Practice, Good Distribution Practice, Good Manufacturing Practice, Good Documentation Practice and Good Pharmacovigilance Practice) of the business.</w:t>
            </w:r>
          </w:p>
        </w:tc>
      </w:tr>
      <w:tr w:rsidR="00443E12" w:rsidTr="00A753D2">
        <w:tc>
          <w:tcPr>
            <w:tcW w:w="2700" w:type="dxa"/>
          </w:tcPr>
          <w:p w:rsidR="00443E12" w:rsidRPr="005C3153" w:rsidRDefault="00443E12" w:rsidP="00A753D2">
            <w:pPr>
              <w:rPr>
                <w:b/>
              </w:rPr>
            </w:pPr>
            <w:r>
              <w:rPr>
                <w:b/>
              </w:rPr>
              <w:t>Job Description</w:t>
            </w:r>
          </w:p>
        </w:tc>
        <w:tc>
          <w:tcPr>
            <w:tcW w:w="6840" w:type="dxa"/>
          </w:tcPr>
          <w:p w:rsidR="00443E12" w:rsidRPr="00542493" w:rsidRDefault="00443E12" w:rsidP="00A753D2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Summary of the job position, key responsibilities and duties, and key requirements.</w:t>
            </w:r>
          </w:p>
        </w:tc>
      </w:tr>
      <w:tr w:rsidR="00443E12" w:rsidTr="00A753D2">
        <w:tc>
          <w:tcPr>
            <w:tcW w:w="2700" w:type="dxa"/>
          </w:tcPr>
          <w:p w:rsidR="00443E12" w:rsidRDefault="00443E12" w:rsidP="00A753D2">
            <w:r>
              <w:rPr>
                <w:b/>
              </w:rPr>
              <w:t>Medical Device</w:t>
            </w:r>
          </w:p>
        </w:tc>
        <w:tc>
          <w:tcPr>
            <w:tcW w:w="6840" w:type="dxa"/>
          </w:tcPr>
          <w:p w:rsidR="00443E12" w:rsidRDefault="00443E12" w:rsidP="00A753D2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A device within the meaning of the Act </w:t>
            </w:r>
            <w:r w:rsidRPr="006F52DD">
              <w:rPr>
                <w:rFonts w:ascii="Calibri Light" w:hAnsi="Calibri Light"/>
              </w:rPr>
              <w:t>but does not incl</w:t>
            </w:r>
            <w:r>
              <w:rPr>
                <w:rFonts w:ascii="Calibri Light" w:hAnsi="Calibri Light"/>
              </w:rPr>
              <w:t xml:space="preserve">ude any device that is intended </w:t>
            </w:r>
            <w:r w:rsidRPr="006F52DD">
              <w:rPr>
                <w:rFonts w:ascii="Calibri Light" w:hAnsi="Calibri Light"/>
              </w:rPr>
              <w:t>for use in relation to animals.</w:t>
            </w:r>
          </w:p>
          <w:p w:rsidR="00443E12" w:rsidRDefault="00443E12" w:rsidP="00A753D2"/>
        </w:tc>
      </w:tr>
      <w:tr w:rsidR="00443E12" w:rsidTr="00A753D2">
        <w:tc>
          <w:tcPr>
            <w:tcW w:w="2700" w:type="dxa"/>
          </w:tcPr>
          <w:p w:rsidR="00443E12" w:rsidRPr="005C3153" w:rsidRDefault="00443E12" w:rsidP="00A753D2">
            <w:pPr>
              <w:rPr>
                <w:b/>
              </w:rPr>
            </w:pPr>
            <w:r>
              <w:rPr>
                <w:b/>
              </w:rPr>
              <w:t>Natural Health Product (NHP)</w:t>
            </w:r>
          </w:p>
        </w:tc>
        <w:tc>
          <w:tcPr>
            <w:tcW w:w="6840" w:type="dxa"/>
          </w:tcPr>
          <w:p w:rsidR="00443E12" w:rsidRPr="00016332" w:rsidRDefault="00443E12" w:rsidP="00A753D2">
            <w:pPr>
              <w:rPr>
                <w:rFonts w:ascii="Calibri Light" w:hAnsi="Calibri Light"/>
              </w:rPr>
            </w:pPr>
            <w:r w:rsidRPr="00016332">
              <w:rPr>
                <w:rFonts w:ascii="Calibri Light" w:hAnsi="Calibri Light"/>
              </w:rPr>
              <w:t>A substance set out in Schedule 1 of the Regulations</w:t>
            </w:r>
            <w:r>
              <w:rPr>
                <w:rFonts w:ascii="Calibri Light" w:hAnsi="Calibri Light"/>
              </w:rPr>
              <w:t xml:space="preserve"> </w:t>
            </w:r>
            <w:r w:rsidRPr="00016332">
              <w:rPr>
                <w:rFonts w:ascii="Calibri Light" w:hAnsi="Calibri Light"/>
              </w:rPr>
              <w:t>or a combination of substances in which all the medicinal ingredients are substances set out in Schedule 1, a homeopathic medicine or a traditional medicine that is manufactured, sold or represented for use in</w:t>
            </w:r>
          </w:p>
          <w:p w:rsidR="00443E12" w:rsidRPr="003849C9" w:rsidRDefault="00443E12" w:rsidP="00443E12">
            <w:pPr>
              <w:pStyle w:val="ListParagraph"/>
              <w:numPr>
                <w:ilvl w:val="0"/>
                <w:numId w:val="19"/>
              </w:numPr>
              <w:rPr>
                <w:rFonts w:ascii="Calibri Light" w:hAnsi="Calibri Light"/>
              </w:rPr>
            </w:pPr>
            <w:r w:rsidRPr="003849C9">
              <w:rPr>
                <w:rFonts w:ascii="Calibri Light" w:hAnsi="Calibri Light"/>
              </w:rPr>
              <w:t>the diagnosis, treatment, mitigation or prevention of a disease, disorder or abnormal physical state or its symptoms in humans;</w:t>
            </w:r>
          </w:p>
          <w:p w:rsidR="00443E12" w:rsidRPr="003849C9" w:rsidRDefault="00443E12" w:rsidP="00443E12">
            <w:pPr>
              <w:pStyle w:val="ListParagraph"/>
              <w:numPr>
                <w:ilvl w:val="0"/>
                <w:numId w:val="19"/>
              </w:numPr>
              <w:rPr>
                <w:rFonts w:ascii="Calibri Light" w:hAnsi="Calibri Light"/>
              </w:rPr>
            </w:pPr>
            <w:r w:rsidRPr="003849C9">
              <w:rPr>
                <w:rFonts w:ascii="Calibri Light" w:hAnsi="Calibri Light"/>
              </w:rPr>
              <w:t>restoring or correcting organic functions in humans; or</w:t>
            </w:r>
          </w:p>
          <w:p w:rsidR="00443E12" w:rsidRDefault="00443E12" w:rsidP="00A753D2">
            <w:r w:rsidRPr="003849C9">
              <w:rPr>
                <w:rFonts w:ascii="Calibri Light" w:hAnsi="Calibri Light"/>
              </w:rPr>
              <w:t>modifying organic functions in humans, such as modifying those functions in a manner that maintains or promotes health.</w:t>
            </w:r>
          </w:p>
        </w:tc>
      </w:tr>
      <w:tr w:rsidR="00443E12" w:rsidTr="00A753D2">
        <w:tc>
          <w:tcPr>
            <w:tcW w:w="2700" w:type="dxa"/>
          </w:tcPr>
          <w:p w:rsidR="00443E12" w:rsidRDefault="00443E12" w:rsidP="00A753D2">
            <w:r>
              <w:rPr>
                <w:b/>
              </w:rPr>
              <w:t>QA</w:t>
            </w:r>
          </w:p>
        </w:tc>
        <w:tc>
          <w:tcPr>
            <w:tcW w:w="6840" w:type="dxa"/>
          </w:tcPr>
          <w:p w:rsidR="00443E12" w:rsidRDefault="00443E12" w:rsidP="00A753D2">
            <w:r w:rsidRPr="00542493">
              <w:rPr>
                <w:rFonts w:ascii="Calibri Light" w:hAnsi="Calibri Light"/>
              </w:rPr>
              <w:t>Quality assurance, providing confidence that quality requirements will be fulfilled.</w:t>
            </w:r>
          </w:p>
        </w:tc>
      </w:tr>
    </w:tbl>
    <w:p w:rsidR="00443E12" w:rsidRDefault="00443E12" w:rsidP="00443E12"/>
    <w:p w:rsidR="00443E12" w:rsidRDefault="00443E12" w:rsidP="00443E12">
      <w:pPr>
        <w:pStyle w:val="Heading1"/>
      </w:pPr>
      <w:r>
        <w:t>5.0 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443E12" w:rsidTr="00A753D2">
        <w:tc>
          <w:tcPr>
            <w:tcW w:w="2880" w:type="dxa"/>
            <w:shd w:val="clear" w:color="auto" w:fill="C9ECFC" w:themeFill="text2" w:themeFillTint="33"/>
          </w:tcPr>
          <w:p w:rsidR="00443E12" w:rsidRPr="003F5319" w:rsidRDefault="00443E12" w:rsidP="00A753D2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443E12" w:rsidRPr="003F5319" w:rsidRDefault="00443E12" w:rsidP="00A753D2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443E12" w:rsidTr="00A753D2">
        <w:tc>
          <w:tcPr>
            <w:tcW w:w="2880" w:type="dxa"/>
          </w:tcPr>
          <w:p w:rsidR="00443E12" w:rsidRPr="00427BD9" w:rsidRDefault="00443E12" w:rsidP="00A753D2">
            <w:pPr>
              <w:jc w:val="center"/>
              <w:rPr>
                <w:b/>
              </w:rPr>
            </w:pPr>
            <w:r>
              <w:rPr>
                <w:b/>
              </w:rPr>
              <w:t xml:space="preserve">All Employees </w:t>
            </w:r>
          </w:p>
        </w:tc>
        <w:tc>
          <w:tcPr>
            <w:tcW w:w="6660" w:type="dxa"/>
          </w:tcPr>
          <w:p w:rsidR="00443E12" w:rsidRPr="009405DA" w:rsidRDefault="00443E12" w:rsidP="00443E12">
            <w:pPr>
              <w:pStyle w:val="ListParagraph"/>
              <w:numPr>
                <w:ilvl w:val="0"/>
                <w:numId w:val="15"/>
              </w:numPr>
              <w:rPr>
                <w:rFonts w:ascii="Calibri Light" w:hAnsi="Calibri Light"/>
              </w:rPr>
            </w:pPr>
            <w:r w:rsidRPr="009405DA">
              <w:rPr>
                <w:rFonts w:ascii="Calibri Light" w:hAnsi="Calibri Light"/>
              </w:rPr>
              <w:t xml:space="preserve">Responsible for reviewing, accepting and signing their job description </w:t>
            </w:r>
          </w:p>
          <w:p w:rsidR="00443E12" w:rsidRDefault="00443E12" w:rsidP="00443E12">
            <w:pPr>
              <w:pStyle w:val="ListParagraph"/>
              <w:numPr>
                <w:ilvl w:val="0"/>
                <w:numId w:val="15"/>
              </w:numPr>
            </w:pPr>
            <w:r w:rsidRPr="00535CE8">
              <w:rPr>
                <w:rFonts w:ascii="Calibri Light" w:hAnsi="Calibri Light"/>
              </w:rPr>
              <w:t xml:space="preserve">Responsible for ensuring that they receive adequate training  </w:t>
            </w:r>
          </w:p>
        </w:tc>
      </w:tr>
      <w:tr w:rsidR="00443E12" w:rsidTr="00A753D2">
        <w:tc>
          <w:tcPr>
            <w:tcW w:w="2880" w:type="dxa"/>
          </w:tcPr>
          <w:p w:rsidR="00443E12" w:rsidRPr="005C3153" w:rsidDel="00684330" w:rsidRDefault="00443E12" w:rsidP="00A753D2">
            <w:pPr>
              <w:jc w:val="center"/>
              <w:rPr>
                <w:b/>
              </w:rPr>
            </w:pPr>
            <w:r>
              <w:rPr>
                <w:b/>
              </w:rPr>
              <w:t>Functional Manager</w:t>
            </w:r>
          </w:p>
        </w:tc>
        <w:tc>
          <w:tcPr>
            <w:tcW w:w="6660" w:type="dxa"/>
          </w:tcPr>
          <w:p w:rsidR="00443E12" w:rsidRPr="009405DA" w:rsidRDefault="00443E12" w:rsidP="00443E12">
            <w:pPr>
              <w:pStyle w:val="ListParagraph"/>
              <w:numPr>
                <w:ilvl w:val="0"/>
                <w:numId w:val="15"/>
              </w:numPr>
              <w:rPr>
                <w:rFonts w:ascii="Calibri Light" w:hAnsi="Calibri Light"/>
              </w:rPr>
            </w:pPr>
            <w:r w:rsidRPr="009405DA">
              <w:rPr>
                <w:rFonts w:ascii="Calibri Light" w:hAnsi="Calibri Light"/>
              </w:rPr>
              <w:t>Responsible for on-going assessment of the effectiveness of training of their direct reports</w:t>
            </w:r>
          </w:p>
          <w:p w:rsidR="00443E12" w:rsidRPr="009405DA" w:rsidRDefault="00443E12" w:rsidP="00443E12">
            <w:pPr>
              <w:pStyle w:val="ListParagraph"/>
              <w:numPr>
                <w:ilvl w:val="0"/>
                <w:numId w:val="15"/>
              </w:numPr>
              <w:rPr>
                <w:rFonts w:ascii="Calibri Light" w:hAnsi="Calibri Light"/>
              </w:rPr>
            </w:pPr>
            <w:r w:rsidRPr="009405DA">
              <w:rPr>
                <w:rFonts w:ascii="Calibri Light" w:hAnsi="Calibri Light"/>
              </w:rPr>
              <w:t>Responsibl</w:t>
            </w:r>
            <w:r>
              <w:rPr>
                <w:rFonts w:ascii="Calibri Light" w:hAnsi="Calibri Light"/>
              </w:rPr>
              <w:t>e for writing a Job Description</w:t>
            </w:r>
          </w:p>
          <w:p w:rsidR="00443E12" w:rsidRPr="00BA30BE" w:rsidRDefault="00443E12" w:rsidP="00443E12">
            <w:pPr>
              <w:pStyle w:val="ListParagraph"/>
              <w:numPr>
                <w:ilvl w:val="0"/>
                <w:numId w:val="15"/>
              </w:numPr>
              <w:rPr>
                <w:rFonts w:ascii="Calibri Light" w:hAnsi="Calibri Light"/>
              </w:rPr>
            </w:pPr>
            <w:r w:rsidRPr="009405DA">
              <w:rPr>
                <w:rFonts w:ascii="Calibri Light" w:hAnsi="Calibri Light"/>
              </w:rPr>
              <w:t>Responsible for training their employees on job specific requirements and documentation of such training</w:t>
            </w:r>
          </w:p>
        </w:tc>
      </w:tr>
      <w:tr w:rsidR="00443E12" w:rsidTr="00A753D2">
        <w:tc>
          <w:tcPr>
            <w:tcW w:w="2880" w:type="dxa"/>
          </w:tcPr>
          <w:p w:rsidR="00443E12" w:rsidRPr="001C1EC5" w:rsidRDefault="00443E12" w:rsidP="00A753D2">
            <w:pPr>
              <w:jc w:val="center"/>
              <w:rPr>
                <w:b/>
              </w:rPr>
            </w:pPr>
            <w:r>
              <w:rPr>
                <w:b/>
              </w:rPr>
              <w:t>Warehouse Manager</w:t>
            </w:r>
          </w:p>
        </w:tc>
        <w:tc>
          <w:tcPr>
            <w:tcW w:w="6660" w:type="dxa"/>
          </w:tcPr>
          <w:p w:rsidR="00443E12" w:rsidRPr="009405DA" w:rsidRDefault="00443E12" w:rsidP="00A753D2">
            <w:pPr>
              <w:pStyle w:val="ListParagraph"/>
              <w:numPr>
                <w:ilvl w:val="0"/>
                <w:numId w:val="5"/>
              </w:numPr>
              <w:rPr>
                <w:rFonts w:ascii="Calibri Light" w:hAnsi="Calibri Light" w:cs="Arial"/>
              </w:rPr>
            </w:pPr>
            <w:r w:rsidRPr="009405DA">
              <w:rPr>
                <w:rFonts w:ascii="Calibri Light" w:hAnsi="Calibri Light" w:cs="Arial"/>
              </w:rPr>
              <w:t>Responsible for on-going assessment of the effectiveness of training of their direct reports</w:t>
            </w:r>
          </w:p>
          <w:p w:rsidR="00443E12" w:rsidRDefault="00443E12" w:rsidP="00A753D2">
            <w:pPr>
              <w:pStyle w:val="ListParagraph"/>
              <w:numPr>
                <w:ilvl w:val="0"/>
                <w:numId w:val="5"/>
              </w:numPr>
            </w:pPr>
            <w:r w:rsidRPr="009405DA">
              <w:rPr>
                <w:rFonts w:ascii="Calibri Light" w:hAnsi="Calibri Light" w:cs="Arial"/>
              </w:rPr>
              <w:lastRenderedPageBreak/>
              <w:t>Responsible for training their employees on job specific requirements and documentation of such training</w:t>
            </w:r>
          </w:p>
        </w:tc>
      </w:tr>
      <w:tr w:rsidR="00443E12" w:rsidTr="00A753D2">
        <w:tc>
          <w:tcPr>
            <w:tcW w:w="2880" w:type="dxa"/>
          </w:tcPr>
          <w:p w:rsidR="00443E12" w:rsidRDefault="00443E12" w:rsidP="00A753D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Quality </w:t>
            </w:r>
          </w:p>
        </w:tc>
        <w:tc>
          <w:tcPr>
            <w:tcW w:w="6660" w:type="dxa"/>
          </w:tcPr>
          <w:p w:rsidR="00443E12" w:rsidRPr="009405DA" w:rsidRDefault="00443E12" w:rsidP="00443E12">
            <w:pPr>
              <w:pStyle w:val="ListParagraph"/>
              <w:numPr>
                <w:ilvl w:val="0"/>
                <w:numId w:val="15"/>
              </w:numPr>
              <w:rPr>
                <w:rFonts w:ascii="Calibri Light" w:hAnsi="Calibri Light"/>
              </w:rPr>
            </w:pPr>
            <w:r w:rsidRPr="009405DA">
              <w:rPr>
                <w:rFonts w:ascii="Calibri Light" w:hAnsi="Calibri Light"/>
              </w:rPr>
              <w:t xml:space="preserve">Responsible for GMP related training of employees or designating other individuals to conduct this training  </w:t>
            </w:r>
          </w:p>
          <w:p w:rsidR="00443E12" w:rsidRPr="009405DA" w:rsidRDefault="00443E12" w:rsidP="00443E12">
            <w:pPr>
              <w:pStyle w:val="ListParagraph"/>
              <w:numPr>
                <w:ilvl w:val="0"/>
                <w:numId w:val="15"/>
              </w:numPr>
              <w:rPr>
                <w:rFonts w:ascii="Calibri Light" w:hAnsi="Calibri Light"/>
              </w:rPr>
            </w:pPr>
            <w:r w:rsidRPr="009405DA">
              <w:rPr>
                <w:rFonts w:ascii="Calibri Light" w:hAnsi="Calibri Light"/>
              </w:rPr>
              <w:t xml:space="preserve">Responsible for the initial assessment of the effectiveness of training  </w:t>
            </w:r>
          </w:p>
          <w:p w:rsidR="00443E12" w:rsidRPr="009405DA" w:rsidRDefault="00443E12" w:rsidP="00443E12">
            <w:pPr>
              <w:pStyle w:val="ListParagraph"/>
              <w:numPr>
                <w:ilvl w:val="0"/>
                <w:numId w:val="15"/>
              </w:num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Responsible for maintaining </w:t>
            </w:r>
            <w:r w:rsidRPr="009405DA">
              <w:rPr>
                <w:rFonts w:ascii="Calibri Light" w:hAnsi="Calibri Light"/>
              </w:rPr>
              <w:t>Job Descrip</w:t>
            </w:r>
            <w:r>
              <w:rPr>
                <w:rFonts w:ascii="Calibri Light" w:hAnsi="Calibri Light"/>
              </w:rPr>
              <w:t>tions</w:t>
            </w:r>
          </w:p>
          <w:p w:rsidR="00443E12" w:rsidRPr="009405DA" w:rsidRDefault="00443E12" w:rsidP="00443E12">
            <w:pPr>
              <w:pStyle w:val="ListParagraph"/>
              <w:numPr>
                <w:ilvl w:val="0"/>
                <w:numId w:val="15"/>
              </w:numPr>
              <w:rPr>
                <w:rFonts w:ascii="Calibri Light" w:hAnsi="Calibri Light"/>
              </w:rPr>
            </w:pPr>
            <w:r w:rsidRPr="009405DA">
              <w:rPr>
                <w:rFonts w:ascii="Calibri Light" w:hAnsi="Calibri Light"/>
              </w:rPr>
              <w:t>Responsible for preparing and updating training matrices</w:t>
            </w:r>
          </w:p>
          <w:p w:rsidR="00443E12" w:rsidRPr="009405DA" w:rsidRDefault="00443E12" w:rsidP="00A753D2">
            <w:pPr>
              <w:pStyle w:val="ListParagraph"/>
              <w:numPr>
                <w:ilvl w:val="0"/>
                <w:numId w:val="5"/>
              </w:numPr>
              <w:rPr>
                <w:rFonts w:ascii="Calibri Light" w:hAnsi="Calibri Light" w:cs="Arial"/>
              </w:rPr>
            </w:pPr>
            <w:r w:rsidRPr="00F658E2">
              <w:rPr>
                <w:rFonts w:ascii="Calibri Light" w:hAnsi="Calibri Light"/>
              </w:rPr>
              <w:t>Responsible for training on GMP SOPs and Quality Forms</w:t>
            </w:r>
          </w:p>
        </w:tc>
      </w:tr>
    </w:tbl>
    <w:p w:rsidR="00443E12" w:rsidRDefault="00443E12" w:rsidP="00443E12">
      <w:pPr>
        <w:pStyle w:val="Heading1"/>
      </w:pPr>
      <w:r>
        <w:t>6.0</w:t>
      </w:r>
      <w:r>
        <w:tab/>
        <w:t>policy</w:t>
      </w:r>
    </w:p>
    <w:p w:rsidR="00443E12" w:rsidRDefault="00443E12" w:rsidP="00443E12">
      <w:pPr>
        <w:pStyle w:val="Heading2"/>
        <w:numPr>
          <w:ilvl w:val="1"/>
          <w:numId w:val="16"/>
        </w:numPr>
      </w:pPr>
      <w:r>
        <w:tab/>
        <w:t xml:space="preserve">JOB DESCRIPTION  </w:t>
      </w:r>
    </w:p>
    <w:p w:rsidR="00443E12" w:rsidRPr="00BA30BE" w:rsidRDefault="00443E12" w:rsidP="00443E12">
      <w:pPr>
        <w:rPr>
          <w:b/>
        </w:rPr>
      </w:pPr>
      <w:r w:rsidRPr="00BA30BE">
        <w:rPr>
          <w:b/>
        </w:rPr>
        <w:t>Functional Manager shall:</w:t>
      </w:r>
    </w:p>
    <w:p w:rsidR="00443E12" w:rsidRPr="003D2DB2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ind w:right="-432"/>
        <w:rPr>
          <w:rFonts w:cs="Arial"/>
        </w:rPr>
      </w:pPr>
      <w:r w:rsidRPr="003D2DB2">
        <w:rPr>
          <w:rFonts w:cs="Arial"/>
        </w:rPr>
        <w:t>W</w:t>
      </w:r>
      <w:r w:rsidRPr="00BA30BE">
        <w:rPr>
          <w:rFonts w:cs="Arial"/>
        </w:rPr>
        <w:t>rite a Job Description for each job function that is a direct report to him/her.</w:t>
      </w:r>
    </w:p>
    <w:p w:rsidR="00443E12" w:rsidRPr="003D2DB2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ind w:right="-432"/>
        <w:rPr>
          <w:rFonts w:cs="Arial"/>
        </w:rPr>
      </w:pPr>
      <w:r w:rsidRPr="003D2DB2">
        <w:rPr>
          <w:rFonts w:cs="Arial"/>
        </w:rPr>
        <w:t>Provide the</w:t>
      </w:r>
      <w:r w:rsidRPr="00BA30BE">
        <w:rPr>
          <w:rFonts w:cs="Arial"/>
        </w:rPr>
        <w:t xml:space="preserve"> Job Description to each employee to whom the description applies. The employee must read the job description and sign it as evidence that they have accepted these duties. </w:t>
      </w:r>
    </w:p>
    <w:p w:rsidR="00443E12" w:rsidRPr="00BB4364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ind w:right="-432"/>
        <w:rPr>
          <w:rFonts w:cs="Arial"/>
        </w:rPr>
      </w:pPr>
      <w:r w:rsidRPr="003D2DB2">
        <w:rPr>
          <w:rFonts w:cs="Arial"/>
        </w:rPr>
        <w:t>Sign each job description</w:t>
      </w:r>
      <w:r w:rsidRPr="00BA30BE">
        <w:rPr>
          <w:rFonts w:cs="Arial"/>
        </w:rPr>
        <w:t>.</w:t>
      </w:r>
    </w:p>
    <w:p w:rsidR="00443E12" w:rsidRPr="00BB4364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ind w:right="-432"/>
        <w:rPr>
          <w:rFonts w:cs="Arial"/>
        </w:rPr>
      </w:pPr>
      <w:r>
        <w:rPr>
          <w:rFonts w:cs="Arial"/>
        </w:rPr>
        <w:t>Retain t</w:t>
      </w:r>
      <w:r w:rsidRPr="00BA30BE">
        <w:rPr>
          <w:rFonts w:cs="Arial"/>
        </w:rPr>
        <w:t>he or</w:t>
      </w:r>
      <w:r>
        <w:rPr>
          <w:rFonts w:cs="Arial"/>
        </w:rPr>
        <w:t>iginal (signed) Job Description</w:t>
      </w:r>
      <w:r w:rsidRPr="00BA30BE">
        <w:rPr>
          <w:rFonts w:cs="Arial"/>
        </w:rPr>
        <w:t>, with a copy provided to the employee for their records.</w:t>
      </w:r>
    </w:p>
    <w:p w:rsidR="00443E12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ind w:right="-432"/>
        <w:rPr>
          <w:rFonts w:cs="Arial"/>
        </w:rPr>
      </w:pPr>
      <w:r w:rsidRPr="003D2DB2">
        <w:rPr>
          <w:rFonts w:cs="Arial"/>
        </w:rPr>
        <w:t>Update a job description</w:t>
      </w:r>
      <w:r w:rsidRPr="00BA30BE">
        <w:rPr>
          <w:rFonts w:cs="Arial"/>
        </w:rPr>
        <w:t xml:space="preserve"> when there have been major changes to job responsibilities, such as those changes which result in new </w:t>
      </w:r>
      <w:proofErr w:type="spellStart"/>
      <w:r w:rsidRPr="00BA30BE">
        <w:rPr>
          <w:rFonts w:cs="Arial"/>
        </w:rPr>
        <w:t>GxP</w:t>
      </w:r>
      <w:proofErr w:type="spellEnd"/>
      <w:r w:rsidRPr="00BA30BE">
        <w:rPr>
          <w:rFonts w:cs="Arial"/>
        </w:rPr>
        <w:t xml:space="preserve"> responsibilities for an employee.</w:t>
      </w:r>
    </w:p>
    <w:p w:rsidR="00443E12" w:rsidRDefault="00443E12" w:rsidP="00443E12">
      <w:pPr>
        <w:pStyle w:val="Heading2"/>
        <w:numPr>
          <w:ilvl w:val="1"/>
          <w:numId w:val="16"/>
        </w:numPr>
      </w:pPr>
      <w:r>
        <w:rPr>
          <w:rFonts w:cs="Arial"/>
        </w:rPr>
        <w:tab/>
        <w:t>Training MatRices</w:t>
      </w:r>
    </w:p>
    <w:p w:rsidR="00443E12" w:rsidRPr="00BA30BE" w:rsidRDefault="00443E12" w:rsidP="00443E12">
      <w:pPr>
        <w:tabs>
          <w:tab w:val="left" w:pos="567"/>
          <w:tab w:val="left" w:pos="851"/>
        </w:tabs>
        <w:suppressAutoHyphens/>
        <w:spacing w:after="80" w:line="240" w:lineRule="auto"/>
        <w:ind w:right="-432"/>
        <w:jc w:val="both"/>
        <w:rPr>
          <w:rFonts w:cs="Arial"/>
          <w:b/>
        </w:rPr>
      </w:pPr>
      <w:r>
        <w:rPr>
          <w:rFonts w:cs="Arial"/>
          <w:b/>
        </w:rPr>
        <w:t>Quality</w:t>
      </w:r>
      <w:r w:rsidRPr="00BA30BE">
        <w:rPr>
          <w:rFonts w:cs="Arial"/>
          <w:b/>
        </w:rPr>
        <w:t xml:space="preserve"> shall:</w:t>
      </w:r>
    </w:p>
    <w:p w:rsidR="00443E12" w:rsidRPr="00BB4364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ind w:right="-180"/>
        <w:rPr>
          <w:rFonts w:cs="Arial"/>
        </w:rPr>
      </w:pPr>
      <w:r>
        <w:rPr>
          <w:rFonts w:cs="Arial"/>
        </w:rPr>
        <w:t>Determine</w:t>
      </w:r>
      <w:r w:rsidRPr="00BB4364">
        <w:rPr>
          <w:rFonts w:cs="Arial"/>
        </w:rPr>
        <w:t xml:space="preserve"> the training requirements for his/her employees, based on job function and tasks to be performed. </w:t>
      </w:r>
    </w:p>
    <w:p w:rsidR="00443E12" w:rsidRPr="00BB4364" w:rsidRDefault="00443E12" w:rsidP="00443E12">
      <w:pPr>
        <w:pStyle w:val="ListParagraph"/>
        <w:suppressAutoHyphens/>
        <w:spacing w:after="80"/>
        <w:ind w:right="-180" w:hanging="720"/>
        <w:rPr>
          <w:rFonts w:cs="Arial"/>
        </w:rPr>
      </w:pPr>
    </w:p>
    <w:p w:rsidR="00443E12" w:rsidRPr="00527F3B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ind w:right="-180"/>
        <w:rPr>
          <w:rFonts w:cs="Arial"/>
        </w:rPr>
      </w:pPr>
      <w:r w:rsidRPr="00527F3B">
        <w:rPr>
          <w:rFonts w:cs="Arial"/>
        </w:rPr>
        <w:t xml:space="preserve">Identify and maintain GMP training needs as per </w:t>
      </w:r>
      <w:r w:rsidRPr="00F2223E">
        <w:rPr>
          <w:rFonts w:cs="Arial"/>
          <w:b/>
        </w:rPr>
        <w:t>OPS07-QF42 Training Matrix</w:t>
      </w:r>
      <w:r w:rsidRPr="00527F3B">
        <w:rPr>
          <w:rFonts w:cs="Arial"/>
        </w:rPr>
        <w:t xml:space="preserve">.  </w:t>
      </w:r>
    </w:p>
    <w:p w:rsidR="00443E12" w:rsidRDefault="00443E12" w:rsidP="00443E12">
      <w:pPr>
        <w:pStyle w:val="Heading2"/>
        <w:numPr>
          <w:ilvl w:val="1"/>
          <w:numId w:val="16"/>
        </w:numPr>
      </w:pPr>
      <w:r>
        <w:t xml:space="preserve">     IN-HOUSE SOP TRAINING </w:t>
      </w:r>
    </w:p>
    <w:p w:rsidR="00443E12" w:rsidRPr="00BA30BE" w:rsidRDefault="00443E12" w:rsidP="00443E12">
      <w:pPr>
        <w:tabs>
          <w:tab w:val="left" w:pos="567"/>
          <w:tab w:val="left" w:pos="851"/>
        </w:tabs>
        <w:suppressAutoHyphens/>
        <w:spacing w:after="80" w:line="240" w:lineRule="auto"/>
        <w:ind w:right="-432"/>
        <w:jc w:val="both"/>
        <w:rPr>
          <w:rFonts w:cs="Arial"/>
          <w:b/>
        </w:rPr>
      </w:pPr>
      <w:r w:rsidRPr="00BA30BE">
        <w:rPr>
          <w:rFonts w:cs="Arial"/>
          <w:b/>
        </w:rPr>
        <w:t>Quality shall:</w:t>
      </w:r>
    </w:p>
    <w:p w:rsidR="00443E12" w:rsidRPr="00BA30BE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rPr>
          <w:rFonts w:cs="Arial"/>
        </w:rPr>
      </w:pPr>
      <w:r>
        <w:rPr>
          <w:rFonts w:cs="Arial"/>
        </w:rPr>
        <w:t>Conduct t</w:t>
      </w:r>
      <w:r w:rsidRPr="00BA30BE">
        <w:rPr>
          <w:rFonts w:cs="Arial"/>
        </w:rPr>
        <w:t xml:space="preserve">raining </w:t>
      </w:r>
      <w:r>
        <w:rPr>
          <w:rFonts w:cs="Arial"/>
        </w:rPr>
        <w:t>by</w:t>
      </w:r>
      <w:r w:rsidRPr="00BA30BE">
        <w:rPr>
          <w:rFonts w:cs="Arial"/>
        </w:rPr>
        <w:t xml:space="preserve"> group presentations (training sessions), </w:t>
      </w:r>
      <w:r>
        <w:rPr>
          <w:rFonts w:cs="Arial"/>
        </w:rPr>
        <w:t>assign a self-</w:t>
      </w:r>
      <w:r w:rsidRPr="00BA30BE">
        <w:rPr>
          <w:rFonts w:cs="Arial"/>
        </w:rPr>
        <w:t xml:space="preserve">reading </w:t>
      </w:r>
      <w:r>
        <w:rPr>
          <w:rFonts w:cs="Arial"/>
        </w:rPr>
        <w:t xml:space="preserve">of </w:t>
      </w:r>
      <w:r w:rsidRPr="00BA30BE">
        <w:rPr>
          <w:rFonts w:cs="Arial"/>
        </w:rPr>
        <w:t>SOP</w:t>
      </w:r>
      <w:r>
        <w:rPr>
          <w:rFonts w:cs="Arial"/>
        </w:rPr>
        <w:t>s</w:t>
      </w:r>
      <w:r w:rsidRPr="00BA30BE">
        <w:rPr>
          <w:rFonts w:cs="Arial"/>
        </w:rPr>
        <w:t xml:space="preserve">, or hands-on training. In all cases, training should be documented using </w:t>
      </w:r>
      <w:r w:rsidRPr="00BA30BE">
        <w:rPr>
          <w:rFonts w:cs="Arial"/>
          <w:b/>
        </w:rPr>
        <w:t>OPS07</w:t>
      </w:r>
      <w:r>
        <w:rPr>
          <w:rFonts w:cs="Arial"/>
          <w:b/>
        </w:rPr>
        <w:noBreakHyphen/>
      </w:r>
      <w:r w:rsidRPr="00BA30BE">
        <w:rPr>
          <w:rFonts w:cs="Arial"/>
          <w:b/>
        </w:rPr>
        <w:t>QF51 Training Verification Form and/or OPS07-QF52 Group Training Verification Form</w:t>
      </w:r>
      <w:r w:rsidRPr="00BA30BE">
        <w:rPr>
          <w:rFonts w:cs="Arial"/>
        </w:rPr>
        <w:t>.</w:t>
      </w:r>
    </w:p>
    <w:p w:rsidR="00443E12" w:rsidRPr="00BA30BE" w:rsidRDefault="00443E12" w:rsidP="00443E12">
      <w:pPr>
        <w:pStyle w:val="ListParagraph"/>
        <w:suppressAutoHyphens/>
        <w:spacing w:after="80"/>
        <w:ind w:hanging="720"/>
        <w:rPr>
          <w:rFonts w:cs="Arial"/>
        </w:rPr>
      </w:pPr>
    </w:p>
    <w:p w:rsidR="00443E12" w:rsidRPr="00BA30BE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rPr>
          <w:rFonts w:cs="Arial"/>
        </w:rPr>
      </w:pPr>
      <w:r>
        <w:rPr>
          <w:rFonts w:cs="Arial"/>
        </w:rPr>
        <w:t>Ensure that e</w:t>
      </w:r>
      <w:r w:rsidRPr="00BA30BE">
        <w:rPr>
          <w:rFonts w:cs="Arial"/>
        </w:rPr>
        <w:t>mployees responsible for training must have the background, experience and technical knowledge in the subject matter and in training practices and techniques, appropriate to the training objective.</w:t>
      </w:r>
    </w:p>
    <w:p w:rsidR="00443E12" w:rsidRPr="00BA30BE" w:rsidRDefault="00443E12" w:rsidP="00443E12">
      <w:pPr>
        <w:pStyle w:val="ListParagraph"/>
        <w:suppressAutoHyphens/>
        <w:spacing w:after="80"/>
        <w:ind w:hanging="720"/>
        <w:rPr>
          <w:rFonts w:cs="Arial"/>
        </w:rPr>
      </w:pPr>
    </w:p>
    <w:p w:rsidR="00443E12" w:rsidRPr="00BA30BE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rPr>
          <w:rFonts w:cs="Arial"/>
        </w:rPr>
      </w:pPr>
      <w:r>
        <w:rPr>
          <w:rFonts w:cs="Arial"/>
        </w:rPr>
        <w:t>Provide employees that have access to emails</w:t>
      </w:r>
      <w:r w:rsidRPr="00BA30BE">
        <w:rPr>
          <w:rFonts w:cs="Arial"/>
        </w:rPr>
        <w:t xml:space="preserve"> </w:t>
      </w:r>
      <w:r>
        <w:rPr>
          <w:rFonts w:cs="Arial"/>
        </w:rPr>
        <w:t>i</w:t>
      </w:r>
      <w:r w:rsidRPr="00BA30BE">
        <w:rPr>
          <w:rFonts w:cs="Arial"/>
        </w:rPr>
        <w:t>f training consists of reading an SOP, an email including:</w:t>
      </w:r>
    </w:p>
    <w:p w:rsidR="00443E12" w:rsidRPr="00BA30BE" w:rsidRDefault="00443E12" w:rsidP="00443E12">
      <w:pPr>
        <w:pStyle w:val="ListParagraph"/>
        <w:tabs>
          <w:tab w:val="left" w:pos="567"/>
          <w:tab w:val="left" w:pos="851"/>
        </w:tabs>
        <w:suppressAutoHyphens/>
        <w:spacing w:after="80"/>
        <w:ind w:left="1440"/>
        <w:rPr>
          <w:rFonts w:cs="Arial"/>
        </w:rPr>
      </w:pPr>
    </w:p>
    <w:p w:rsidR="00443E12" w:rsidRPr="00BA30BE" w:rsidRDefault="00443E12" w:rsidP="00443E12">
      <w:pPr>
        <w:pStyle w:val="ListParagraph"/>
        <w:numPr>
          <w:ilvl w:val="3"/>
          <w:numId w:val="16"/>
        </w:numPr>
        <w:suppressAutoHyphens/>
        <w:spacing w:after="80"/>
        <w:ind w:left="1620" w:hanging="900"/>
        <w:rPr>
          <w:rFonts w:cs="Arial"/>
        </w:rPr>
      </w:pPr>
      <w:r w:rsidRPr="00BA30BE">
        <w:rPr>
          <w:rFonts w:cs="Arial"/>
        </w:rPr>
        <w:t>List of training documents to review (SOPs, forms, etc</w:t>
      </w:r>
      <w:r>
        <w:rPr>
          <w:rFonts w:cs="Arial"/>
        </w:rPr>
        <w:t>.</w:t>
      </w:r>
      <w:r w:rsidRPr="00BA30BE">
        <w:rPr>
          <w:rFonts w:cs="Arial"/>
        </w:rPr>
        <w:t xml:space="preserve">) </w:t>
      </w:r>
    </w:p>
    <w:p w:rsidR="00443E12" w:rsidRPr="00BA30BE" w:rsidRDefault="00443E12" w:rsidP="00443E12">
      <w:pPr>
        <w:pStyle w:val="ListParagraph"/>
        <w:numPr>
          <w:ilvl w:val="3"/>
          <w:numId w:val="16"/>
        </w:numPr>
        <w:suppressAutoHyphens/>
        <w:spacing w:after="80"/>
        <w:ind w:left="1620" w:hanging="900"/>
        <w:rPr>
          <w:rFonts w:cs="Arial"/>
        </w:rPr>
      </w:pPr>
      <w:r w:rsidRPr="00BA30BE">
        <w:rPr>
          <w:rFonts w:cs="Arial"/>
        </w:rPr>
        <w:t>Instructions (if applicable)</w:t>
      </w:r>
    </w:p>
    <w:p w:rsidR="00443E12" w:rsidRPr="00BA30BE" w:rsidRDefault="00443E12" w:rsidP="00443E12">
      <w:pPr>
        <w:pStyle w:val="ListParagraph"/>
        <w:numPr>
          <w:ilvl w:val="3"/>
          <w:numId w:val="16"/>
        </w:numPr>
        <w:suppressAutoHyphens/>
        <w:spacing w:after="80"/>
        <w:ind w:left="1620" w:hanging="900"/>
        <w:rPr>
          <w:rFonts w:cs="Arial"/>
        </w:rPr>
      </w:pPr>
      <w:r w:rsidRPr="00BA30BE">
        <w:rPr>
          <w:rFonts w:cs="Arial"/>
        </w:rPr>
        <w:t>Due date for completing training</w:t>
      </w:r>
    </w:p>
    <w:p w:rsidR="00443E12" w:rsidRPr="00BA30BE" w:rsidRDefault="00443E12" w:rsidP="00443E12">
      <w:pPr>
        <w:pStyle w:val="ListParagraph"/>
        <w:tabs>
          <w:tab w:val="left" w:pos="567"/>
          <w:tab w:val="left" w:pos="851"/>
        </w:tabs>
        <w:suppressAutoHyphens/>
        <w:spacing w:after="80"/>
        <w:ind w:left="1440"/>
        <w:rPr>
          <w:rFonts w:cs="Arial"/>
        </w:rPr>
      </w:pPr>
    </w:p>
    <w:p w:rsidR="00443E12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rPr>
          <w:rFonts w:cs="Arial"/>
        </w:rPr>
      </w:pPr>
      <w:r w:rsidRPr="00391B56">
        <w:rPr>
          <w:rFonts w:cs="Arial"/>
        </w:rPr>
        <w:t>Arrange and conduct training f</w:t>
      </w:r>
      <w:r w:rsidRPr="00BA30BE">
        <w:rPr>
          <w:rFonts w:cs="Arial"/>
        </w:rPr>
        <w:t>or employees that do not have access to email</w:t>
      </w:r>
      <w:r>
        <w:rPr>
          <w:rFonts w:cs="Arial"/>
        </w:rPr>
        <w:t>.</w:t>
      </w:r>
    </w:p>
    <w:p w:rsidR="00443E12" w:rsidRDefault="00443E12" w:rsidP="00443E12">
      <w:pPr>
        <w:pStyle w:val="ListParagraph"/>
        <w:suppressAutoHyphens/>
        <w:spacing w:after="80"/>
        <w:ind w:hanging="720"/>
        <w:rPr>
          <w:rFonts w:cs="Arial"/>
        </w:rPr>
      </w:pPr>
    </w:p>
    <w:p w:rsidR="00443E12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rPr>
          <w:rFonts w:cs="Arial"/>
        </w:rPr>
      </w:pPr>
      <w:r>
        <w:rPr>
          <w:rFonts w:cs="Arial"/>
        </w:rPr>
        <w:t>If employees are training by self-reading, a maximum of ten SOPs can only be trained on in a day. If training is provided as a formal presentation and key points are summarized, depending on the complexity of the SOP, up to twenty SOPs can be trained on.</w:t>
      </w:r>
    </w:p>
    <w:p w:rsidR="00443E12" w:rsidRPr="00BA30BE" w:rsidRDefault="00443E12" w:rsidP="00443E12">
      <w:pPr>
        <w:pStyle w:val="ListParagraph"/>
        <w:suppressAutoHyphens/>
        <w:spacing w:after="80"/>
        <w:ind w:hanging="720"/>
        <w:rPr>
          <w:rFonts w:cs="Arial"/>
        </w:rPr>
      </w:pPr>
    </w:p>
    <w:p w:rsidR="00443E12" w:rsidRPr="00BA30BE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rPr>
          <w:rFonts w:cs="Arial"/>
        </w:rPr>
      </w:pPr>
      <w:r>
        <w:rPr>
          <w:rFonts w:cs="Arial"/>
        </w:rPr>
        <w:t>Assess the e</w:t>
      </w:r>
      <w:r w:rsidRPr="00BA30BE">
        <w:rPr>
          <w:rFonts w:cs="Arial"/>
        </w:rPr>
        <w:t>ff</w:t>
      </w:r>
      <w:r>
        <w:rPr>
          <w:rFonts w:cs="Arial"/>
        </w:rPr>
        <w:t>ectiveness of training</w:t>
      </w:r>
      <w:r w:rsidRPr="00BA30BE">
        <w:rPr>
          <w:rFonts w:cs="Arial"/>
        </w:rPr>
        <w:t xml:space="preserve">. The primary means for assessing the effectiveness of training will be a written test. Job shadowing may also be employed as a means of assessing </w:t>
      </w:r>
      <w:proofErr w:type="gramStart"/>
      <w:r w:rsidRPr="00BA30BE">
        <w:rPr>
          <w:rFonts w:cs="Arial"/>
        </w:rPr>
        <w:t>whether or not</w:t>
      </w:r>
      <w:proofErr w:type="gramEnd"/>
      <w:r w:rsidRPr="00BA30BE">
        <w:rPr>
          <w:rFonts w:cs="Arial"/>
        </w:rPr>
        <w:t xml:space="preserve"> the employee is able to carry out the requirements of the SOP. Verbal assessment or other methods may also be used, as required.</w:t>
      </w:r>
    </w:p>
    <w:p w:rsidR="00443E12" w:rsidRPr="00BA30BE" w:rsidRDefault="00443E12" w:rsidP="00443E12">
      <w:pPr>
        <w:pStyle w:val="ListParagraph"/>
        <w:suppressAutoHyphens/>
        <w:spacing w:after="80"/>
        <w:ind w:hanging="720"/>
        <w:rPr>
          <w:rFonts w:cs="Arial"/>
        </w:rPr>
      </w:pPr>
    </w:p>
    <w:p w:rsidR="00443E12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rPr>
          <w:rFonts w:cs="Arial"/>
        </w:rPr>
      </w:pPr>
      <w:r>
        <w:rPr>
          <w:rFonts w:cs="Arial"/>
        </w:rPr>
        <w:t xml:space="preserve">Train all </w:t>
      </w:r>
      <w:r w:rsidRPr="00BA30BE">
        <w:rPr>
          <w:rFonts w:cs="Arial"/>
        </w:rPr>
        <w:t>staff prior to the effective date of an SOP. If training takes place after the effective date for an existing employee, an explanation must be provided (e.g. sick leave, vacation</w:t>
      </w:r>
      <w:r>
        <w:rPr>
          <w:rFonts w:cs="Arial"/>
        </w:rPr>
        <w:t>, etc.</w:t>
      </w:r>
      <w:r w:rsidRPr="00BA30BE">
        <w:rPr>
          <w:rFonts w:cs="Arial"/>
        </w:rPr>
        <w:t>).</w:t>
      </w:r>
    </w:p>
    <w:p w:rsidR="00443E12" w:rsidRPr="001D78BD" w:rsidRDefault="00443E12" w:rsidP="00443E12">
      <w:pPr>
        <w:pStyle w:val="ListParagraph"/>
        <w:ind w:hanging="720"/>
        <w:rPr>
          <w:rFonts w:cs="Arial"/>
        </w:rPr>
      </w:pPr>
    </w:p>
    <w:p w:rsidR="00443E12" w:rsidRPr="00BA30BE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rPr>
          <w:rFonts w:cs="Arial"/>
        </w:rPr>
      </w:pPr>
      <w:r>
        <w:rPr>
          <w:rFonts w:cs="Arial"/>
        </w:rPr>
        <w:t>If an employee is off from work for extended periods of time such as sick leave, maternity, etc., re-training on SOPs and GMP training must be provided.</w:t>
      </w:r>
    </w:p>
    <w:p w:rsidR="00443E12" w:rsidRPr="00BA30BE" w:rsidRDefault="00443E12" w:rsidP="00443E12">
      <w:pPr>
        <w:pStyle w:val="ListParagraph"/>
        <w:suppressAutoHyphens/>
        <w:spacing w:after="80"/>
        <w:ind w:hanging="720"/>
        <w:rPr>
          <w:rFonts w:cs="Arial"/>
        </w:rPr>
      </w:pPr>
    </w:p>
    <w:p w:rsidR="00443E12" w:rsidRPr="00BA30BE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rPr>
          <w:rFonts w:cs="Arial"/>
        </w:rPr>
      </w:pPr>
      <w:r>
        <w:rPr>
          <w:rFonts w:cs="Arial"/>
        </w:rPr>
        <w:t>Retrain staff</w:t>
      </w:r>
      <w:r w:rsidRPr="00BA30BE">
        <w:rPr>
          <w:rFonts w:cs="Arial"/>
        </w:rPr>
        <w:t xml:space="preserve"> on SOPs </w:t>
      </w:r>
      <w:r>
        <w:rPr>
          <w:rFonts w:cs="Arial"/>
        </w:rPr>
        <w:t>every two</w:t>
      </w:r>
      <w:r w:rsidRPr="00BA30BE">
        <w:rPr>
          <w:rFonts w:cs="Arial"/>
        </w:rPr>
        <w:t xml:space="preserve"> years and must be documented.  A two-week window from the pre-established due date for re-training will be allowed </w:t>
      </w:r>
      <w:proofErr w:type="gramStart"/>
      <w:r w:rsidRPr="00BA30BE">
        <w:rPr>
          <w:rFonts w:cs="Arial"/>
        </w:rPr>
        <w:t>in order to</w:t>
      </w:r>
      <w:proofErr w:type="gramEnd"/>
      <w:r w:rsidRPr="00BA30BE">
        <w:rPr>
          <w:rFonts w:cs="Arial"/>
        </w:rPr>
        <w:t xml:space="preserve"> accommodate employees’ schedules and unforeseen situations.</w:t>
      </w:r>
    </w:p>
    <w:p w:rsidR="00443E12" w:rsidRDefault="00443E12" w:rsidP="00443E12">
      <w:pPr>
        <w:pStyle w:val="Heading2"/>
        <w:numPr>
          <w:ilvl w:val="1"/>
          <w:numId w:val="16"/>
        </w:numPr>
      </w:pPr>
      <w:r>
        <w:t xml:space="preserve">     Annual GMP Training  </w:t>
      </w:r>
    </w:p>
    <w:p w:rsidR="00443E12" w:rsidRPr="00BA30BE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ind w:right="-90"/>
        <w:rPr>
          <w:rFonts w:cs="Arial"/>
        </w:rPr>
      </w:pPr>
      <w:r w:rsidRPr="00480ACF">
        <w:rPr>
          <w:rFonts w:cs="Arial"/>
        </w:rPr>
        <w:t xml:space="preserve"> </w:t>
      </w:r>
      <w:r w:rsidRPr="00BA30BE">
        <w:rPr>
          <w:rFonts w:cs="Arial"/>
        </w:rPr>
        <w:t>Retraining on GMPs will take place annually.</w:t>
      </w:r>
    </w:p>
    <w:p w:rsidR="00443E12" w:rsidRPr="00BA30BE" w:rsidRDefault="00443E12" w:rsidP="00443E12">
      <w:pPr>
        <w:pStyle w:val="ListParagraph"/>
        <w:suppressAutoHyphens/>
        <w:spacing w:after="80"/>
        <w:ind w:right="-90" w:hanging="720"/>
        <w:rPr>
          <w:rFonts w:cs="Arial"/>
        </w:rPr>
      </w:pPr>
    </w:p>
    <w:p w:rsidR="00443E12" w:rsidRPr="00BA30BE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ind w:right="-90"/>
        <w:rPr>
          <w:rFonts w:cs="Arial"/>
        </w:rPr>
      </w:pPr>
      <w:r w:rsidRPr="00BA30BE">
        <w:rPr>
          <w:rFonts w:cs="Arial"/>
        </w:rPr>
        <w:t xml:space="preserve">GMP training sessions will be scheduled throughout the year, and all staff will be expected to attend one of the sessions. Each employee will be assigned to a training session every year; however, it is expected that due to scheduling restrictions, some employees might need to attend one of the alternate sessions.  This will be acceptable </w:t>
      </w:r>
      <w:proofErr w:type="gramStart"/>
      <w:r w:rsidRPr="00BA30BE">
        <w:rPr>
          <w:rFonts w:cs="Arial"/>
        </w:rPr>
        <w:t>as long as</w:t>
      </w:r>
      <w:proofErr w:type="gramEnd"/>
      <w:r w:rsidRPr="00BA30BE">
        <w:rPr>
          <w:rFonts w:cs="Arial"/>
        </w:rPr>
        <w:t xml:space="preserve"> training is completed once a year.</w:t>
      </w:r>
    </w:p>
    <w:p w:rsidR="00443E12" w:rsidRPr="00567DF8" w:rsidRDefault="00443E12" w:rsidP="00443E12">
      <w:pPr>
        <w:pStyle w:val="ListParagraph"/>
        <w:suppressAutoHyphens/>
        <w:spacing w:after="80"/>
        <w:ind w:hanging="720"/>
        <w:jc w:val="both"/>
        <w:rPr>
          <w:rFonts w:cs="Arial"/>
          <w:lang w:val="en-CA"/>
        </w:rPr>
      </w:pPr>
    </w:p>
    <w:p w:rsidR="00443E12" w:rsidRPr="00F64FC5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ind w:right="-432"/>
        <w:rPr>
          <w:rFonts w:cs="Arial"/>
        </w:rPr>
      </w:pPr>
      <w:r w:rsidRPr="00BA30BE">
        <w:rPr>
          <w:rFonts w:cs="Arial"/>
        </w:rPr>
        <w:t xml:space="preserve">New employees will be expected to attend the first session to take place </w:t>
      </w:r>
      <w:r>
        <w:rPr>
          <w:rFonts w:cs="Arial"/>
        </w:rPr>
        <w:t>before</w:t>
      </w:r>
      <w:r w:rsidRPr="00BA30BE">
        <w:rPr>
          <w:rFonts w:cs="Arial"/>
        </w:rPr>
        <w:t xml:space="preserve"> the start of their employment. </w:t>
      </w:r>
    </w:p>
    <w:p w:rsidR="00443E12" w:rsidRDefault="00443E12" w:rsidP="00443E12">
      <w:pPr>
        <w:pStyle w:val="Heading2"/>
        <w:numPr>
          <w:ilvl w:val="1"/>
          <w:numId w:val="16"/>
        </w:numPr>
      </w:pPr>
      <w:r>
        <w:t xml:space="preserve">     Training on Client procedures </w:t>
      </w:r>
    </w:p>
    <w:p w:rsidR="00443E12" w:rsidRPr="00BA30BE" w:rsidRDefault="00443E12" w:rsidP="00443E12">
      <w:pPr>
        <w:tabs>
          <w:tab w:val="left" w:pos="567"/>
          <w:tab w:val="left" w:pos="851"/>
        </w:tabs>
        <w:suppressAutoHyphens/>
        <w:spacing w:after="80"/>
        <w:ind w:right="-432"/>
        <w:rPr>
          <w:rFonts w:cs="Arial"/>
          <w:b/>
        </w:rPr>
      </w:pPr>
      <w:r w:rsidRPr="00BA30BE">
        <w:rPr>
          <w:rFonts w:cs="Arial"/>
          <w:b/>
        </w:rPr>
        <w:t>Quality shall:</w:t>
      </w:r>
    </w:p>
    <w:p w:rsidR="00443E12" w:rsidRPr="003D2DB2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ind w:right="-432"/>
        <w:rPr>
          <w:rFonts w:cs="Arial"/>
        </w:rPr>
      </w:pPr>
      <w:r w:rsidRPr="00F75385">
        <w:rPr>
          <w:rFonts w:cs="Arial"/>
        </w:rPr>
        <w:t xml:space="preserve">Train </w:t>
      </w:r>
      <w:r>
        <w:rPr>
          <w:rFonts w:cs="Arial"/>
        </w:rPr>
        <w:t xml:space="preserve">applicable employees </w:t>
      </w:r>
      <w:r w:rsidRPr="00F75385">
        <w:rPr>
          <w:rFonts w:cs="Arial"/>
        </w:rPr>
        <w:t>on client procedures before th</w:t>
      </w:r>
      <w:r>
        <w:rPr>
          <w:rFonts w:cs="Arial"/>
        </w:rPr>
        <w:t xml:space="preserve">e procedure is </w:t>
      </w:r>
      <w:proofErr w:type="gramStart"/>
      <w:r>
        <w:rPr>
          <w:rFonts w:cs="Arial"/>
        </w:rPr>
        <w:t xml:space="preserve">implemented, </w:t>
      </w:r>
      <w:r w:rsidRPr="00F658E2">
        <w:rPr>
          <w:rFonts w:cs="Arial"/>
        </w:rPr>
        <w:t>before</w:t>
      </w:r>
      <w:proofErr w:type="gramEnd"/>
      <w:r w:rsidRPr="00F658E2">
        <w:rPr>
          <w:rFonts w:cs="Arial"/>
        </w:rPr>
        <w:t xml:space="preserve"> the employee is expected to conduct the activities covered by the procedure.</w:t>
      </w:r>
    </w:p>
    <w:p w:rsidR="00443E12" w:rsidRPr="003D2DB2" w:rsidRDefault="00443E12" w:rsidP="00443E12">
      <w:pPr>
        <w:pStyle w:val="ListParagraph"/>
        <w:ind w:hanging="720"/>
        <w:rPr>
          <w:rFonts w:cs="Arial"/>
        </w:rPr>
      </w:pPr>
    </w:p>
    <w:p w:rsidR="00443E12" w:rsidRPr="00BA30BE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ind w:right="-432"/>
        <w:rPr>
          <w:rFonts w:cs="Arial"/>
        </w:rPr>
      </w:pPr>
      <w:r>
        <w:rPr>
          <w:rFonts w:cs="Arial"/>
        </w:rPr>
        <w:t>Re-train employee as required.</w:t>
      </w:r>
    </w:p>
    <w:p w:rsidR="00443E12" w:rsidRPr="00BA30BE" w:rsidRDefault="00443E12" w:rsidP="00443E12">
      <w:pPr>
        <w:pStyle w:val="ListParagraph"/>
        <w:suppressAutoHyphens/>
        <w:spacing w:after="80"/>
        <w:ind w:right="-432" w:hanging="720"/>
        <w:rPr>
          <w:rFonts w:cs="Arial"/>
        </w:rPr>
      </w:pPr>
    </w:p>
    <w:p w:rsidR="00443E12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ind w:right="-90"/>
        <w:rPr>
          <w:rFonts w:cs="Arial"/>
        </w:rPr>
      </w:pPr>
      <w:r>
        <w:rPr>
          <w:rFonts w:cs="Arial"/>
        </w:rPr>
        <w:t>Document t</w:t>
      </w:r>
      <w:r w:rsidRPr="00BA30BE">
        <w:rPr>
          <w:rFonts w:cs="Arial"/>
        </w:rPr>
        <w:t>raining on</w:t>
      </w:r>
      <w:r>
        <w:rPr>
          <w:rFonts w:cs="Arial"/>
        </w:rPr>
        <w:t xml:space="preserve"> </w:t>
      </w:r>
      <w:r w:rsidRPr="00BA30BE">
        <w:rPr>
          <w:rFonts w:cs="Arial"/>
          <w:b/>
        </w:rPr>
        <w:t>OPS07-QF51 Training Verification Form and/or OPS07-QF52 Group Training Verification Form</w:t>
      </w:r>
      <w:r w:rsidRPr="00BA30BE">
        <w:rPr>
          <w:rFonts w:cs="Arial"/>
        </w:rPr>
        <w:t>, unless the client requires their own form to be used.</w:t>
      </w:r>
    </w:p>
    <w:p w:rsidR="00443E12" w:rsidRPr="001348B7" w:rsidRDefault="00443E12" w:rsidP="00443E12">
      <w:pPr>
        <w:suppressAutoHyphens/>
        <w:spacing w:after="80"/>
        <w:ind w:right="-90"/>
        <w:rPr>
          <w:rFonts w:cs="Arial"/>
        </w:rPr>
      </w:pPr>
    </w:p>
    <w:p w:rsidR="00443E12" w:rsidRDefault="00443E12" w:rsidP="00443E12">
      <w:pPr>
        <w:pStyle w:val="Heading2"/>
        <w:numPr>
          <w:ilvl w:val="1"/>
          <w:numId w:val="16"/>
        </w:numPr>
      </w:pPr>
      <w:r>
        <w:rPr>
          <w:rFonts w:cs="Arial"/>
        </w:rPr>
        <w:t xml:space="preserve">   training Files</w:t>
      </w:r>
    </w:p>
    <w:p w:rsidR="00443E12" w:rsidRPr="00BA30BE" w:rsidRDefault="00443E12" w:rsidP="00443E12">
      <w:pPr>
        <w:tabs>
          <w:tab w:val="left" w:pos="567"/>
          <w:tab w:val="left" w:pos="851"/>
        </w:tabs>
        <w:suppressAutoHyphens/>
        <w:spacing w:after="80"/>
        <w:ind w:right="-432"/>
        <w:rPr>
          <w:rFonts w:cs="Arial"/>
          <w:b/>
        </w:rPr>
      </w:pPr>
      <w:r w:rsidRPr="00BA30BE">
        <w:rPr>
          <w:rFonts w:cs="Arial"/>
          <w:b/>
        </w:rPr>
        <w:t>Quality shall</w:t>
      </w:r>
      <w:r>
        <w:rPr>
          <w:rFonts w:cs="Arial"/>
          <w:b/>
        </w:rPr>
        <w:t>:</w:t>
      </w:r>
    </w:p>
    <w:p w:rsidR="00443E12" w:rsidRPr="00BA30BE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ind w:right="-432"/>
        <w:rPr>
          <w:rFonts w:cs="Arial"/>
        </w:rPr>
      </w:pPr>
      <w:r>
        <w:rPr>
          <w:rFonts w:cs="Arial"/>
        </w:rPr>
        <w:t>M</w:t>
      </w:r>
      <w:r w:rsidRPr="00BA30BE">
        <w:rPr>
          <w:rFonts w:cs="Arial"/>
        </w:rPr>
        <w:t xml:space="preserve">aintain training files for each employee.  </w:t>
      </w:r>
      <w:r>
        <w:rPr>
          <w:rFonts w:cs="Arial"/>
        </w:rPr>
        <w:t>For the quality department, the following will be included:</w:t>
      </w:r>
    </w:p>
    <w:p w:rsidR="00443E12" w:rsidRPr="00BA30BE" w:rsidRDefault="00443E12" w:rsidP="00443E12">
      <w:pPr>
        <w:pStyle w:val="ListParagraph"/>
        <w:tabs>
          <w:tab w:val="left" w:pos="567"/>
          <w:tab w:val="left" w:pos="851"/>
        </w:tabs>
        <w:suppressAutoHyphens/>
        <w:spacing w:after="80"/>
        <w:ind w:left="1440"/>
        <w:rPr>
          <w:rFonts w:cs="Arial"/>
        </w:rPr>
      </w:pPr>
    </w:p>
    <w:p w:rsidR="00443E12" w:rsidRPr="00BA30BE" w:rsidRDefault="00443E12" w:rsidP="00443E12">
      <w:pPr>
        <w:pStyle w:val="ListParagraph"/>
        <w:numPr>
          <w:ilvl w:val="3"/>
          <w:numId w:val="16"/>
        </w:numPr>
        <w:suppressAutoHyphens/>
        <w:spacing w:after="80"/>
        <w:ind w:left="1620" w:hanging="900"/>
        <w:rPr>
          <w:rFonts w:cs="Arial"/>
        </w:rPr>
      </w:pPr>
      <w:r w:rsidRPr="00BA30BE">
        <w:rPr>
          <w:rFonts w:cs="Arial"/>
        </w:rPr>
        <w:t>Current CV</w:t>
      </w:r>
    </w:p>
    <w:p w:rsidR="00443E12" w:rsidRPr="00BA30BE" w:rsidRDefault="00443E12" w:rsidP="00443E12">
      <w:pPr>
        <w:pStyle w:val="ListParagraph"/>
        <w:numPr>
          <w:ilvl w:val="3"/>
          <w:numId w:val="16"/>
        </w:numPr>
        <w:suppressAutoHyphens/>
        <w:spacing w:after="80"/>
        <w:ind w:left="1620" w:hanging="900"/>
        <w:rPr>
          <w:rFonts w:cs="Arial"/>
        </w:rPr>
      </w:pPr>
      <w:r w:rsidRPr="00BA30BE">
        <w:rPr>
          <w:rFonts w:cs="Arial"/>
        </w:rPr>
        <w:t>Signed Job Description</w:t>
      </w:r>
    </w:p>
    <w:p w:rsidR="00443E12" w:rsidRPr="00BA30BE" w:rsidRDefault="00443E12" w:rsidP="00443E12">
      <w:pPr>
        <w:pStyle w:val="ListParagraph"/>
        <w:numPr>
          <w:ilvl w:val="3"/>
          <w:numId w:val="16"/>
        </w:numPr>
        <w:suppressAutoHyphens/>
        <w:spacing w:after="80"/>
        <w:ind w:left="1620" w:hanging="900"/>
        <w:rPr>
          <w:rFonts w:cs="Arial"/>
        </w:rPr>
      </w:pPr>
      <w:r w:rsidRPr="00BA30BE">
        <w:rPr>
          <w:rFonts w:cs="Arial"/>
        </w:rPr>
        <w:t>Copies of Relevant Degrees, Diplomas or Licenses</w:t>
      </w:r>
    </w:p>
    <w:p w:rsidR="00443E12" w:rsidRDefault="00443E12" w:rsidP="00443E12">
      <w:pPr>
        <w:pStyle w:val="ListParagraph"/>
        <w:numPr>
          <w:ilvl w:val="3"/>
          <w:numId w:val="16"/>
        </w:numPr>
        <w:suppressAutoHyphens/>
        <w:spacing w:after="80"/>
        <w:ind w:left="1620" w:hanging="900"/>
        <w:rPr>
          <w:rFonts w:cs="Arial"/>
        </w:rPr>
      </w:pPr>
      <w:r w:rsidRPr="00BA30BE">
        <w:rPr>
          <w:rFonts w:cs="Arial"/>
        </w:rPr>
        <w:t>Training Certificates</w:t>
      </w:r>
    </w:p>
    <w:p w:rsidR="00443E12" w:rsidRPr="00BA30BE" w:rsidRDefault="00443E12" w:rsidP="00443E12">
      <w:pPr>
        <w:pStyle w:val="ListParagraph"/>
        <w:numPr>
          <w:ilvl w:val="3"/>
          <w:numId w:val="16"/>
        </w:numPr>
        <w:suppressAutoHyphens/>
        <w:spacing w:after="80"/>
        <w:ind w:left="1620" w:hanging="900"/>
        <w:rPr>
          <w:rFonts w:cs="Arial"/>
        </w:rPr>
      </w:pPr>
      <w:r>
        <w:rPr>
          <w:rFonts w:cs="Arial"/>
        </w:rPr>
        <w:t>Internal training records (i.e. OPS07-QF51 and OPS07-QF52)</w:t>
      </w:r>
    </w:p>
    <w:p w:rsidR="00443E12" w:rsidRDefault="00443E12" w:rsidP="00443E12">
      <w:pPr>
        <w:pStyle w:val="ListParagraph"/>
        <w:tabs>
          <w:tab w:val="left" w:pos="567"/>
          <w:tab w:val="left" w:pos="851"/>
        </w:tabs>
        <w:suppressAutoHyphens/>
        <w:spacing w:after="80"/>
        <w:ind w:left="1440"/>
        <w:rPr>
          <w:rFonts w:cs="Arial"/>
        </w:rPr>
      </w:pPr>
    </w:p>
    <w:p w:rsidR="00443E12" w:rsidRDefault="00443E12" w:rsidP="00443E12">
      <w:pPr>
        <w:pStyle w:val="ListParagraph"/>
        <w:suppressAutoHyphens/>
        <w:spacing w:after="80"/>
        <w:rPr>
          <w:rFonts w:cs="Arial"/>
        </w:rPr>
      </w:pPr>
      <w:r>
        <w:rPr>
          <w:rFonts w:cs="Arial"/>
        </w:rPr>
        <w:t>For all other employees, only sections 6.6.1.2 and 6.6.1.5 will be maintained in their training files.</w:t>
      </w:r>
    </w:p>
    <w:p w:rsidR="00443E12" w:rsidRPr="00BA30BE" w:rsidRDefault="00443E12" w:rsidP="00443E12">
      <w:pPr>
        <w:pStyle w:val="ListParagraph"/>
        <w:tabs>
          <w:tab w:val="left" w:pos="567"/>
          <w:tab w:val="left" w:pos="851"/>
        </w:tabs>
        <w:suppressAutoHyphens/>
        <w:spacing w:after="80"/>
        <w:ind w:left="1440"/>
        <w:rPr>
          <w:rFonts w:cs="Arial"/>
        </w:rPr>
      </w:pPr>
    </w:p>
    <w:p w:rsidR="00443E12" w:rsidRDefault="00443E12" w:rsidP="00443E12">
      <w:pPr>
        <w:pStyle w:val="ListParagraph"/>
        <w:numPr>
          <w:ilvl w:val="2"/>
          <w:numId w:val="16"/>
        </w:numPr>
        <w:suppressAutoHyphens/>
        <w:spacing w:after="80"/>
        <w:rPr>
          <w:rFonts w:cs="Arial"/>
        </w:rPr>
      </w:pPr>
      <w:r>
        <w:rPr>
          <w:rFonts w:cs="Arial"/>
        </w:rPr>
        <w:t>File all current training documents in binders and retain</w:t>
      </w:r>
      <w:r w:rsidRPr="00BA30BE">
        <w:rPr>
          <w:rFonts w:cs="Arial"/>
        </w:rPr>
        <w:t xml:space="preserve"> in the central QA area</w:t>
      </w:r>
      <w:r>
        <w:rPr>
          <w:rFonts w:cs="Arial"/>
        </w:rPr>
        <w:t xml:space="preserve">. </w:t>
      </w:r>
      <w:r w:rsidRPr="00BA30BE">
        <w:rPr>
          <w:rFonts w:cs="Arial"/>
        </w:rPr>
        <w:t>All superseded documents will be archived.</w:t>
      </w:r>
    </w:p>
    <w:p w:rsidR="00443E12" w:rsidRDefault="00443E12" w:rsidP="00443E12">
      <w:pPr>
        <w:pStyle w:val="ListParagraph"/>
        <w:suppressAutoHyphens/>
        <w:spacing w:after="80"/>
        <w:ind w:hanging="720"/>
        <w:rPr>
          <w:rFonts w:cs="Arial"/>
        </w:rPr>
      </w:pPr>
    </w:p>
    <w:p w:rsidR="00443E12" w:rsidRDefault="00443E12" w:rsidP="00443E12">
      <w:pPr>
        <w:pStyle w:val="ListParagraph"/>
        <w:numPr>
          <w:ilvl w:val="2"/>
          <w:numId w:val="16"/>
        </w:numPr>
        <w:suppressAutoHyphens/>
        <w:spacing w:after="80"/>
      </w:pPr>
      <w:r w:rsidRPr="00B5407A">
        <w:t xml:space="preserve">Maintain the training files as per </w:t>
      </w:r>
      <w:r w:rsidRPr="00B5407A">
        <w:rPr>
          <w:b/>
        </w:rPr>
        <w:t>OPS07-24 Electronic File Back-up &amp; Record Retention</w:t>
      </w:r>
      <w:r w:rsidRPr="00B5407A">
        <w:t>.</w:t>
      </w:r>
    </w:p>
    <w:p w:rsidR="00443E12" w:rsidRDefault="00443E12" w:rsidP="00443E12">
      <w:pPr>
        <w:pStyle w:val="Heading1"/>
      </w:pPr>
      <w:r>
        <w:t xml:space="preserve">7.0 </w:t>
      </w:r>
      <w:r>
        <w:tab/>
        <w:t>records</w:t>
      </w:r>
    </w:p>
    <w:p w:rsidR="00443E12" w:rsidRDefault="00443E12" w:rsidP="00443E12">
      <w:pPr>
        <w:spacing w:after="0" w:line="240" w:lineRule="auto"/>
        <w:jc w:val="both"/>
      </w:pPr>
      <w:r>
        <w:t>7.1</w:t>
      </w:r>
      <w:r>
        <w:tab/>
        <w:t xml:space="preserve">The signed hard copy of this procedure is the official copy and must be maintained in the SOP </w:t>
      </w:r>
      <w:r>
        <w:tab/>
        <w:t>binder.</w:t>
      </w:r>
    </w:p>
    <w:p w:rsidR="00443E12" w:rsidRDefault="00443E12" w:rsidP="00443E12">
      <w:pPr>
        <w:spacing w:before="0" w:after="0" w:line="240" w:lineRule="auto"/>
        <w:jc w:val="both"/>
      </w:pPr>
    </w:p>
    <w:p w:rsidR="00443E12" w:rsidRDefault="00443E12" w:rsidP="00443E12">
      <w:pPr>
        <w:spacing w:before="0" w:after="0" w:line="240" w:lineRule="auto"/>
        <w:jc w:val="both"/>
      </w:pPr>
      <w:r>
        <w:t>7.2</w:t>
      </w:r>
      <w:r>
        <w:tab/>
        <w:t xml:space="preserve">Records must be maintained in accordance with </w:t>
      </w:r>
      <w:r w:rsidRPr="00F2223E">
        <w:rPr>
          <w:b/>
        </w:rPr>
        <w:t xml:space="preserve">OPS07-33 Management of Standard Operating </w:t>
      </w:r>
      <w:r w:rsidRPr="00F2223E">
        <w:rPr>
          <w:b/>
        </w:rPr>
        <w:tab/>
        <w:t>Procedures</w:t>
      </w:r>
      <w:r>
        <w:t>.</w:t>
      </w:r>
    </w:p>
    <w:p w:rsidR="00443E12" w:rsidRPr="001E1AAE" w:rsidRDefault="00443E12" w:rsidP="00443E12">
      <w:pPr>
        <w:pStyle w:val="Heading1"/>
        <w:rPr>
          <w:rFonts w:eastAsiaTheme="minorHAnsi"/>
          <w:vanish/>
          <w:lang w:val="en-CA" w:eastAsia="en-US"/>
        </w:rPr>
      </w:pPr>
      <w:r>
        <w:t xml:space="preserve">8.0 </w:t>
      </w:r>
      <w:r>
        <w:tab/>
        <w:t xml:space="preserve">Revision </w:t>
      </w:r>
      <w:proofErr w:type="spellStart"/>
      <w:r>
        <w:t>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443E12" w:rsidTr="00A753D2">
        <w:tc>
          <w:tcPr>
            <w:tcW w:w="1705" w:type="dxa"/>
            <w:shd w:val="clear" w:color="auto" w:fill="C9ECFC" w:themeFill="text2" w:themeFillTint="33"/>
          </w:tcPr>
          <w:p w:rsidR="00443E12" w:rsidRPr="005314DE" w:rsidRDefault="00443E12" w:rsidP="00A753D2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</w:t>
            </w:r>
            <w:proofErr w:type="spellEnd"/>
            <w:r w:rsidRPr="005314DE">
              <w:rPr>
                <w:b/>
              </w:rPr>
              <w:t xml:space="preserve">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443E12" w:rsidRPr="005314DE" w:rsidRDefault="00443E12" w:rsidP="00A753D2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443E12" w:rsidRPr="005314DE" w:rsidRDefault="00443E12" w:rsidP="00A753D2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443E12" w:rsidTr="00A753D2">
        <w:tc>
          <w:tcPr>
            <w:tcW w:w="1705" w:type="dxa"/>
          </w:tcPr>
          <w:p w:rsidR="00443E12" w:rsidRPr="00BA30BE" w:rsidRDefault="00443E12" w:rsidP="00A753D2">
            <w:r w:rsidRPr="00E57A8D">
              <w:t>Revision</w:t>
            </w:r>
            <w:r w:rsidRPr="00BA30BE">
              <w:t xml:space="preserve"> 001</w:t>
            </w:r>
          </w:p>
        </w:tc>
        <w:tc>
          <w:tcPr>
            <w:tcW w:w="2970" w:type="dxa"/>
          </w:tcPr>
          <w:p w:rsidR="00443E12" w:rsidRPr="00BA30BE" w:rsidRDefault="00443E12" w:rsidP="00A753D2">
            <w:r w:rsidRPr="00BA30BE">
              <w:t>Oct 1, 2017</w:t>
            </w:r>
          </w:p>
        </w:tc>
        <w:tc>
          <w:tcPr>
            <w:tcW w:w="4860" w:type="dxa"/>
          </w:tcPr>
          <w:p w:rsidR="00443E12" w:rsidRPr="00BA30BE" w:rsidRDefault="00443E12" w:rsidP="00A753D2">
            <w:r w:rsidRPr="00BA30BE">
              <w:t>Initial rewrite of procedure</w:t>
            </w:r>
          </w:p>
        </w:tc>
      </w:tr>
      <w:tr w:rsidR="00443E12" w:rsidTr="00A753D2">
        <w:tc>
          <w:tcPr>
            <w:tcW w:w="1705" w:type="dxa"/>
          </w:tcPr>
          <w:p w:rsidR="00443E12" w:rsidRPr="00BA30BE" w:rsidRDefault="00443E12" w:rsidP="00A753D2">
            <w:r w:rsidRPr="00E57A8D">
              <w:t>Revision</w:t>
            </w:r>
            <w:r w:rsidRPr="00BA30BE">
              <w:t xml:space="preserve"> 002</w:t>
            </w:r>
          </w:p>
        </w:tc>
        <w:tc>
          <w:tcPr>
            <w:tcW w:w="2970" w:type="dxa"/>
          </w:tcPr>
          <w:p w:rsidR="00443E12" w:rsidRPr="00BA30BE" w:rsidRDefault="00443E12" w:rsidP="00A753D2">
            <w:r>
              <w:t>Apr 27, 2018</w:t>
            </w:r>
          </w:p>
        </w:tc>
        <w:tc>
          <w:tcPr>
            <w:tcW w:w="4860" w:type="dxa"/>
          </w:tcPr>
          <w:p w:rsidR="00443E12" w:rsidRPr="004C3C8E" w:rsidRDefault="00443E12" w:rsidP="00443E12">
            <w:pPr>
              <w:pStyle w:val="ListParagraph"/>
              <w:numPr>
                <w:ilvl w:val="0"/>
                <w:numId w:val="17"/>
              </w:numPr>
              <w:ind w:left="170" w:hanging="170"/>
              <w:rPr>
                <w:rFonts w:cstheme="minorHAnsi"/>
              </w:rPr>
            </w:pPr>
            <w:r w:rsidRPr="004C3C8E">
              <w:rPr>
                <w:rFonts w:cstheme="minorHAnsi"/>
              </w:rPr>
              <w:t xml:space="preserve">Quality Assurance and Regulatory Affairs Coordinator was added to the training matrix. </w:t>
            </w:r>
          </w:p>
          <w:p w:rsidR="00443E12" w:rsidRPr="004C3C8E" w:rsidRDefault="00443E12" w:rsidP="00443E12">
            <w:pPr>
              <w:pStyle w:val="ListParagraph"/>
              <w:numPr>
                <w:ilvl w:val="0"/>
                <w:numId w:val="17"/>
              </w:numPr>
              <w:ind w:left="170" w:hanging="170"/>
            </w:pPr>
            <w:r w:rsidRPr="004C3C8E">
              <w:rPr>
                <w:rFonts w:cstheme="minorHAnsi"/>
              </w:rPr>
              <w:t>SOP was revised to remove Quality Forms as appendices.</w:t>
            </w:r>
          </w:p>
          <w:p w:rsidR="00443E12" w:rsidRPr="00B412BD" w:rsidRDefault="00443E12" w:rsidP="00443E12">
            <w:pPr>
              <w:pStyle w:val="ListParagraph"/>
              <w:numPr>
                <w:ilvl w:val="0"/>
                <w:numId w:val="17"/>
              </w:numPr>
              <w:ind w:left="170" w:hanging="170"/>
            </w:pPr>
            <w:r>
              <w:rPr>
                <w:rFonts w:cstheme="minorHAnsi"/>
              </w:rPr>
              <w:t>SOP revised to be in-line with the GMPs</w:t>
            </w:r>
          </w:p>
          <w:p w:rsidR="00443E12" w:rsidRPr="00E57A8D" w:rsidRDefault="00443E12" w:rsidP="00443E12">
            <w:pPr>
              <w:pStyle w:val="ListParagraph"/>
              <w:numPr>
                <w:ilvl w:val="0"/>
                <w:numId w:val="17"/>
              </w:numPr>
              <w:ind w:left="166" w:hanging="180"/>
            </w:pPr>
            <w:r>
              <w:rPr>
                <w:rFonts w:cstheme="minorHAnsi"/>
              </w:rPr>
              <w:t xml:space="preserve">Updated as per </w:t>
            </w:r>
            <w:r w:rsidRPr="00771634">
              <w:rPr>
                <w:rFonts w:cstheme="minorHAnsi"/>
              </w:rPr>
              <w:t>CCN-2018-009</w:t>
            </w:r>
          </w:p>
        </w:tc>
      </w:tr>
      <w:tr w:rsidR="00443E12" w:rsidTr="00A753D2">
        <w:tc>
          <w:tcPr>
            <w:tcW w:w="1705" w:type="dxa"/>
          </w:tcPr>
          <w:p w:rsidR="00443E12" w:rsidRPr="00E57A8D" w:rsidRDefault="00443E12" w:rsidP="00A753D2">
            <w:r w:rsidRPr="00E57A8D">
              <w:lastRenderedPageBreak/>
              <w:t>Revision</w:t>
            </w:r>
            <w:r w:rsidRPr="00BA30BE">
              <w:t xml:space="preserve"> 00</w:t>
            </w:r>
            <w:r>
              <w:t>3</w:t>
            </w:r>
          </w:p>
        </w:tc>
        <w:tc>
          <w:tcPr>
            <w:tcW w:w="2970" w:type="dxa"/>
          </w:tcPr>
          <w:p w:rsidR="00443E12" w:rsidRDefault="00443E12" w:rsidP="00A753D2">
            <w:r>
              <w:t>March 01, 2019</w:t>
            </w:r>
          </w:p>
        </w:tc>
        <w:tc>
          <w:tcPr>
            <w:tcW w:w="4860" w:type="dxa"/>
          </w:tcPr>
          <w:p w:rsidR="00443E12" w:rsidRPr="004C3C8E" w:rsidRDefault="00443E12" w:rsidP="00443E12">
            <w:pPr>
              <w:pStyle w:val="ListParagraph"/>
              <w:numPr>
                <w:ilvl w:val="0"/>
                <w:numId w:val="17"/>
              </w:numPr>
              <w:ind w:left="170" w:hanging="170"/>
              <w:rPr>
                <w:rFonts w:cstheme="minorHAnsi"/>
              </w:rPr>
            </w:pPr>
            <w:r>
              <w:rPr>
                <w:rFonts w:cstheme="minorHAnsi"/>
              </w:rPr>
              <w:t>Updated as per CCN-2019-002</w:t>
            </w:r>
          </w:p>
        </w:tc>
      </w:tr>
      <w:tr w:rsidR="00443E12" w:rsidTr="00A753D2">
        <w:tc>
          <w:tcPr>
            <w:tcW w:w="1705" w:type="dxa"/>
          </w:tcPr>
          <w:p w:rsidR="00443E12" w:rsidRPr="00E57A8D" w:rsidRDefault="00443E12" w:rsidP="00A753D2">
            <w:r>
              <w:t>Revision 004</w:t>
            </w:r>
          </w:p>
        </w:tc>
        <w:tc>
          <w:tcPr>
            <w:tcW w:w="2970" w:type="dxa"/>
          </w:tcPr>
          <w:p w:rsidR="00443E12" w:rsidRDefault="00443E12" w:rsidP="00A753D2">
            <w:r>
              <w:t>May 30, 2019</w:t>
            </w:r>
          </w:p>
        </w:tc>
        <w:tc>
          <w:tcPr>
            <w:tcW w:w="4860" w:type="dxa"/>
          </w:tcPr>
          <w:p w:rsidR="00443E12" w:rsidRDefault="00443E12" w:rsidP="00443E12">
            <w:pPr>
              <w:pStyle w:val="ListParagraph"/>
              <w:numPr>
                <w:ilvl w:val="0"/>
                <w:numId w:val="17"/>
              </w:numPr>
              <w:ind w:left="170" w:hanging="170"/>
              <w:rPr>
                <w:rFonts w:cstheme="minorHAnsi"/>
              </w:rPr>
            </w:pPr>
            <w:r>
              <w:rPr>
                <w:rFonts w:cstheme="minorHAnsi"/>
              </w:rPr>
              <w:t>Updated as per CCN-2019-011</w:t>
            </w:r>
          </w:p>
        </w:tc>
      </w:tr>
      <w:tr w:rsidR="00443E12" w:rsidTr="00A753D2">
        <w:tc>
          <w:tcPr>
            <w:tcW w:w="1705" w:type="dxa"/>
          </w:tcPr>
          <w:p w:rsidR="00443E12" w:rsidRDefault="00443E12" w:rsidP="00A753D2">
            <w:r>
              <w:t>Revision 005</w:t>
            </w:r>
          </w:p>
        </w:tc>
        <w:tc>
          <w:tcPr>
            <w:tcW w:w="2970" w:type="dxa"/>
          </w:tcPr>
          <w:p w:rsidR="00443E12" w:rsidRDefault="00443E12" w:rsidP="00A753D2">
            <w:r>
              <w:t>Sept 03, 2019</w:t>
            </w:r>
          </w:p>
        </w:tc>
        <w:tc>
          <w:tcPr>
            <w:tcW w:w="4860" w:type="dxa"/>
          </w:tcPr>
          <w:p w:rsidR="00443E12" w:rsidRDefault="00443E12" w:rsidP="00443E12">
            <w:pPr>
              <w:pStyle w:val="ListParagraph"/>
              <w:numPr>
                <w:ilvl w:val="0"/>
                <w:numId w:val="17"/>
              </w:numPr>
              <w:ind w:left="170" w:hanging="170"/>
              <w:rPr>
                <w:rFonts w:cstheme="minorHAnsi"/>
              </w:rPr>
            </w:pPr>
            <w:r>
              <w:rPr>
                <w:rFonts w:cstheme="minorHAnsi"/>
              </w:rPr>
              <w:t xml:space="preserve">Updated as per CCN-2019-025 </w:t>
            </w:r>
          </w:p>
          <w:p w:rsidR="00443E12" w:rsidRDefault="00443E12" w:rsidP="00443E12">
            <w:pPr>
              <w:pStyle w:val="ListParagraph"/>
              <w:numPr>
                <w:ilvl w:val="0"/>
                <w:numId w:val="17"/>
              </w:numPr>
              <w:ind w:left="170" w:hanging="170"/>
              <w:rPr>
                <w:rFonts w:cstheme="minorHAnsi"/>
              </w:rPr>
            </w:pPr>
            <w:r>
              <w:rPr>
                <w:rFonts w:cstheme="minorHAnsi"/>
              </w:rPr>
              <w:t>Revised SOP template</w:t>
            </w:r>
          </w:p>
        </w:tc>
      </w:tr>
    </w:tbl>
    <w:p w:rsidR="00443E12" w:rsidRPr="00543783" w:rsidRDefault="00443E12" w:rsidP="00443E12"/>
    <w:p w:rsidR="00DC771E" w:rsidRDefault="00DC771E">
      <w:bookmarkStart w:id="1" w:name="_GoBack"/>
      <w:bookmarkEnd w:id="1"/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404" w:rsidRDefault="00566404">
      <w:pPr>
        <w:spacing w:after="0" w:line="240" w:lineRule="auto"/>
      </w:pPr>
      <w:r>
        <w:separator/>
      </w:r>
    </w:p>
  </w:endnote>
  <w:endnote w:type="continuationSeparator" w:id="0">
    <w:p w:rsidR="00566404" w:rsidRDefault="00566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AD4AEB" w:rsidP="00044EF2">
          <w:pPr>
            <w:pStyle w:val="Footer"/>
          </w:pPr>
        </w:p>
      </w:tc>
      <w:tc>
        <w:tcPr>
          <w:tcW w:w="4680" w:type="dxa"/>
        </w:tcPr>
        <w:p w:rsidR="00AD4AEB" w:rsidRDefault="00566404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404" w:rsidRDefault="00566404">
      <w:pPr>
        <w:spacing w:after="0" w:line="240" w:lineRule="auto"/>
      </w:pPr>
      <w:r>
        <w:separator/>
      </w:r>
    </w:p>
  </w:footnote>
  <w:footnote w:type="continuationSeparator" w:id="0">
    <w:p w:rsidR="00566404" w:rsidRDefault="00566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7B" w:rsidRDefault="00E5697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7D790A12" wp14:editId="278449A7">
          <wp:simplePos x="0" y="0"/>
          <wp:positionH relativeFrom="margin">
            <wp:align>left</wp:align>
          </wp:positionH>
          <wp:positionV relativeFrom="paragraph">
            <wp:posOffset>-180975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CE18A2"/>
    <w:multiLevelType w:val="hybridMultilevel"/>
    <w:tmpl w:val="5AE21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C33CD"/>
    <w:multiLevelType w:val="hybridMultilevel"/>
    <w:tmpl w:val="E0B664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5004C"/>
    <w:multiLevelType w:val="multilevel"/>
    <w:tmpl w:val="A91662B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8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945DC"/>
    <w:multiLevelType w:val="hybridMultilevel"/>
    <w:tmpl w:val="B90EF2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6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7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88677E9"/>
    <w:multiLevelType w:val="hybridMultilevel"/>
    <w:tmpl w:val="13F0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2"/>
  </w:num>
  <w:num w:numId="5">
    <w:abstractNumId w:val="3"/>
  </w:num>
  <w:num w:numId="6">
    <w:abstractNumId w:val="0"/>
  </w:num>
  <w:num w:numId="7">
    <w:abstractNumId w:val="11"/>
  </w:num>
  <w:num w:numId="8">
    <w:abstractNumId w:val="10"/>
  </w:num>
  <w:num w:numId="9">
    <w:abstractNumId w:val="12"/>
  </w:num>
  <w:num w:numId="10">
    <w:abstractNumId w:val="15"/>
  </w:num>
  <w:num w:numId="11">
    <w:abstractNumId w:val="7"/>
  </w:num>
  <w:num w:numId="12">
    <w:abstractNumId w:val="16"/>
  </w:num>
  <w:num w:numId="13">
    <w:abstractNumId w:val="17"/>
  </w:num>
  <w:num w:numId="14">
    <w:abstractNumId w:val="4"/>
  </w:num>
  <w:num w:numId="15">
    <w:abstractNumId w:val="18"/>
  </w:num>
  <w:num w:numId="16">
    <w:abstractNumId w:val="6"/>
  </w:num>
  <w:num w:numId="17">
    <w:abstractNumId w:val="1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43E12"/>
    <w:rsid w:val="00462CBC"/>
    <w:rsid w:val="00492161"/>
    <w:rsid w:val="004A6CEC"/>
    <w:rsid w:val="004D5408"/>
    <w:rsid w:val="004D5BDA"/>
    <w:rsid w:val="0050353F"/>
    <w:rsid w:val="005314DE"/>
    <w:rsid w:val="005456E2"/>
    <w:rsid w:val="00566404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5697B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07CD8B-3E14-4223-AFEF-626E7D10D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60</TotalTime>
  <Pages>8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20</cp:revision>
  <cp:lastPrinted>2019-03-11T19:01:00Z</cp:lastPrinted>
  <dcterms:created xsi:type="dcterms:W3CDTF">2020-01-16T19:46:00Z</dcterms:created>
  <dcterms:modified xsi:type="dcterms:W3CDTF">2020-02-06T18:38:00Z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