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E62AAE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SOP DEV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E62AA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E62AA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E62AAE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62AAE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2AAE" w:rsidRPr="0003455F" w:rsidRDefault="00E62AAE" w:rsidP="00E62AAE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E62AAE" w:rsidRPr="0003455F" w:rsidRDefault="00E62AAE" w:rsidP="00E62AAE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E62AAE" w:rsidRPr="0003455F" w:rsidRDefault="00E62AAE" w:rsidP="00E62AAE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2AAE" w:rsidRPr="0003455F" w:rsidRDefault="00E62AAE" w:rsidP="00E62AAE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E62AAE" w:rsidP="00E62AAE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E62AAE" w:rsidP="00E62AAE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E62AAE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E62AAE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AAE" w:rsidRDefault="00E6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E62AAE" w:rsidP="00044EF2">
          <w:pPr>
            <w:pStyle w:val="Footer"/>
          </w:pPr>
          <w:r>
            <w:t>IT-05 TEST IT SOP DEV</w:t>
          </w:r>
        </w:p>
      </w:tc>
      <w:tc>
        <w:tcPr>
          <w:tcW w:w="4680" w:type="dxa"/>
        </w:tcPr>
        <w:p w:rsidR="00AD4AEB" w:rsidRDefault="00E62AAE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AAE" w:rsidRDefault="00E6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AAE" w:rsidRDefault="00E6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AAE" w:rsidRDefault="00E62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62AAE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IT-05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E7B18148-E9E5-4FCB-B1A3-F3CB5BE49CE7}"/>
</file>

<file path=customXml/itemProps2.xml><?xml version="1.0" encoding="utf-8"?>
<ds:datastoreItem xmlns:ds="http://schemas.openxmlformats.org/officeDocument/2006/customXml" ds:itemID="{9D2B8392-698C-4DAC-AF84-7F67396A90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EE8D49-B277-42A8-92D0-3F6064141997}"/>
</file>

<file path=customXml/itemProps4.xml><?xml version="1.0" encoding="utf-8"?>
<ds:datastoreItem xmlns:ds="http://schemas.openxmlformats.org/officeDocument/2006/customXml" ds:itemID="{C76F7C6A-B4A3-49F8-BDF0-6973A69BFB46}"/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2020-06-15T17:55:00Z</dcterms:created>
  <dcterms:modified xsi:type="dcterms:W3CDTF">2020-06-15T17:55:00Z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