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TEST1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Fraser Greig</w:t>
            </w:r>
          </w:p>
        </w:tc>
        <w:tc>
          <w:tcPr>
            <w:tcW w:w="2520" w:type="dxa"/>
          </w:tcPr>
          <w:p>
            <w:pPr/>
            <w:r>
              <w:t>Solution Design Manager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Martin Schmidt</w:t>
            </w:r>
          </w:p>
        </w:tc>
        <w:tc>
          <w:tcPr>
            <w:tcW w:w="2520" w:type="dxa"/>
          </w:tcPr>
          <w:p>
            <w:pPr/>
            <w:r>
              <w:t>Sr. Analyst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Ravinder Saini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Quality Assurance and Regulatory Affairs Manager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fac8e977bff34353"/>
      <w:footerReference w:type="first" r:id="Raf280db8104344ab"/>
      <w:footerReference w:type="default" r:id="R60e805431a1349d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TEST1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fac8e977bff34353" /><Relationship Type="http://schemas.openxmlformats.org/officeDocument/2006/relationships/footer" Target="/word/footer2.xml" Id="Raf280db8104344ab" /><Relationship Type="http://schemas.openxmlformats.org/officeDocument/2006/relationships/footer" Target="/word/footer3.xml" Id="R60e805431a1349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