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TEST1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BIS-02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Rachana Shirsat</w:t>
            </w:r>
          </w:p>
        </w:tc>
        <w:tc>
          <w:tcPr>
            <w:tcW w:w="2520" w:type="dxa"/>
          </w:tcPr>
          <w:p>
            <w:pPr/>
            <w:r>
              <w:t>Accounts Payable Specialist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Kazi Islam</w:t>
            </w:r>
          </w:p>
        </w:tc>
        <w:tc>
          <w:tcPr>
            <w:tcW w:w="2520" w:type="dxa"/>
          </w:tcPr>
          <w:p>
            <w:pPr/>
            <w:r>
              <w:t xml:space="preserve">System Analyst, Business Systems, Development &amp; Integration 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Quality Assurance and Regulatory Affairs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33488c6b7fec43e0"/>
      <w:footerReference w:type="first" r:id="R11bfde69f4d84f4c"/>
      <w:footerReference w:type="default" r:id="R1f1ec15ebc804bc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TEST1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33488c6b7fec43e0" /><Relationship Type="http://schemas.openxmlformats.org/officeDocument/2006/relationships/footer" Target="/word/footer2.xml" Id="R11bfde69f4d84f4c" /><Relationship Type="http://schemas.openxmlformats.org/officeDocument/2006/relationships/footer" Target="/word/footer3.xml" Id="R1f1ec15ebc804bc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