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TEST2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BIS-02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Fraser Greig</w:t>
            </w:r>
          </w:p>
        </w:tc>
        <w:tc>
          <w:tcPr>
            <w:tcW w:w="2520" w:type="dxa"/>
          </w:tcPr>
          <w:p>
            <w:pPr/>
            <w:r>
              <w:t>Solution Design Manager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Martin Schmidt</w:t>
            </w:r>
          </w:p>
        </w:tc>
        <w:tc>
          <w:tcPr>
            <w:tcW w:w="2520" w:type="dxa"/>
          </w:tcPr>
          <w:p>
            <w:pPr/>
            <w:r>
              <w:t>Sr. Analyst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Ravinder Saini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Quality Assurance and Regulatory Affairs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4cb580f1bd5b408d"/>
      <w:footerReference w:type="first" r:id="Rc7c984dfce7d488b"/>
      <w:footerReference w:type="default" r:id="R6f6c5a526b5243e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TEST2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4cb580f1bd5b408d" /><Relationship Type="http://schemas.openxmlformats.org/officeDocument/2006/relationships/footer" Target="/word/footer2.xml" Id="Rc7c984dfce7d488b" /><Relationship Type="http://schemas.openxmlformats.org/officeDocument/2006/relationships/footer" Target="/word/footer3.xml" Id="R6f6c5a526b5243e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