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r>
        <w:rPr>
          <w:rFonts w:ascii="Arial" w:hAnsi="Arial"/>
          <w:b/>
          <w:color w:val="143A5E"/>
          <w:sz w:val="23"/>
        </w:rPr>
        <w:t>TAMAM HEALTH</w:t>
      </w:r>
    </w:p>
    <w:p>
      <w:pPr>
        <w:pStyle w:val="Title"/>
      </w:pPr>
      <w:r>
        <w:t>Mercy Hospital Group</w:t>
        <w:br/>
        <w:t>Client Meeting Walkthrough</w:t>
      </w:r>
    </w:p>
    <w:p>
      <w:pPr>
        <w:pStyle w:val="ClientSubtitle"/>
      </w:pPr>
      <w:r>
        <w:t>Product demonstration, acceptance testing, and pilot planning guide</w:t>
      </w:r>
    </w:p>
    <w:p>
      <w:pPr>
        <w:spacing w:after="520"/>
      </w:pPr>
      <w:r>
        <w:rPr>
          <w:b/>
        </w:rPr>
        <w:t xml:space="preserve">Purpose  </w:t>
      </w:r>
      <w:r>
        <w:t>Lead a confident first client meeting, validate Mercy Hospital Group workflows, and leave with evidence-based pilot and production-readiness decisions.</w:t>
      </w:r>
    </w:p>
    <w:tbl>
      <w:tblPr>
        <w:tblStyle w:val="TableGrid"/>
        <w:tblW w:type="auto" w:w="0"/>
        <w:jc w:val="center"/>
        <w:tblLayout w:type="fixed"/>
        <w:tblLook w:firstColumn="1" w:firstRow="1" w:lastColumn="0" w:lastRow="0" w:noHBand="0" w:noVBand="1" w:val="04A0"/>
      </w:tblPr>
      <w:tblGrid>
        <w:gridCol w:w="3024"/>
        <w:gridCol w:w="6912"/>
      </w:tblGrid>
      <w:tr>
        <w:trPr>
          <w:tblHeader w:val="true"/>
          <w:cantSplit/>
        </w:trPr>
        <w:tc>
          <w:tcPr>
            <w:tcW w:type="dxa" w:w="30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20"/>
              </w:rPr>
              <w:t>Meeting detail</w:t>
            </w:r>
          </w:p>
        </w:tc>
        <w:tc>
          <w:tcPr>
            <w:tcW w:type="dxa" w:w="69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20"/>
              </w:rPr>
              <w:t>Plan</w:t>
            </w:r>
          </w:p>
        </w:tc>
      </w:tr>
      <w:tr>
        <w:trPr>
          <w:cantSplit/>
        </w:trPr>
        <w:tc>
          <w:tcPr>
            <w:tcW w:type="dxa" w:w="30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20"/>
              </w:rPr>
              <w:t>Client</w:t>
            </w:r>
          </w:p>
        </w:tc>
        <w:tc>
          <w:tcPr>
            <w:tcW w:type="dxa" w:w="69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20"/>
              </w:rPr>
              <w:t>Mercy Hospital Group</w:t>
            </w:r>
          </w:p>
        </w:tc>
      </w:tr>
      <w:tr>
        <w:trPr>
          <w:cantSplit/>
        </w:trPr>
        <w:tc>
          <w:tcPr>
            <w:tcW w:type="dxa" w:w="30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20"/>
              </w:rPr>
              <w:t>Facility in the demonstration</w:t>
            </w:r>
          </w:p>
        </w:tc>
        <w:tc>
          <w:tcPr>
            <w:tcW w:type="dxa" w:w="69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20"/>
              </w:rPr>
              <w:t>Mercy General Hospital, Juba</w:t>
            </w:r>
          </w:p>
        </w:tc>
      </w:tr>
      <w:tr>
        <w:trPr>
          <w:cantSplit/>
        </w:trPr>
        <w:tc>
          <w:tcPr>
            <w:tcW w:type="dxa" w:w="30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20"/>
              </w:rPr>
              <w:t>Recommended duration</w:t>
            </w:r>
          </w:p>
        </w:tc>
        <w:tc>
          <w:tcPr>
            <w:tcW w:type="dxa" w:w="69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20"/>
              </w:rPr>
              <w:t>75 minutes</w:t>
            </w:r>
          </w:p>
        </w:tc>
      </w:tr>
      <w:tr>
        <w:trPr>
          <w:cantSplit/>
        </w:trPr>
        <w:tc>
          <w:tcPr>
            <w:tcW w:type="dxa" w:w="30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20"/>
              </w:rPr>
              <w:t>Prepared</w:t>
            </w:r>
          </w:p>
        </w:tc>
        <w:tc>
          <w:tcPr>
            <w:tcW w:type="dxa" w:w="69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20"/>
              </w:rPr>
              <w:t>7 September 2026</w:t>
            </w:r>
          </w:p>
        </w:tc>
      </w:tr>
      <w:tr>
        <w:trPr>
          <w:cantSplit/>
        </w:trPr>
        <w:tc>
          <w:tcPr>
            <w:tcW w:type="dxa" w:w="30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20"/>
              </w:rPr>
              <w:t>Data rule</w:t>
            </w:r>
          </w:p>
        </w:tc>
        <w:tc>
          <w:tcPr>
            <w:tcW w:type="dxa" w:w="69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20"/>
              </w:rPr>
              <w:t>Use fictional demonstration records only</w:t>
            </w:r>
          </w:p>
        </w:tc>
      </w:tr>
      <w:tr>
        <w:trPr>
          <w:cantSplit/>
        </w:trPr>
        <w:tc>
          <w:tcPr>
            <w:tcW w:type="dxa" w:w="30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20"/>
              </w:rPr>
              <w:t>Readiness rule</w:t>
            </w:r>
          </w:p>
        </w:tc>
        <w:tc>
          <w:tcPr>
            <w:tcW w:type="dxa" w:w="69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20"/>
              </w:rPr>
              <w:t>Full acceptance tests before any production go-live</w:t>
            </w:r>
          </w:p>
        </w:tc>
      </w:tr>
    </w:tbl>
    <w:p>
      <w:pPr>
        <w:spacing w:after="0"/>
      </w:pPr>
    </w:p>
    <w:p>
      <w:pPr>
        <w:spacing w:before="360" w:after="80"/>
      </w:pPr>
      <w:r>
        <w:rPr>
          <w:b/>
          <w:color w:val="176A8A"/>
          <w:sz w:val="18"/>
        </w:rPr>
        <w:t>MEETING OUTCOME</w:t>
      </w:r>
    </w:p>
    <w:p>
      <w:r>
        <w:t>By the end of the session, the client should understand how Tamam Health supports daily work across reception, nursing, clinical care, laboratory, pharmacy, and organization administration. Both parties should agree on the first facility, pilot users, priority workflows, readiness gaps, acceptance-test owners, success measures, and next actions.</w:t>
      </w:r>
    </w:p>
    <w:p>
      <w:r>
        <w:br w:type="page"/>
      </w:r>
    </w:p>
    <w:p>
      <w:pPr>
        <w:pStyle w:val="Heading1"/>
        <w:keepNext/>
      </w:pPr>
      <w:r>
        <w:t>How to use this guide</w:t>
      </w:r>
    </w:p>
    <w:p>
      <w:r>
        <w:t>Treat this as a facilitation script, not a feature catalogue. Keep the demonstration anchored to one patient journey, pause for the client to compare it with current practice, and record decisions as they arise.</w:t>
      </w:r>
    </w:p>
    <w:p>
      <w:pPr>
        <w:pStyle w:val="Heading2"/>
        <w:keepNext/>
      </w:pPr>
      <w:r>
        <w:t>Recommended meeting flow</w:t>
      </w:r>
    </w:p>
    <w:tbl>
      <w:tblPr>
        <w:tblStyle w:val="TableGrid"/>
        <w:tblW w:type="auto" w:w="0"/>
        <w:jc w:val="center"/>
        <w:tblLayout w:type="fixed"/>
        <w:tblLook w:firstColumn="1" w:firstRow="1" w:lastColumn="0" w:lastRow="0" w:noHBand="0" w:noVBand="1" w:val="04A0"/>
      </w:tblPr>
      <w:tblGrid>
        <w:gridCol w:w="1440"/>
        <w:gridCol w:w="3024"/>
        <w:gridCol w:w="5472"/>
      </w:tblGrid>
      <w:tr>
        <w:trPr>
          <w:tblHeader w:val="true"/>
          <w:cantSplit/>
        </w:trPr>
        <w:tc>
          <w:tcPr>
            <w:tcW w:type="dxa" w:w="14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jc w:val="center"/>
            </w:pPr>
            <w:r/>
            <w:r>
              <w:rPr>
                <w:rFonts w:ascii="Arial" w:hAnsi="Arial"/>
                <w:b/>
                <w:color w:val="FFFFFF"/>
                <w:sz w:val="18"/>
              </w:rPr>
              <w:t>Time</w:t>
            </w:r>
          </w:p>
        </w:tc>
        <w:tc>
          <w:tcPr>
            <w:tcW w:type="dxa" w:w="30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8"/>
              </w:rPr>
              <w:t>Section</w:t>
            </w:r>
          </w:p>
        </w:tc>
        <w:tc>
          <w:tcPr>
            <w:tcW w:type="dxa" w:w="547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8"/>
              </w:rPr>
              <w:t>Outcome</w:t>
            </w:r>
          </w:p>
        </w:tc>
      </w:tr>
      <w:tr>
        <w:trPr>
          <w:cantSplit/>
        </w:trPr>
        <w:tc>
          <w:tcPr>
            <w:tcW w:type="dxa" w:w="14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8"/>
              </w:rPr>
              <w:t>0 to 5 min</w:t>
            </w:r>
          </w:p>
        </w:tc>
        <w:tc>
          <w:tcPr>
            <w:tcW w:type="dxa" w:w="30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8"/>
              </w:rPr>
              <w:t>Welcome and goals</w:t>
            </w:r>
          </w:p>
        </w:tc>
        <w:tc>
          <w:tcPr>
            <w:tcW w:type="dxa" w:w="547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8"/>
              </w:rPr>
              <w:t>Confirm who is present and what a useful meeting must answer</w:t>
            </w:r>
          </w:p>
        </w:tc>
      </w:tr>
      <w:tr>
        <w:trPr>
          <w:cantSplit/>
        </w:trPr>
        <w:tc>
          <w:tcPr>
            <w:tcW w:type="dxa" w:w="14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8"/>
              </w:rPr>
              <w:t>5 to 12 min</w:t>
            </w:r>
          </w:p>
        </w:tc>
        <w:tc>
          <w:tcPr>
            <w:tcW w:type="dxa" w:w="30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8"/>
              </w:rPr>
              <w:t>Current workflow discovery</w:t>
            </w:r>
          </w:p>
        </w:tc>
        <w:tc>
          <w:tcPr>
            <w:tcW w:type="dxa" w:w="547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8"/>
              </w:rPr>
              <w:t>Hear the client before showing the product</w:t>
            </w:r>
          </w:p>
        </w:tc>
      </w:tr>
      <w:tr>
        <w:trPr>
          <w:cantSplit/>
        </w:trPr>
        <w:tc>
          <w:tcPr>
            <w:tcW w:type="dxa" w:w="14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8"/>
              </w:rPr>
              <w:t>12 to 20 min</w:t>
            </w:r>
          </w:p>
        </w:tc>
        <w:tc>
          <w:tcPr>
            <w:tcW w:type="dxa" w:w="30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8"/>
              </w:rPr>
              <w:t>Organization and facility setup</w:t>
            </w:r>
          </w:p>
        </w:tc>
        <w:tc>
          <w:tcPr>
            <w:tcW w:type="dxa" w:w="547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8"/>
              </w:rPr>
              <w:t>Show ownership, roles, facilities, and operational visibility</w:t>
            </w:r>
          </w:p>
        </w:tc>
      </w:tr>
      <w:tr>
        <w:trPr>
          <w:cantSplit/>
        </w:trPr>
        <w:tc>
          <w:tcPr>
            <w:tcW w:type="dxa" w:w="14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8"/>
              </w:rPr>
              <w:t>20 to 50 min</w:t>
            </w:r>
          </w:p>
        </w:tc>
        <w:tc>
          <w:tcPr>
            <w:tcW w:type="dxa" w:w="30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8"/>
              </w:rPr>
              <w:t>Connected patient journey</w:t>
            </w:r>
          </w:p>
        </w:tc>
        <w:tc>
          <w:tcPr>
            <w:tcW w:type="dxa" w:w="547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8"/>
              </w:rPr>
              <w:t>Demonstrate reception through pharmacy and laboratory</w:t>
            </w:r>
          </w:p>
        </w:tc>
      </w:tr>
      <w:tr>
        <w:trPr>
          <w:cantSplit/>
        </w:trPr>
        <w:tc>
          <w:tcPr>
            <w:tcW w:type="dxa" w:w="14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8"/>
              </w:rPr>
              <w:t>50 to 58 min</w:t>
            </w:r>
          </w:p>
        </w:tc>
        <w:tc>
          <w:tcPr>
            <w:tcW w:type="dxa" w:w="30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8"/>
              </w:rPr>
              <w:t>Continuity and safeguards</w:t>
            </w:r>
          </w:p>
        </w:tc>
        <w:tc>
          <w:tcPr>
            <w:tcW w:type="dxa" w:w="547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8"/>
              </w:rPr>
              <w:t>Discuss offline use, permissions, auditability, and data handling</w:t>
            </w:r>
          </w:p>
        </w:tc>
      </w:tr>
      <w:tr>
        <w:trPr>
          <w:cantSplit/>
        </w:trPr>
        <w:tc>
          <w:tcPr>
            <w:tcW w:type="dxa" w:w="14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8"/>
              </w:rPr>
              <w:t>58 to 68 min</w:t>
            </w:r>
          </w:p>
        </w:tc>
        <w:tc>
          <w:tcPr>
            <w:tcW w:type="dxa" w:w="30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8"/>
              </w:rPr>
              <w:t>Pilot design</w:t>
            </w:r>
          </w:p>
        </w:tc>
        <w:tc>
          <w:tcPr>
            <w:tcW w:type="dxa" w:w="547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8"/>
              </w:rPr>
              <w:t>Agree scope, readiness, training, support, and measures</w:t>
            </w:r>
          </w:p>
        </w:tc>
      </w:tr>
      <w:tr>
        <w:trPr>
          <w:cantSplit/>
        </w:trPr>
        <w:tc>
          <w:tcPr>
            <w:tcW w:type="dxa" w:w="14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8"/>
              </w:rPr>
              <w:t>68 to 75 min</w:t>
            </w:r>
          </w:p>
        </w:tc>
        <w:tc>
          <w:tcPr>
            <w:tcW w:type="dxa" w:w="30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8"/>
              </w:rPr>
              <w:t>Decisions and next steps</w:t>
            </w:r>
          </w:p>
        </w:tc>
        <w:tc>
          <w:tcPr>
            <w:tcW w:type="dxa" w:w="547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8"/>
              </w:rPr>
              <w:t>Read back commitments, owners, and dates</w:t>
            </w:r>
          </w:p>
        </w:tc>
      </w:tr>
    </w:tbl>
    <w:p>
      <w:pPr>
        <w:spacing w:after="0"/>
      </w:pPr>
    </w:p>
    <w:p>
      <w:pPr>
        <w:pStyle w:val="Heading2"/>
        <w:keepNext/>
      </w:pPr>
      <w:r>
        <w:t>Success criteria for this meeting</w:t>
      </w:r>
    </w:p>
    <w:p>
      <w:pPr>
        <w:pStyle w:val="ListBullet"/>
        <w:spacing w:after="60"/>
        <w:ind w:left="360" w:hanging="230"/>
      </w:pPr>
      <w:r>
        <w:t>[ ] The client can describe the value of one connected record across departments.</w:t>
      </w:r>
    </w:p>
    <w:p>
      <w:pPr>
        <w:pStyle w:val="ListBullet"/>
        <w:spacing w:after="60"/>
        <w:ind w:left="360" w:hanging="230"/>
      </w:pPr>
      <w:r>
        <w:t>[ ] The client confirms whether the demonstrated roles and handoffs reflect real work.</w:t>
      </w:r>
    </w:p>
    <w:p>
      <w:pPr>
        <w:pStyle w:val="ListBullet"/>
        <w:spacing w:after="60"/>
        <w:ind w:left="360" w:hanging="230"/>
      </w:pPr>
      <w:r>
        <w:t>[ ] The client identifies one facility and a manageable group of pilot users.</w:t>
      </w:r>
    </w:p>
    <w:p>
      <w:pPr>
        <w:pStyle w:val="ListBullet"/>
        <w:spacing w:after="60"/>
        <w:ind w:left="360" w:hanging="230"/>
      </w:pPr>
      <w:r>
        <w:t>[ ] Open questions are captured without making unverified promises.</w:t>
      </w:r>
    </w:p>
    <w:p>
      <w:pPr>
        <w:pStyle w:val="ListBullet"/>
        <w:spacing w:after="60"/>
        <w:ind w:left="360" w:hanging="230"/>
      </w:pPr>
      <w:r>
        <w:t>[ ] Every next action has an owner and a target date.</w:t>
      </w:r>
    </w:p>
    <w:p>
      <w:pPr>
        <w:pStyle w:val="Heading2"/>
        <w:keepNext/>
      </w:pPr>
      <w:r>
        <w:t>Important boundaries</w:t>
      </w:r>
    </w:p>
    <w:p>
      <w:pPr>
        <w:pStyle w:val="ListBullet"/>
        <w:spacing w:after="60"/>
        <w:ind w:left="360" w:hanging="230"/>
      </w:pPr>
      <w:r>
        <w:t>Use only the fictional test patients listed in this guide. Never enter real patient information in the demonstration environment.</w:t>
      </w:r>
    </w:p>
    <w:p>
      <w:pPr>
        <w:pStyle w:val="ListBullet"/>
        <w:spacing w:after="60"/>
        <w:ind w:left="360" w:hanging="230"/>
      </w:pPr>
      <w:r>
        <w:t>Do not demonstrate the platform super administrator account. The client walkthrough should remain inside the Mercy Hospital Group tenant.</w:t>
      </w:r>
    </w:p>
    <w:p>
      <w:pPr>
        <w:pStyle w:val="ListBullet"/>
        <w:spacing w:after="60"/>
        <w:ind w:left="360" w:hanging="230"/>
      </w:pPr>
      <w:r>
        <w:t>Do not promise an integration, report, migration date, regulatory outcome, or offline behavior that has not been verified in the client environment.</w:t>
      </w:r>
    </w:p>
    <w:p>
      <w:pPr>
        <w:pStyle w:val="ListBullet"/>
        <w:spacing w:after="60"/>
        <w:ind w:left="360" w:hanging="230"/>
      </w:pPr>
      <w:r>
        <w:t>Do not include passwords in this document, email, or a shared screen. Retrieve credentials through the approved local or secure channel immediately before the meeting.</w:t>
      </w:r>
    </w:p>
    <w:p>
      <w:r>
        <w:br w:type="page"/>
      </w:r>
    </w:p>
    <w:p>
      <w:pPr>
        <w:pStyle w:val="Heading1"/>
        <w:keepNext/>
      </w:pPr>
      <w:r>
        <w:t>Production readiness standard</w:t>
      </w:r>
    </w:p>
    <w:p>
      <w:r>
        <w:t>A polished demonstration is not evidence that the system is ready for live patient care. Use a production-like test environment for the full acceptance suite, then run a short, approved production smoke test that does not expose real patient information or disrupt live work.</w:t>
      </w:r>
    </w:p>
    <w:p>
      <w:pPr>
        <w:pStyle w:val="Heading2"/>
        <w:keepNext/>
      </w:pPr>
      <w:r>
        <w:t>Three test stages</w:t>
      </w:r>
    </w:p>
    <w:tbl>
      <w:tblPr>
        <w:tblStyle w:val="TableGrid"/>
        <w:tblW w:type="auto" w:w="0"/>
        <w:jc w:val="center"/>
        <w:tblLayout w:type="fixed"/>
        <w:tblLook w:firstColumn="1" w:firstRow="1" w:lastColumn="0" w:lastRow="0" w:noHBand="0" w:noVBand="1" w:val="04A0"/>
      </w:tblPr>
      <w:tblGrid>
        <w:gridCol w:w="1944"/>
        <w:gridCol w:w="4680"/>
        <w:gridCol w:w="3384"/>
      </w:tblGrid>
      <w:tr>
        <w:trPr>
          <w:tblHeader w:val="true"/>
          <w:cantSplit/>
        </w:trPr>
        <w:tc>
          <w:tcPr>
            <w:tcW w:type="dxa" w:w="194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7"/>
              </w:rPr>
              <w:t>Stage</w:t>
            </w:r>
          </w:p>
        </w:tc>
        <w:tc>
          <w:tcPr>
            <w:tcW w:type="dxa" w:w="46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7"/>
              </w:rPr>
              <w:t>Purpose</w:t>
            </w:r>
          </w:p>
        </w:tc>
        <w:tc>
          <w:tcPr>
            <w:tcW w:type="dxa" w:w="338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7"/>
              </w:rPr>
              <w:t>Exit condition</w:t>
            </w:r>
          </w:p>
        </w:tc>
      </w:tr>
      <w:tr>
        <w:trPr>
          <w:cantSplit/>
        </w:trPr>
        <w:tc>
          <w:tcPr>
            <w:tcW w:type="dxa" w:w="194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Demonstration</w:t>
            </w:r>
          </w:p>
        </w:tc>
        <w:tc>
          <w:tcPr>
            <w:tcW w:type="dxa" w:w="46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Confirm that the workflow is understandable and relevant to the client</w:t>
            </w:r>
          </w:p>
        </w:tc>
        <w:tc>
          <w:tcPr>
            <w:tcW w:type="dxa" w:w="338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Client agrees on pilot scope and priority scenarios</w:t>
            </w:r>
          </w:p>
        </w:tc>
      </w:tr>
      <w:tr>
        <w:trPr>
          <w:cantSplit/>
        </w:trPr>
        <w:tc>
          <w:tcPr>
            <w:tcW w:type="dxa" w:w="194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Acceptance testing</w:t>
            </w:r>
          </w:p>
        </w:tc>
        <w:tc>
          <w:tcPr>
            <w:tcW w:type="dxa" w:w="46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Execute every required role, workflow, security, offline, and recovery test with fictional data</w:t>
            </w:r>
          </w:p>
        </w:tc>
        <w:tc>
          <w:tcPr>
            <w:tcW w:type="dxa" w:w="338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All critical tests pass and evidence is retained</w:t>
            </w:r>
          </w:p>
        </w:tc>
      </w:tr>
      <w:tr>
        <w:trPr>
          <w:cantSplit/>
        </w:trPr>
        <w:tc>
          <w:tcPr>
            <w:tcW w:type="dxa" w:w="194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Production smoke test</w:t>
            </w:r>
          </w:p>
        </w:tc>
        <w:tc>
          <w:tcPr>
            <w:tcW w:type="dxa" w:w="46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Verify the deployed URL, sign-in, permissions, and one controlled end-to-end path</w:t>
            </w:r>
          </w:p>
        </w:tc>
        <w:tc>
          <w:tcPr>
            <w:tcW w:type="dxa" w:w="338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No blocker is found and the go-live owner signs off</w:t>
            </w:r>
          </w:p>
        </w:tc>
      </w:tr>
    </w:tbl>
    <w:p>
      <w:pPr>
        <w:spacing w:after="0"/>
      </w:pPr>
    </w:p>
    <w:p>
      <w:pPr>
        <w:pStyle w:val="Heading2"/>
        <w:keepNext/>
      </w:pPr>
      <w:r>
        <w:t>Go live gate</w:t>
      </w:r>
    </w:p>
    <w:p>
      <w:pPr>
        <w:pStyle w:val="ListBullet"/>
        <w:spacing w:after="60"/>
        <w:ind w:left="360" w:hanging="230"/>
      </w:pPr>
      <w:r>
        <w:t>[ ] Every test has an owner, expected result, recorded evidence, and final status.</w:t>
      </w:r>
    </w:p>
    <w:p>
      <w:pPr>
        <w:pStyle w:val="ListBullet"/>
        <w:spacing w:after="60"/>
        <w:ind w:left="360" w:hanging="230"/>
      </w:pPr>
      <w:r>
        <w:t>[ ] No open critical or high-severity defect affects patient identity, access control, clinical documentation, results, medication safety, synchronization, or auditability.</w:t>
      </w:r>
    </w:p>
    <w:p>
      <w:pPr>
        <w:pStyle w:val="ListBullet"/>
        <w:spacing w:after="60"/>
        <w:ind w:left="360" w:hanging="230"/>
      </w:pPr>
      <w:r>
        <w:t>[ ] Backups, monitoring, support escalation, downtime procedures, and rollback ownership have been verified by the responsible technical team.</w:t>
      </w:r>
    </w:p>
    <w:p>
      <w:pPr>
        <w:pStyle w:val="ListBullet"/>
        <w:spacing w:after="60"/>
        <w:ind w:left="360" w:hanging="230"/>
      </w:pPr>
      <w:r>
        <w:t>[ ] Client leaders approve the configured facilities, roles, workflows, training completion, and support plan.</w:t>
      </w:r>
    </w:p>
    <w:p>
      <w:pPr>
        <w:pStyle w:val="ListBullet"/>
        <w:spacing w:after="60"/>
        <w:ind w:left="360" w:hanging="230"/>
      </w:pPr>
      <w:r>
        <w:t>[ ] The go-live decision, date, responsible approver, and unresolved low-risk items are documented.</w:t>
      </w:r>
    </w:p>
    <w:p>
      <w:pPr>
        <w:pStyle w:val="Heading2"/>
        <w:keepNext/>
      </w:pPr>
      <w:r>
        <w:t>Stop conditions</w:t>
      </w:r>
    </w:p>
    <w:p>
      <w:r>
        <w:t>Stop the test or go-live when tenant isolation fails, a user receives unauthorized access, patient identity is ambiguous, a clinical or medication record is lost or attributed incorrectly, offline changes conflict without a safe resolution, or the team cannot restore service according to the approved recovery procedure.</w:t>
      </w:r>
    </w:p>
    <w:p>
      <w:r>
        <w:br w:type="page"/>
      </w:r>
    </w:p>
    <w:p>
      <w:pPr>
        <w:pStyle w:val="Heading1"/>
        <w:keepNext/>
      </w:pPr>
      <w:r>
        <w:t>Preparation checklist</w:t>
      </w:r>
    </w:p>
    <w:p>
      <w:r>
        <w:t>Complete this checklist on the same device and network you will use in the meeting. Rehearse the full journey once and preserve a clean starting state.</w:t>
      </w:r>
    </w:p>
    <w:p>
      <w:pPr>
        <w:pStyle w:val="Heading2"/>
        <w:keepNext/>
      </w:pPr>
      <w:r>
        <w:t>One day before</w:t>
      </w:r>
    </w:p>
    <w:p>
      <w:pPr>
        <w:pStyle w:val="ListBullet"/>
        <w:spacing w:after="60"/>
        <w:ind w:left="360" w:hanging="230"/>
      </w:pPr>
      <w:r>
        <w:t>[ ] Confirm the meeting link, room, display, audio, attendees, and decision maker.</w:t>
      </w:r>
    </w:p>
    <w:p>
      <w:pPr>
        <w:pStyle w:val="ListBullet"/>
        <w:spacing w:after="60"/>
        <w:ind w:left="360" w:hanging="230"/>
      </w:pPr>
      <w:r>
        <w:t>[ ] Ask the client to include representatives from administration, reception, clinical care, laboratory, pharmacy, and IT where possible.</w:t>
      </w:r>
    </w:p>
    <w:p>
      <w:pPr>
        <w:pStyle w:val="ListBullet"/>
        <w:spacing w:after="60"/>
        <w:ind w:left="360" w:hanging="230"/>
      </w:pPr>
      <w:r>
        <w:t>[ ] Confirm the environment contains Mercy Hospital Group and Mercy General Hospital, then verify every test account and access boundary.</w:t>
      </w:r>
    </w:p>
    <w:p>
      <w:pPr>
        <w:pStyle w:val="ListBullet"/>
        <w:spacing w:after="60"/>
        <w:ind w:left="360" w:hanging="230"/>
      </w:pPr>
      <w:r>
        <w:t>[ ] Verify the fictional records have a clean seed state and choose one primary patient journey.</w:t>
      </w:r>
    </w:p>
    <w:p>
      <w:pPr>
        <w:pStyle w:val="ListBullet"/>
        <w:spacing w:after="60"/>
        <w:ind w:left="360" w:hanging="230"/>
      </w:pPr>
      <w:r>
        <w:t>[ ] Prepare a backup journey and screenshots of the critical steps in case connectivity fails.</w:t>
      </w:r>
    </w:p>
    <w:p>
      <w:pPr>
        <w:pStyle w:val="Heading2"/>
        <w:keepNext/>
      </w:pPr>
      <w:r>
        <w:t>Thirty minutes before</w:t>
      </w:r>
    </w:p>
    <w:p>
      <w:pPr>
        <w:pStyle w:val="ListBullet"/>
        <w:spacing w:after="60"/>
        <w:ind w:left="360" w:hanging="230"/>
      </w:pPr>
      <w:r>
        <w:t>[ ] Close unrelated applications and notifications; confirm no real patient data, credentials, secrets, or debugging tools are visible.</w:t>
      </w:r>
    </w:p>
    <w:p>
      <w:pPr>
        <w:pStyle w:val="ListBullet"/>
        <w:spacing w:after="60"/>
        <w:ind w:left="360" w:hanging="230"/>
      </w:pPr>
      <w:r>
        <w:t>[ ] Use a separate browser profile or private window for each role, sign in, and return every tab to its starting page.</w:t>
      </w:r>
    </w:p>
    <w:p>
      <w:pPr>
        <w:pStyle w:val="ListBullet"/>
        <w:spacing w:after="60"/>
        <w:ind w:left="360" w:hanging="230"/>
      </w:pPr>
      <w:r>
        <w:t>[ ] Set readable browser zoom and test the display, primary connection, backup connection, and screenshot fallback.</w:t>
      </w:r>
    </w:p>
    <w:p>
      <w:pPr>
        <w:pStyle w:val="Heading2"/>
        <w:keepNext/>
      </w:pPr>
      <w:r>
        <w:t>Recommended browser tabs</w:t>
      </w:r>
    </w:p>
    <w:tbl>
      <w:tblPr>
        <w:tblStyle w:val="TableGrid"/>
        <w:tblW w:type="auto" w:w="0"/>
        <w:jc w:val="center"/>
        <w:tblLayout w:type="fixed"/>
        <w:tblLook w:firstColumn="1" w:firstRow="1" w:lastColumn="0" w:lastRow="0" w:noHBand="0" w:noVBand="1" w:val="04A0"/>
      </w:tblPr>
      <w:tblGrid>
        <w:gridCol w:w="864"/>
        <w:gridCol w:w="2304"/>
        <w:gridCol w:w="6768"/>
      </w:tblGrid>
      <w:tr>
        <w:trPr>
          <w:tblHeader w:val="true"/>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jc w:val="center"/>
            </w:pPr>
            <w:r/>
            <w:r>
              <w:rPr>
                <w:rFonts w:ascii="Arial" w:hAnsi="Arial"/>
                <w:b/>
                <w:color w:val="FFFFFF"/>
                <w:sz w:val="17"/>
              </w:rPr>
              <w:t>Tab</w:t>
            </w:r>
          </w:p>
        </w:tc>
        <w:tc>
          <w:tcPr>
            <w:tcW w:type="dxa" w:w="230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7"/>
              </w:rPr>
              <w:t>Account</w:t>
            </w:r>
          </w:p>
        </w:tc>
        <w:tc>
          <w:tcPr>
            <w:tcW w:type="dxa" w:w="67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7"/>
              </w:rPr>
              <w:t>Starting point</w:t>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t>1</w:t>
            </w:r>
          </w:p>
        </w:tc>
        <w:tc>
          <w:tcPr>
            <w:tcW w:type="dxa" w:w="230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org.admin</w:t>
            </w:r>
          </w:p>
        </w:tc>
        <w:tc>
          <w:tcPr>
            <w:tcW w:type="dxa" w:w="67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Facility management</w:t>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t>2</w:t>
            </w:r>
          </w:p>
        </w:tc>
        <w:tc>
          <w:tcPr>
            <w:tcW w:type="dxa" w:w="230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desk.mercy</w:t>
            </w:r>
          </w:p>
        </w:tc>
        <w:tc>
          <w:tcPr>
            <w:tcW w:type="dxa" w:w="67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Appointments and registration</w:t>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t>3</w:t>
            </w:r>
          </w:p>
        </w:tc>
        <w:tc>
          <w:tcPr>
            <w:tcW w:type="dxa" w:w="230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nurse.mercy</w:t>
            </w:r>
          </w:p>
        </w:tc>
        <w:tc>
          <w:tcPr>
            <w:tcW w:type="dxa" w:w="67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Patient queue</w:t>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t>4</w:t>
            </w:r>
          </w:p>
        </w:tc>
        <w:tc>
          <w:tcPr>
            <w:tcW w:type="dxa" w:w="230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dr.mercy</w:t>
            </w:r>
          </w:p>
        </w:tc>
        <w:tc>
          <w:tcPr>
            <w:tcW w:type="dxa" w:w="67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Clinical dashboard</w:t>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t>5</w:t>
            </w:r>
          </w:p>
        </w:tc>
        <w:tc>
          <w:tcPr>
            <w:tcW w:type="dxa" w:w="230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lab.mercy</w:t>
            </w:r>
          </w:p>
        </w:tc>
        <w:tc>
          <w:tcPr>
            <w:tcW w:type="dxa" w:w="67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Laboratory queue</w:t>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t>6</w:t>
            </w:r>
          </w:p>
        </w:tc>
        <w:tc>
          <w:tcPr>
            <w:tcW w:type="dxa" w:w="230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pharma.mercy</w:t>
            </w:r>
          </w:p>
        </w:tc>
        <w:tc>
          <w:tcPr>
            <w:tcW w:type="dxa" w:w="67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Pending prescriptions</w:t>
            </w:r>
          </w:p>
        </w:tc>
      </w:tr>
    </w:tbl>
    <w:p>
      <w:pPr>
        <w:spacing w:after="0"/>
      </w:pPr>
    </w:p>
    <w:p>
      <w:r>
        <w:br w:type="page"/>
      </w:r>
    </w:p>
    <w:p>
      <w:pPr>
        <w:pStyle w:val="Heading1"/>
        <w:keepNext/>
      </w:pPr>
      <w:r>
        <w:t>Opening the meeting</w:t>
      </w:r>
    </w:p>
    <w:p>
      <w:pPr>
        <w:pStyle w:val="Heading2"/>
        <w:keepNext/>
      </w:pPr>
      <w:r>
        <w:t>Suggested opening script</w:t>
      </w:r>
    </w:p>
    <w:p>
      <w:pPr>
        <w:spacing w:after="200"/>
        <w:ind w:left="360" w:right="360"/>
      </w:pPr>
      <w:r>
        <w:rPr>
          <w:i/>
        </w:rPr>
        <w:t>“Thank you for meeting with us. Today is not only a product demonstration. We want to understand how your teams work, show how Tamam Health could connect those workflows, and identify what a sensible first pilot would look like. I will use fictional records from Mercy General Hospital. Please stop me whenever a step differs from your current process.”</w:t>
      </w:r>
    </w:p>
    <w:p>
      <w:pPr>
        <w:pStyle w:val="Heading2"/>
        <w:keepNext/>
      </w:pPr>
      <w:r>
        <w:t>Introductions</w:t>
      </w:r>
    </w:p>
    <w:p>
      <w:pPr>
        <w:pStyle w:val="ListBullet"/>
        <w:spacing w:after="60"/>
        <w:ind w:left="360" w:hanging="230"/>
      </w:pPr>
      <w:r>
        <w:t>Ask each participant to state their name, responsibility, facility, and what they want answered today.</w:t>
      </w:r>
    </w:p>
    <w:p>
      <w:pPr>
        <w:pStyle w:val="ListBullet"/>
        <w:spacing w:after="60"/>
        <w:ind w:left="360" w:hanging="230"/>
      </w:pPr>
      <w:r>
        <w:t>Identify who owns clinical workflow decisions, IT readiness, data governance, training, and commercial approval.</w:t>
      </w:r>
    </w:p>
    <w:p>
      <w:pPr>
        <w:pStyle w:val="ListBullet"/>
        <w:spacing w:after="60"/>
        <w:ind w:left="360" w:hanging="230"/>
      </w:pPr>
      <w:r>
        <w:t>Confirm whether anyone must leave early and bring their decision topics forward if needed.</w:t>
      </w:r>
    </w:p>
    <w:p>
      <w:pPr>
        <w:pStyle w:val="Heading2"/>
        <w:keepNext/>
      </w:pPr>
      <w:r>
        <w:t>Discovery before demonstration</w:t>
      </w:r>
    </w:p>
    <w:p>
      <w:pPr>
        <w:pStyle w:val="ListBullet"/>
        <w:spacing w:after="60"/>
        <w:ind w:left="360" w:hanging="230"/>
      </w:pPr>
      <w:r>
        <w:t>How is a patient identified when they first arrive, and what happens when no prior record can be found?</w:t>
      </w:r>
    </w:p>
    <w:p>
      <w:pPr>
        <w:pStyle w:val="ListBullet"/>
        <w:spacing w:after="60"/>
        <w:ind w:left="360" w:hanging="230"/>
      </w:pPr>
      <w:r>
        <w:t>Where do staff currently lose time or repeat information between reception, nursing, clinicians, laboratory, and pharmacy?</w:t>
      </w:r>
    </w:p>
    <w:p>
      <w:pPr>
        <w:pStyle w:val="ListBullet"/>
        <w:spacing w:after="60"/>
        <w:ind w:left="360" w:hanging="230"/>
      </w:pPr>
      <w:r>
        <w:t>Which records remain paper-based, and which systems are already in use?</w:t>
      </w:r>
    </w:p>
    <w:p>
      <w:pPr>
        <w:pStyle w:val="ListBullet"/>
        <w:spacing w:after="60"/>
        <w:ind w:left="360" w:hanging="230"/>
      </w:pPr>
      <w:r>
        <w:t>What causes the most risk today: missing history, duplicate records, delayed results, unavailable medicines, incomplete handoffs, or reporting burden?</w:t>
      </w:r>
    </w:p>
    <w:p>
      <w:pPr>
        <w:pStyle w:val="ListBullet"/>
        <w:spacing w:after="60"/>
        <w:ind w:left="360" w:hanging="230"/>
      </w:pPr>
      <w:r>
        <w:t>How reliable are power, internet, local networking, and access to shared or individual devices?</w:t>
      </w:r>
    </w:p>
    <w:p>
      <w:pPr>
        <w:pStyle w:val="ListBullet"/>
        <w:spacing w:after="60"/>
        <w:ind w:left="360" w:hanging="230"/>
      </w:pPr>
      <w:r>
        <w:t>If a pilot is successful, what should be measurably better after the first month?</w:t>
      </w:r>
    </w:p>
    <w:p>
      <w:pPr>
        <w:pStyle w:val="Heading2"/>
        <w:keepNext/>
      </w:pPr>
      <w:r>
        <w:t>Transition into the product</w:t>
      </w:r>
    </w:p>
    <w:p>
      <w:pPr>
        <w:ind w:left="360"/>
      </w:pPr>
      <w:r>
        <w:rPr>
          <w:i/>
        </w:rPr>
        <w:t>“I heard that your priority is [repeat their words]. I will now follow one patient through the system so we can test whether the workflow addresses that priority. As we move between roles, please tell me who performs each step in your facility.”</w:t>
      </w:r>
    </w:p>
    <w:p>
      <w:r>
        <w:br w:type="page"/>
      </w:r>
    </w:p>
    <w:p>
      <w:pPr>
        <w:pStyle w:val="Heading1"/>
        <w:keepNext/>
      </w:pPr>
      <w:r>
        <w:t>Demonstration story</w:t>
      </w:r>
    </w:p>
    <w:p>
      <w:r>
        <w:t>Use Peter Oyet Lomoro, patient ID MGH-000008, as the primary story. His 09:15 routine outpatient appointment is already checked in, which makes him a clean starting point for a reception-to-clinician journey. Use a second patient only when demonstrating a specific safety or department scenario.</w:t>
      </w:r>
    </w:p>
    <w:p>
      <w:pPr>
        <w:pStyle w:val="Heading2"/>
        <w:keepNext/>
      </w:pPr>
      <w:r>
        <w:t>Organization administrator</w:t>
      </w:r>
    </w:p>
    <w:p>
      <w:pPr>
        <w:spacing w:before="140" w:after="40"/>
      </w:pPr>
      <w:r>
        <w:rPr>
          <w:rFonts w:ascii="Arial" w:hAnsi="Arial"/>
          <w:b/>
          <w:color w:val="176A8A"/>
          <w:sz w:val="15"/>
        </w:rPr>
        <w:t>ACCOUNT</w:t>
      </w:r>
    </w:p>
    <w:p>
      <w:r>
        <w:t>org.admin  |  Mercy Org Administrator  |  Organization-wide scope</w:t>
      </w:r>
    </w:p>
    <w:p>
      <w:pPr>
        <w:spacing w:before="140" w:after="40"/>
      </w:pPr>
      <w:r>
        <w:rPr>
          <w:rFonts w:ascii="Arial" w:hAnsi="Arial"/>
          <w:b/>
          <w:color w:val="176A8A"/>
          <w:sz w:val="15"/>
        </w:rPr>
        <w:t>WALK THROUGH</w:t>
      </w:r>
    </w:p>
    <w:p>
      <w:pPr>
        <w:spacing w:after="80"/>
        <w:ind w:left="490" w:hanging="490"/>
      </w:pPr>
      <w:r>
        <w:rPr>
          <w:rFonts w:ascii="Arial" w:hAnsi="Arial"/>
          <w:b/>
          <w:color w:val="176A8A"/>
          <w:sz w:val="18"/>
        </w:rPr>
        <w:t xml:space="preserve">01  </w:t>
      </w:r>
      <w:r>
        <w:t>Open facility management and orient the client to Mercy Hospital Group and Mercy General Hospital.</w:t>
      </w:r>
    </w:p>
    <w:p>
      <w:pPr>
        <w:spacing w:after="80"/>
        <w:ind w:left="490" w:hanging="490"/>
      </w:pPr>
      <w:r>
        <w:rPr>
          <w:rFonts w:ascii="Arial" w:hAnsi="Arial"/>
          <w:b/>
          <w:color w:val="176A8A"/>
          <w:sz w:val="18"/>
        </w:rPr>
        <w:t xml:space="preserve">02  </w:t>
      </w:r>
      <w:r>
        <w:t>Show how facilities, staff membership, roles, and organization settings are separated from clinical work.</w:t>
      </w:r>
    </w:p>
    <w:p>
      <w:pPr>
        <w:spacing w:after="80"/>
        <w:ind w:left="490" w:hanging="490"/>
      </w:pPr>
      <w:r>
        <w:rPr>
          <w:rFonts w:ascii="Arial" w:hAnsi="Arial"/>
          <w:b/>
          <w:color w:val="176A8A"/>
          <w:sz w:val="18"/>
        </w:rPr>
        <w:t xml:space="preserve">03  </w:t>
      </w:r>
      <w:r>
        <w:t>Open operational or reporting areas relevant to the client, but keep this portion brief.</w:t>
      </w:r>
    </w:p>
    <w:p>
      <w:pPr>
        <w:spacing w:before="140" w:after="40"/>
      </w:pPr>
      <w:r>
        <w:rPr>
          <w:rFonts w:ascii="Arial" w:hAnsi="Arial"/>
          <w:b/>
          <w:color w:val="176A8A"/>
          <w:sz w:val="15"/>
        </w:rPr>
        <w:t>SAY</w:t>
      </w:r>
    </w:p>
    <w:p>
      <w:r>
        <w:t>“The organization administrator manages the structure and access of the organization. Clinical staff receive only the workflows needed for their work, while organization-level oversight remains separate.”</w:t>
      </w:r>
    </w:p>
    <w:p>
      <w:pPr>
        <w:spacing w:before="140" w:after="40"/>
      </w:pPr>
      <w:r>
        <w:rPr>
          <w:rFonts w:ascii="Arial" w:hAnsi="Arial"/>
          <w:b/>
          <w:color w:val="176A8A"/>
          <w:sz w:val="15"/>
        </w:rPr>
        <w:t>ASK</w:t>
      </w:r>
    </w:p>
    <w:p>
      <w:r>
        <w:t>Who should approve users and roles? Does one organization office manage every facility, or does each facility require a local administrator?</w:t>
      </w:r>
    </w:p>
    <w:p>
      <w:pPr>
        <w:pStyle w:val="Heading2"/>
        <w:keepNext/>
      </w:pPr>
      <w:r>
        <w:t>Medical receptionist</w:t>
      </w:r>
    </w:p>
    <w:p>
      <w:pPr>
        <w:spacing w:before="140" w:after="40"/>
      </w:pPr>
      <w:r>
        <w:rPr>
          <w:rFonts w:ascii="Arial" w:hAnsi="Arial"/>
          <w:b/>
          <w:color w:val="176A8A"/>
          <w:sz w:val="15"/>
        </w:rPr>
        <w:t>ACCOUNT</w:t>
      </w:r>
    </w:p>
    <w:p>
      <w:r>
        <w:t>desk.mercy  |  Martha Yar Kuek  |  Mercy General Hospital</w:t>
      </w:r>
    </w:p>
    <w:p>
      <w:pPr>
        <w:spacing w:before="140" w:after="40"/>
      </w:pPr>
      <w:r>
        <w:rPr>
          <w:rFonts w:ascii="Arial" w:hAnsi="Arial"/>
          <w:b/>
          <w:color w:val="176A8A"/>
          <w:sz w:val="15"/>
        </w:rPr>
        <w:t>WALK THROUGH</w:t>
      </w:r>
    </w:p>
    <w:p>
      <w:pPr>
        <w:spacing w:after="80"/>
        <w:ind w:left="490" w:hanging="490"/>
      </w:pPr>
      <w:r>
        <w:rPr>
          <w:rFonts w:ascii="Arial" w:hAnsi="Arial"/>
          <w:b/>
          <w:color w:val="176A8A"/>
          <w:sz w:val="18"/>
        </w:rPr>
        <w:t xml:space="preserve">04  </w:t>
      </w:r>
      <w:r>
        <w:t>Open today’s appointments and locate Peter Oyet Lomoro at 09:15.</w:t>
      </w:r>
    </w:p>
    <w:p>
      <w:pPr>
        <w:spacing w:after="80"/>
        <w:ind w:left="490" w:hanging="490"/>
      </w:pPr>
      <w:r>
        <w:rPr>
          <w:rFonts w:ascii="Arial" w:hAnsi="Arial"/>
          <w:b/>
          <w:color w:val="176A8A"/>
          <w:sz w:val="18"/>
        </w:rPr>
        <w:t xml:space="preserve">05  </w:t>
      </w:r>
      <w:r>
        <w:t>Show the patient identifier MGH-000008 and confirm the record before making any change.</w:t>
      </w:r>
    </w:p>
    <w:p>
      <w:pPr>
        <w:spacing w:after="80"/>
        <w:ind w:left="490" w:hanging="490"/>
      </w:pPr>
      <w:r>
        <w:rPr>
          <w:rFonts w:ascii="Arial" w:hAnsi="Arial"/>
          <w:b/>
          <w:color w:val="176A8A"/>
          <w:sz w:val="18"/>
        </w:rPr>
        <w:t xml:space="preserve">06  </w:t>
      </w:r>
      <w:r>
        <w:t>Explain how registration, search, appointment status, and the next queue step prevent duplicate work.</w:t>
      </w:r>
    </w:p>
    <w:p>
      <w:pPr>
        <w:spacing w:before="140" w:after="40"/>
      </w:pPr>
      <w:r>
        <w:rPr>
          <w:rFonts w:ascii="Arial" w:hAnsi="Arial"/>
          <w:b/>
          <w:color w:val="176A8A"/>
          <w:sz w:val="15"/>
        </w:rPr>
        <w:t>PROOF POINT</w:t>
      </w:r>
    </w:p>
    <w:p>
      <w:r>
        <w:t>The same patient identity follows the patient into clinical care; staff do not need to create a new departmental record.</w:t>
      </w:r>
    </w:p>
    <w:p>
      <w:pPr>
        <w:spacing w:before="140" w:after="40"/>
      </w:pPr>
      <w:r>
        <w:rPr>
          <w:rFonts w:ascii="Arial" w:hAnsi="Arial"/>
          <w:b/>
          <w:color w:val="176A8A"/>
          <w:sz w:val="15"/>
        </w:rPr>
        <w:t>ASK</w:t>
      </w:r>
    </w:p>
    <w:p>
      <w:r>
        <w:t>Which identifiers do you trust today? How do staff resolve similar names, missing IDs, walk-ins, and repeat visits?</w:t>
      </w:r>
    </w:p>
    <w:p>
      <w:r>
        <w:br w:type="page"/>
      </w:r>
    </w:p>
    <w:p>
      <w:pPr>
        <w:pStyle w:val="Heading1"/>
        <w:keepNext/>
      </w:pPr>
      <w:r>
        <w:t>Clinical handoff</w:t>
      </w:r>
    </w:p>
    <w:p>
      <w:pPr>
        <w:pStyle w:val="Heading2"/>
        <w:keepNext/>
      </w:pPr>
      <w:r>
        <w:t>Nurse</w:t>
      </w:r>
    </w:p>
    <w:p>
      <w:pPr>
        <w:spacing w:before="140" w:after="40"/>
      </w:pPr>
      <w:r>
        <w:rPr>
          <w:rFonts w:ascii="Arial" w:hAnsi="Arial"/>
          <w:b/>
          <w:color w:val="176A8A"/>
          <w:sz w:val="15"/>
        </w:rPr>
        <w:t>ACCOUNT</w:t>
      </w:r>
    </w:p>
    <w:p>
      <w:r>
        <w:t>nurse.mercy  |  Nurse Josephine Poni Wani  |  Mercy General Hospital</w:t>
      </w:r>
    </w:p>
    <w:p>
      <w:pPr>
        <w:spacing w:before="140" w:after="40"/>
      </w:pPr>
      <w:r>
        <w:rPr>
          <w:rFonts w:ascii="Arial" w:hAnsi="Arial"/>
          <w:b/>
          <w:color w:val="176A8A"/>
          <w:sz w:val="15"/>
        </w:rPr>
        <w:t>WALK THROUGH</w:t>
      </w:r>
    </w:p>
    <w:p>
      <w:pPr>
        <w:spacing w:after="80"/>
        <w:ind w:left="490" w:hanging="490"/>
      </w:pPr>
      <w:r>
        <w:rPr>
          <w:rFonts w:ascii="Arial" w:hAnsi="Arial"/>
          <w:b/>
          <w:color w:val="176A8A"/>
          <w:sz w:val="18"/>
        </w:rPr>
        <w:t xml:space="preserve">07  </w:t>
      </w:r>
      <w:r>
        <w:t>Open the patient queue and select Peter’s record.</w:t>
      </w:r>
    </w:p>
    <w:p>
      <w:pPr>
        <w:spacing w:after="80"/>
        <w:ind w:left="490" w:hanging="490"/>
      </w:pPr>
      <w:r>
        <w:rPr>
          <w:rFonts w:ascii="Arial" w:hAnsi="Arial"/>
          <w:b/>
          <w:color w:val="176A8A"/>
          <w:sz w:val="18"/>
        </w:rPr>
        <w:t xml:space="preserve">08  </w:t>
      </w:r>
      <w:r>
        <w:t>Review the identity banner and available history before entering triage information.</w:t>
      </w:r>
    </w:p>
    <w:p>
      <w:pPr>
        <w:spacing w:after="80"/>
        <w:ind w:left="490" w:hanging="490"/>
      </w:pPr>
      <w:r>
        <w:rPr>
          <w:rFonts w:ascii="Arial" w:hAnsi="Arial"/>
          <w:b/>
          <w:color w:val="176A8A"/>
          <w:sz w:val="18"/>
        </w:rPr>
        <w:t xml:space="preserve">09  </w:t>
      </w:r>
      <w:r>
        <w:t>Demonstrate the triage or rooming step, then show how the patient becomes ready for the clinician.</w:t>
      </w:r>
    </w:p>
    <w:p>
      <w:pPr>
        <w:spacing w:after="80"/>
        <w:ind w:left="490" w:hanging="490"/>
      </w:pPr>
      <w:r>
        <w:rPr>
          <w:rFonts w:ascii="Arial" w:hAnsi="Arial"/>
          <w:b/>
          <w:color w:val="176A8A"/>
          <w:sz w:val="18"/>
        </w:rPr>
        <w:t xml:space="preserve">10  </w:t>
      </w:r>
      <w:r>
        <w:t>Point out where allergies, observations, notes, or handoff information would be visible to the next authorized user.</w:t>
      </w:r>
    </w:p>
    <w:p>
      <w:pPr>
        <w:spacing w:before="140" w:after="40"/>
      </w:pPr>
      <w:r>
        <w:rPr>
          <w:rFonts w:ascii="Arial" w:hAnsi="Arial"/>
          <w:b/>
          <w:color w:val="176A8A"/>
          <w:sz w:val="15"/>
        </w:rPr>
        <w:t>SAY</w:t>
      </w:r>
    </w:p>
    <w:p>
      <w:r>
        <w:t>“The nurse adds structured information to the same record opened by reception. The clinician receives the context without re-entering it, and the handoff is visible rather than verbal only.”</w:t>
      </w:r>
    </w:p>
    <w:p>
      <w:pPr>
        <w:spacing w:before="140" w:after="40"/>
      </w:pPr>
      <w:r>
        <w:rPr>
          <w:rFonts w:ascii="Arial" w:hAnsi="Arial"/>
          <w:b/>
          <w:color w:val="176A8A"/>
          <w:sz w:val="15"/>
        </w:rPr>
        <w:t>ASK</w:t>
      </w:r>
    </w:p>
    <w:p>
      <w:r>
        <w:t>Who records vital signs? What makes a patient urgent? Which information must be mandatory before the clinician sees the patient?</w:t>
      </w:r>
    </w:p>
    <w:p>
      <w:pPr>
        <w:pStyle w:val="Heading2"/>
        <w:keepNext/>
      </w:pPr>
      <w:r>
        <w:t>Doctor</w:t>
      </w:r>
    </w:p>
    <w:p>
      <w:pPr>
        <w:spacing w:before="140" w:after="40"/>
      </w:pPr>
      <w:r>
        <w:rPr>
          <w:rFonts w:ascii="Arial" w:hAnsi="Arial"/>
          <w:b/>
          <w:color w:val="176A8A"/>
          <w:sz w:val="15"/>
        </w:rPr>
        <w:t>ACCOUNT</w:t>
      </w:r>
    </w:p>
    <w:p>
      <w:r>
        <w:t>dr.mercy  |  Dr. Grace Lado  |  Mercy General Hospital</w:t>
      </w:r>
    </w:p>
    <w:p>
      <w:pPr>
        <w:spacing w:before="140" w:after="40"/>
      </w:pPr>
      <w:r>
        <w:rPr>
          <w:rFonts w:ascii="Arial" w:hAnsi="Arial"/>
          <w:b/>
          <w:color w:val="176A8A"/>
          <w:sz w:val="15"/>
        </w:rPr>
        <w:t>WALK THROUGH</w:t>
      </w:r>
    </w:p>
    <w:p>
      <w:pPr>
        <w:spacing w:after="80"/>
        <w:ind w:left="490" w:hanging="490"/>
      </w:pPr>
      <w:r>
        <w:rPr>
          <w:rFonts w:ascii="Arial" w:hAnsi="Arial"/>
          <w:b/>
          <w:color w:val="176A8A"/>
          <w:sz w:val="18"/>
        </w:rPr>
        <w:t xml:space="preserve">11  </w:t>
      </w:r>
      <w:r>
        <w:t>Open Peter’s record from the clinical queue rather than searching independently.</w:t>
      </w:r>
    </w:p>
    <w:p>
      <w:pPr>
        <w:spacing w:after="80"/>
        <w:ind w:left="490" w:hanging="490"/>
      </w:pPr>
      <w:r>
        <w:rPr>
          <w:rFonts w:ascii="Arial" w:hAnsi="Arial"/>
          <w:b/>
          <w:color w:val="176A8A"/>
          <w:sz w:val="18"/>
        </w:rPr>
        <w:t xml:space="preserve">12  </w:t>
      </w:r>
      <w:r>
        <w:t>Review the longitudinal chart, recent observations, allergies, medications, and encounter context.</w:t>
      </w:r>
    </w:p>
    <w:p>
      <w:pPr>
        <w:spacing w:after="80"/>
        <w:ind w:left="490" w:hanging="490"/>
      </w:pPr>
      <w:r>
        <w:rPr>
          <w:rFonts w:ascii="Arial" w:hAnsi="Arial"/>
          <w:b/>
          <w:color w:val="176A8A"/>
          <w:sz w:val="18"/>
        </w:rPr>
        <w:t xml:space="preserve">13  </w:t>
      </w:r>
      <w:r>
        <w:t>Show the consultation workflow and where diagnosis, notes, laboratory orders, prescriptions, or referrals are created.</w:t>
      </w:r>
    </w:p>
    <w:p>
      <w:pPr>
        <w:spacing w:after="80"/>
        <w:ind w:left="490" w:hanging="490"/>
      </w:pPr>
      <w:r>
        <w:rPr>
          <w:rFonts w:ascii="Arial" w:hAnsi="Arial"/>
          <w:b/>
          <w:color w:val="176A8A"/>
          <w:sz w:val="18"/>
        </w:rPr>
        <w:t xml:space="preserve">14  </w:t>
      </w:r>
      <w:r>
        <w:t>Before saving any demonstration change, clearly state whether it will alter shared seed data. Prefer non-destructive viewing during the client meeting.</w:t>
      </w:r>
    </w:p>
    <w:p>
      <w:pPr>
        <w:spacing w:before="140" w:after="40"/>
      </w:pPr>
      <w:r>
        <w:rPr>
          <w:rFonts w:ascii="Arial" w:hAnsi="Arial"/>
          <w:b/>
          <w:color w:val="176A8A"/>
          <w:sz w:val="15"/>
        </w:rPr>
        <w:t>PROOF POINT</w:t>
      </w:r>
    </w:p>
    <w:p>
      <w:r>
        <w:t>The clinician sees the information collected upstream and can create downstream work without breaking the patient record into separate files.</w:t>
      </w:r>
    </w:p>
    <w:p>
      <w:pPr>
        <w:spacing w:before="140" w:after="40"/>
      </w:pPr>
      <w:r>
        <w:rPr>
          <w:rFonts w:ascii="Arial" w:hAnsi="Arial"/>
          <w:b/>
          <w:color w:val="176A8A"/>
          <w:sz w:val="15"/>
        </w:rPr>
        <w:t>ASK</w:t>
      </w:r>
    </w:p>
    <w:p>
      <w:r>
        <w:t>Which templates, diagnoses, order types, referral destinations, and approval rules are essential on day one?</w:t>
      </w:r>
    </w:p>
    <w:p>
      <w:r>
        <w:br w:type="page"/>
      </w:r>
    </w:p>
    <w:p>
      <w:pPr>
        <w:pStyle w:val="Heading1"/>
        <w:keepNext/>
      </w:pPr>
      <w:r>
        <w:t>Department workflows</w:t>
      </w:r>
    </w:p>
    <w:p>
      <w:pPr>
        <w:pStyle w:val="Heading2"/>
        <w:keepNext/>
      </w:pPr>
      <w:r>
        <w:t>Laboratory</w:t>
      </w:r>
    </w:p>
    <w:p>
      <w:pPr>
        <w:spacing w:before="140" w:after="40"/>
      </w:pPr>
      <w:r>
        <w:rPr>
          <w:rFonts w:ascii="Arial" w:hAnsi="Arial"/>
          <w:b/>
          <w:color w:val="176A8A"/>
          <w:sz w:val="15"/>
        </w:rPr>
        <w:t>ACCOUNT</w:t>
      </w:r>
    </w:p>
    <w:p>
      <w:r>
        <w:t>lab.mercy  |  Simon Machar Dhieu  |  Mercy General Hospital</w:t>
      </w:r>
    </w:p>
    <w:p>
      <w:pPr>
        <w:spacing w:before="140" w:after="40"/>
      </w:pPr>
      <w:r>
        <w:rPr>
          <w:rFonts w:ascii="Arial" w:hAnsi="Arial"/>
          <w:b/>
          <w:color w:val="176A8A"/>
          <w:sz w:val="15"/>
        </w:rPr>
        <w:t>WALK THROUGH</w:t>
      </w:r>
    </w:p>
    <w:p>
      <w:pPr>
        <w:spacing w:after="80"/>
        <w:ind w:left="490" w:hanging="490"/>
      </w:pPr>
      <w:r>
        <w:rPr>
          <w:rFonts w:ascii="Arial" w:hAnsi="Arial"/>
          <w:b/>
          <w:color w:val="176A8A"/>
          <w:sz w:val="18"/>
        </w:rPr>
        <w:t xml:space="preserve">15  </w:t>
      </w:r>
      <w:r>
        <w:t>Open the laboratory work queue and explain how an order arrives from the clinical encounter.</w:t>
      </w:r>
    </w:p>
    <w:p>
      <w:pPr>
        <w:spacing w:after="80"/>
        <w:ind w:left="490" w:hanging="490"/>
      </w:pPr>
      <w:r>
        <w:rPr>
          <w:rFonts w:ascii="Arial" w:hAnsi="Arial"/>
          <w:b/>
          <w:color w:val="176A8A"/>
          <w:sz w:val="18"/>
        </w:rPr>
        <w:t xml:space="preserve">16  </w:t>
      </w:r>
      <w:r>
        <w:t>Show the lifecycle from order to specimen collection, processing, and result entry when those steps are available in the environment.</w:t>
      </w:r>
    </w:p>
    <w:p>
      <w:pPr>
        <w:spacing w:after="80"/>
        <w:ind w:left="490" w:hanging="490"/>
      </w:pPr>
      <w:r>
        <w:rPr>
          <w:rFonts w:ascii="Arial" w:hAnsi="Arial"/>
          <w:b/>
          <w:color w:val="176A8A"/>
          <w:sz w:val="18"/>
        </w:rPr>
        <w:t xml:space="preserve">17  </w:t>
      </w:r>
      <w:r>
        <w:t>Point out abnormal or critical result handling and show where the result returns to the patient chart.</w:t>
      </w:r>
    </w:p>
    <w:p>
      <w:pPr>
        <w:spacing w:before="140" w:after="40"/>
      </w:pPr>
      <w:r>
        <w:rPr>
          <w:rFonts w:ascii="Arial" w:hAnsi="Arial"/>
          <w:b/>
          <w:color w:val="176A8A"/>
          <w:sz w:val="15"/>
        </w:rPr>
        <w:t>ASK</w:t>
      </w:r>
    </w:p>
    <w:p>
      <w:r>
        <w:t>How are samples labeled? Which tests are performed on site? Who validates results? How should critical results be escalated?</w:t>
      </w:r>
    </w:p>
    <w:p>
      <w:r>
        <w:br w:type="page"/>
      </w:r>
    </w:p>
    <w:p>
      <w:pPr>
        <w:pStyle w:val="Heading2"/>
        <w:keepNext/>
      </w:pPr>
      <w:r>
        <w:t>Pharmacy</w:t>
      </w:r>
    </w:p>
    <w:p>
      <w:pPr>
        <w:spacing w:before="140" w:after="40"/>
      </w:pPr>
      <w:r>
        <w:rPr>
          <w:rFonts w:ascii="Arial" w:hAnsi="Arial"/>
          <w:b/>
          <w:color w:val="176A8A"/>
          <w:sz w:val="15"/>
        </w:rPr>
        <w:t>ACCOUNT</w:t>
      </w:r>
    </w:p>
    <w:p>
      <w:r>
        <w:t>pharma.mercy  |  Emmanuel Loro Wani  |  Mercy General Hospital</w:t>
      </w:r>
    </w:p>
    <w:p>
      <w:pPr>
        <w:spacing w:before="140" w:after="40"/>
      </w:pPr>
      <w:r>
        <w:rPr>
          <w:rFonts w:ascii="Arial" w:hAnsi="Arial"/>
          <w:b/>
          <w:color w:val="176A8A"/>
          <w:sz w:val="15"/>
        </w:rPr>
        <w:t>RECOMMENDED RECORD</w:t>
      </w:r>
    </w:p>
    <w:p>
      <w:r>
        <w:t>Use Emmanuel Kenyi Duku, MGH-000002, with a pending metformin prescription and recorded penicillin allergy. Use Margaret Nyanut Riek, MGH-000007, with pending ferrous sulfate as the backup.</w:t>
      </w:r>
    </w:p>
    <w:p>
      <w:pPr>
        <w:spacing w:before="140" w:after="40"/>
      </w:pPr>
      <w:r>
        <w:rPr>
          <w:rFonts w:ascii="Arial" w:hAnsi="Arial"/>
          <w:b/>
          <w:color w:val="176A8A"/>
          <w:sz w:val="15"/>
        </w:rPr>
        <w:t>WALK THROUGH</w:t>
      </w:r>
    </w:p>
    <w:p>
      <w:pPr>
        <w:spacing w:after="80"/>
        <w:ind w:left="490" w:hanging="490"/>
      </w:pPr>
      <w:r>
        <w:rPr>
          <w:rFonts w:ascii="Arial" w:hAnsi="Arial"/>
          <w:b/>
          <w:color w:val="176A8A"/>
          <w:sz w:val="18"/>
        </w:rPr>
        <w:t xml:space="preserve">18  </w:t>
      </w:r>
      <w:r>
        <w:t>Open pending prescriptions and select the prepared fictional record.</w:t>
      </w:r>
    </w:p>
    <w:p>
      <w:pPr>
        <w:spacing w:after="80"/>
        <w:ind w:left="490" w:hanging="490"/>
      </w:pPr>
      <w:r>
        <w:rPr>
          <w:rFonts w:ascii="Arial" w:hAnsi="Arial"/>
          <w:b/>
          <w:color w:val="176A8A"/>
          <w:sz w:val="18"/>
        </w:rPr>
        <w:t xml:space="preserve">19  </w:t>
      </w:r>
      <w:r>
        <w:t>Review patient identity, medication, status, and available allergy information before dispensing.</w:t>
      </w:r>
    </w:p>
    <w:p>
      <w:pPr>
        <w:spacing w:after="80"/>
        <w:ind w:left="490" w:hanging="490"/>
      </w:pPr>
      <w:r>
        <w:rPr>
          <w:rFonts w:ascii="Arial" w:hAnsi="Arial"/>
          <w:b/>
          <w:color w:val="176A8A"/>
          <w:sz w:val="18"/>
        </w:rPr>
        <w:t xml:space="preserve">20  </w:t>
      </w:r>
      <w:r>
        <w:t>Show inventory context. If useful, point to low-stock examples such as amoxicillin or ferrous sulfate.</w:t>
      </w:r>
    </w:p>
    <w:p>
      <w:pPr>
        <w:spacing w:after="80"/>
        <w:ind w:left="490" w:hanging="490"/>
      </w:pPr>
      <w:r>
        <w:rPr>
          <w:rFonts w:ascii="Arial" w:hAnsi="Arial"/>
          <w:b/>
          <w:color w:val="176A8A"/>
          <w:sz w:val="18"/>
        </w:rPr>
        <w:t xml:space="preserve">21  </w:t>
      </w:r>
      <w:r>
        <w:t>Explain how the completed action becomes part of the same patient record and operational inventory trail.</w:t>
      </w:r>
    </w:p>
    <w:p>
      <w:pPr>
        <w:spacing w:before="140" w:after="40"/>
      </w:pPr>
      <w:r>
        <w:rPr>
          <w:rFonts w:ascii="Arial" w:hAnsi="Arial"/>
          <w:b/>
          <w:color w:val="176A8A"/>
          <w:sz w:val="15"/>
        </w:rPr>
        <w:t>ASK</w:t>
      </w:r>
    </w:p>
    <w:p>
      <w:r>
        <w:t>Who may dispense? Are substitutions permitted? How are stock counts corrected? What happens when a medicine is unavailable or an allergy conflict is found?</w:t>
      </w:r>
    </w:p>
    <w:p>
      <w:pPr>
        <w:pStyle w:val="Heading2"/>
        <w:keepNext/>
      </w:pPr>
      <w:r>
        <w:t>Close the story</w:t>
      </w:r>
    </w:p>
    <w:p>
      <w:r>
        <w:t>Return to the patient chart or organization view and summarize the journey in the client’s language: one identity, role-specific actions, visible handoffs, and a record that remains connected across departments.</w:t>
      </w:r>
    </w:p>
    <w:p>
      <w:r>
        <w:br w:type="page"/>
      </w:r>
    </w:p>
    <w:p>
      <w:pPr>
        <w:pStyle w:val="Heading1"/>
        <w:keepNext/>
      </w:pPr>
      <w:r>
        <w:t>Mercy organization test users</w:t>
      </w:r>
    </w:p>
    <w:p>
      <w:r>
        <w:t>These are the complete seeded client-organization accounts for Mercy Hospital Group. The platform super administrator is intentionally excluded because it is not a client role.</w:t>
      </w:r>
    </w:p>
    <w:tbl>
      <w:tblPr>
        <w:tblStyle w:val="TableGrid"/>
        <w:tblW w:type="auto" w:w="0"/>
        <w:jc w:val="center"/>
        <w:tblLayout w:type="fixed"/>
        <w:tblLook w:firstColumn="1" w:firstRow="1" w:lastColumn="0" w:lastRow="0" w:noHBand="0" w:noVBand="1" w:val="04A0"/>
      </w:tblPr>
      <w:tblGrid>
        <w:gridCol w:w="1512"/>
        <w:gridCol w:w="2304"/>
        <w:gridCol w:w="1800"/>
        <w:gridCol w:w="2088"/>
        <w:gridCol w:w="2880"/>
      </w:tblGrid>
      <w:tr>
        <w:trPr>
          <w:tblHeader w:val="true"/>
          <w:cantSplit/>
        </w:trPr>
        <w:tc>
          <w:tcPr>
            <w:tcW w:type="dxa" w:w="15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jc w:val="center"/>
            </w:pPr>
            <w:r/>
            <w:r>
              <w:rPr>
                <w:rFonts w:ascii="Arial" w:hAnsi="Arial"/>
                <w:b/>
                <w:color w:val="FFFFFF"/>
                <w:sz w:val="16"/>
              </w:rPr>
              <w:t>Username</w:t>
            </w:r>
          </w:p>
        </w:tc>
        <w:tc>
          <w:tcPr>
            <w:tcW w:type="dxa" w:w="230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6"/>
              </w:rPr>
              <w:t>Test user</w:t>
            </w:r>
          </w:p>
        </w:tc>
        <w:tc>
          <w:tcPr>
            <w:tcW w:type="dxa" w:w="180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6"/>
              </w:rPr>
              <w:t>Role</w:t>
            </w:r>
          </w:p>
        </w:tc>
        <w:tc>
          <w:tcPr>
            <w:tcW w:type="dxa" w:w="20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6"/>
              </w:rPr>
              <w:t>Scope</w:t>
            </w:r>
          </w:p>
        </w:tc>
        <w:tc>
          <w:tcPr>
            <w:tcW w:type="dxa" w:w="28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6"/>
              </w:rPr>
              <w:t>Use in meeting</w:t>
            </w:r>
          </w:p>
        </w:tc>
      </w:tr>
      <w:tr>
        <w:trPr>
          <w:cantSplit/>
        </w:trPr>
        <w:tc>
          <w:tcPr>
            <w:tcW w:type="dxa" w:w="15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6"/>
              </w:rPr>
              <w:t>org.admin</w:t>
            </w:r>
          </w:p>
        </w:tc>
        <w:tc>
          <w:tcPr>
            <w:tcW w:type="dxa" w:w="230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Mercy Org Administrator</w:t>
            </w:r>
          </w:p>
        </w:tc>
        <w:tc>
          <w:tcPr>
            <w:tcW w:type="dxa" w:w="180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Org Admin</w:t>
            </w:r>
          </w:p>
        </w:tc>
        <w:tc>
          <w:tcPr>
            <w:tcW w:type="dxa" w:w="20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Mercy Hospital Group</w:t>
            </w:r>
          </w:p>
        </w:tc>
        <w:tc>
          <w:tcPr>
            <w:tcW w:type="dxa" w:w="28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Organization, facility, staff, settings, reports</w:t>
            </w:r>
          </w:p>
        </w:tc>
      </w:tr>
      <w:tr>
        <w:trPr>
          <w:cantSplit/>
        </w:trPr>
        <w:tc>
          <w:tcPr>
            <w:tcW w:type="dxa" w:w="15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6"/>
              </w:rPr>
              <w:t>desk.mercy</w:t>
            </w:r>
          </w:p>
        </w:tc>
        <w:tc>
          <w:tcPr>
            <w:tcW w:type="dxa" w:w="230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Martha Yar Kuek</w:t>
            </w:r>
          </w:p>
        </w:tc>
        <w:tc>
          <w:tcPr>
            <w:tcW w:type="dxa" w:w="180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Medical Receptionist</w:t>
            </w:r>
          </w:p>
        </w:tc>
        <w:tc>
          <w:tcPr>
            <w:tcW w:type="dxa" w:w="20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Mercy General Hospital</w:t>
            </w:r>
          </w:p>
        </w:tc>
        <w:tc>
          <w:tcPr>
            <w:tcW w:type="dxa" w:w="28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Registration, patient search, appointments, check-in</w:t>
            </w:r>
          </w:p>
        </w:tc>
      </w:tr>
      <w:tr>
        <w:trPr>
          <w:cantSplit/>
        </w:trPr>
        <w:tc>
          <w:tcPr>
            <w:tcW w:type="dxa" w:w="15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6"/>
              </w:rPr>
              <w:t>nurse.mercy</w:t>
            </w:r>
          </w:p>
        </w:tc>
        <w:tc>
          <w:tcPr>
            <w:tcW w:type="dxa" w:w="230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Nurse Josephine Poni Wani</w:t>
            </w:r>
          </w:p>
        </w:tc>
        <w:tc>
          <w:tcPr>
            <w:tcW w:type="dxa" w:w="180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Nurse</w:t>
            </w:r>
          </w:p>
        </w:tc>
        <w:tc>
          <w:tcPr>
            <w:tcW w:type="dxa" w:w="20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Mercy General Hospital</w:t>
            </w:r>
          </w:p>
        </w:tc>
        <w:tc>
          <w:tcPr>
            <w:tcW w:type="dxa" w:w="28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Queue, triage, rooming, handoff, ward workflows</w:t>
            </w:r>
          </w:p>
        </w:tc>
      </w:tr>
      <w:tr>
        <w:trPr>
          <w:cantSplit/>
        </w:trPr>
        <w:tc>
          <w:tcPr>
            <w:tcW w:type="dxa" w:w="15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6"/>
              </w:rPr>
              <w:t>dr.mercy</w:t>
            </w:r>
          </w:p>
        </w:tc>
        <w:tc>
          <w:tcPr>
            <w:tcW w:type="dxa" w:w="230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Dr. Grace Lado</w:t>
            </w:r>
          </w:p>
        </w:tc>
        <w:tc>
          <w:tcPr>
            <w:tcW w:type="dxa" w:w="180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Doctor</w:t>
            </w:r>
          </w:p>
        </w:tc>
        <w:tc>
          <w:tcPr>
            <w:tcW w:type="dxa" w:w="20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Mercy General Hospital</w:t>
            </w:r>
          </w:p>
        </w:tc>
        <w:tc>
          <w:tcPr>
            <w:tcW w:type="dxa" w:w="28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Chart review, consultation, orders, prescriptions, referrals</w:t>
            </w:r>
          </w:p>
        </w:tc>
      </w:tr>
      <w:tr>
        <w:trPr>
          <w:cantSplit/>
        </w:trPr>
        <w:tc>
          <w:tcPr>
            <w:tcW w:type="dxa" w:w="15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6"/>
              </w:rPr>
              <w:t>lab.mercy</w:t>
            </w:r>
          </w:p>
        </w:tc>
        <w:tc>
          <w:tcPr>
            <w:tcW w:type="dxa" w:w="230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Simon Machar Dhieu</w:t>
            </w:r>
          </w:p>
        </w:tc>
        <w:tc>
          <w:tcPr>
            <w:tcW w:type="dxa" w:w="180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Lab Tech</w:t>
            </w:r>
          </w:p>
        </w:tc>
        <w:tc>
          <w:tcPr>
            <w:tcW w:type="dxa" w:w="20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Mercy General Hospital</w:t>
            </w:r>
          </w:p>
        </w:tc>
        <w:tc>
          <w:tcPr>
            <w:tcW w:type="dxa" w:w="28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Orders, specimens, results, abnormal and critical handling</w:t>
            </w:r>
          </w:p>
        </w:tc>
      </w:tr>
      <w:tr>
        <w:trPr>
          <w:cantSplit/>
        </w:trPr>
        <w:tc>
          <w:tcPr>
            <w:tcW w:type="dxa" w:w="15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6"/>
              </w:rPr>
              <w:t>pharma.mercy</w:t>
            </w:r>
          </w:p>
        </w:tc>
        <w:tc>
          <w:tcPr>
            <w:tcW w:type="dxa" w:w="230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Emmanuel Loro Wani</w:t>
            </w:r>
          </w:p>
        </w:tc>
        <w:tc>
          <w:tcPr>
            <w:tcW w:type="dxa" w:w="180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Pharmacist</w:t>
            </w:r>
          </w:p>
        </w:tc>
        <w:tc>
          <w:tcPr>
            <w:tcW w:type="dxa" w:w="20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Mercy General Hospital</w:t>
            </w:r>
          </w:p>
        </w:tc>
        <w:tc>
          <w:tcPr>
            <w:tcW w:type="dxa" w:w="28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Prescriptions, allergies, dispensing, stock visibility</w:t>
            </w:r>
          </w:p>
        </w:tc>
      </w:tr>
    </w:tbl>
    <w:p>
      <w:pPr>
        <w:spacing w:after="0"/>
      </w:pPr>
    </w:p>
    <w:p>
      <w:pPr>
        <w:pStyle w:val="Heading2"/>
        <w:keepNext/>
      </w:pPr>
      <w:r>
        <w:t>Credential handling</w:t>
      </w:r>
    </w:p>
    <w:p>
      <w:pPr>
        <w:pStyle w:val="ListBullet"/>
        <w:spacing w:after="60"/>
        <w:ind w:left="360" w:hanging="230"/>
      </w:pPr>
      <w:r>
        <w:t>Passwords vary by demonstration environment and are not recorded in this document.</w:t>
      </w:r>
    </w:p>
    <w:p>
      <w:pPr>
        <w:pStyle w:val="ListBullet"/>
        <w:spacing w:after="60"/>
        <w:ind w:left="360" w:hanging="230"/>
      </w:pPr>
      <w:r>
        <w:t>Use the login page demo account picker when it is enabled. It fills the approved local demonstration credentials.</w:t>
      </w:r>
    </w:p>
    <w:p>
      <w:pPr>
        <w:pStyle w:val="ListBullet"/>
        <w:spacing w:after="60"/>
        <w:ind w:left="360" w:hanging="230"/>
      </w:pPr>
      <w:r>
        <w:t>If direct credentials are required, retrieve them locally from platform/.seed-credentials.json and transfer them only through the approved secure channel.</w:t>
      </w:r>
    </w:p>
    <w:p>
      <w:pPr>
        <w:pStyle w:val="ListBullet"/>
        <w:spacing w:after="60"/>
        <w:ind w:left="360" w:hanging="230"/>
      </w:pPr>
      <w:r>
        <w:t>Verify all six accounts immediately before the meeting. A connected deployment may intentionally hide demo credentials.</w:t>
      </w:r>
    </w:p>
    <w:p>
      <w:pPr>
        <w:pStyle w:val="Heading2"/>
        <w:keepNext/>
      </w:pPr>
      <w:r>
        <w:t>Role boundary checks</w:t>
      </w:r>
    </w:p>
    <w:p>
      <w:pPr>
        <w:pStyle w:val="ListBullet"/>
        <w:spacing w:after="60"/>
        <w:ind w:left="360" w:hanging="230"/>
      </w:pPr>
      <w:r>
        <w:t>[ ] A facility user should see Mercy General Hospital data, not another organization’s records.</w:t>
      </w:r>
    </w:p>
    <w:p>
      <w:pPr>
        <w:pStyle w:val="ListBullet"/>
        <w:spacing w:after="60"/>
        <w:ind w:left="360" w:hanging="230"/>
      </w:pPr>
      <w:r>
        <w:t>[ ] A receptionist should not gain clinical, laboratory, pharmacy, or organization-administration privileges merely because those pages exist.</w:t>
      </w:r>
    </w:p>
    <w:p>
      <w:pPr>
        <w:pStyle w:val="ListBullet"/>
        <w:spacing w:after="60"/>
        <w:ind w:left="360" w:hanging="230"/>
      </w:pPr>
      <w:r>
        <w:t>[ ] A nurse, doctor, lab tech, and pharmacist should each see the workflow appropriate to their role.</w:t>
      </w:r>
    </w:p>
    <w:p>
      <w:pPr>
        <w:pStyle w:val="ListBullet"/>
        <w:spacing w:after="60"/>
        <w:ind w:left="360" w:hanging="230"/>
      </w:pPr>
      <w:r>
        <w:t>[ ] The organization administrator should manage Mercy organization resources without entering the platform-super-admin experience.</w:t>
      </w:r>
    </w:p>
    <w:p>
      <w:r>
        <w:br w:type="page"/>
      </w:r>
    </w:p>
    <w:p>
      <w:pPr>
        <w:pStyle w:val="Heading1"/>
        <w:keepNext/>
      </w:pPr>
      <w:r>
        <w:t>Acceptance test record</w:t>
      </w:r>
    </w:p>
    <w:p>
      <w:r>
        <w:t>Complete this record for the exact build proposed for release. Store screenshots, timestamps, request identifiers, and defect links in the agreed evidence location. Do not mark a test as passed from memory or from a different build.</w:t>
      </w:r>
    </w:p>
    <w:tbl>
      <w:tblPr>
        <w:tblStyle w:val="TableGrid"/>
        <w:tblW w:type="auto" w:w="0"/>
        <w:jc w:val="center"/>
        <w:tblLayout w:type="fixed"/>
        <w:tblLook w:firstColumn="1" w:firstRow="1" w:lastColumn="0" w:lastRow="0" w:noHBand="0" w:noVBand="1" w:val="04A0"/>
      </w:tblPr>
      <w:tblGrid>
        <w:gridCol w:w="3240"/>
        <w:gridCol w:w="6768"/>
      </w:tblGrid>
      <w:tr>
        <w:trPr>
          <w:tblHeader w:val="true"/>
          <w:cantSplit/>
        </w:trPr>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8"/>
              </w:rPr>
              <w:t>Test detail</w:t>
            </w:r>
          </w:p>
        </w:tc>
        <w:tc>
          <w:tcPr>
            <w:tcW w:type="dxa" w:w="67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8"/>
              </w:rPr>
              <w:t>Entry</w:t>
            </w:r>
          </w:p>
        </w:tc>
      </w:tr>
      <w:tr>
        <w:trPr>
          <w:cantSplit/>
        </w:trPr>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8"/>
              </w:rPr>
              <w:t>Environment and URL</w:t>
            </w:r>
          </w:p>
        </w:tc>
        <w:tc>
          <w:tcPr>
            <w:tcW w:type="dxa" w:w="67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8"/>
              </w:rPr>
            </w:r>
          </w:p>
        </w:tc>
      </w:tr>
      <w:tr>
        <w:trPr>
          <w:cantSplit/>
        </w:trPr>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8"/>
              </w:rPr>
              <w:t>Build or release identifier</w:t>
            </w:r>
          </w:p>
        </w:tc>
        <w:tc>
          <w:tcPr>
            <w:tcW w:type="dxa" w:w="67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8"/>
              </w:rPr>
            </w:r>
          </w:p>
        </w:tc>
      </w:tr>
      <w:tr>
        <w:trPr>
          <w:cantSplit/>
        </w:trPr>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8"/>
              </w:rPr>
              <w:t>Database or seed version</w:t>
            </w:r>
          </w:p>
        </w:tc>
        <w:tc>
          <w:tcPr>
            <w:tcW w:type="dxa" w:w="67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8"/>
              </w:rPr>
            </w:r>
          </w:p>
        </w:tc>
      </w:tr>
      <w:tr>
        <w:trPr>
          <w:cantSplit/>
        </w:trPr>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8"/>
              </w:rPr>
              <w:t>Test lead and client witness</w:t>
            </w:r>
          </w:p>
        </w:tc>
        <w:tc>
          <w:tcPr>
            <w:tcW w:type="dxa" w:w="67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8"/>
              </w:rPr>
            </w:r>
          </w:p>
        </w:tc>
      </w:tr>
      <w:tr>
        <w:trPr>
          <w:cantSplit/>
        </w:trPr>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8"/>
              </w:rPr>
              <w:t>Execution date and timezone</w:t>
            </w:r>
          </w:p>
        </w:tc>
        <w:tc>
          <w:tcPr>
            <w:tcW w:type="dxa" w:w="67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8"/>
              </w:rPr>
            </w:r>
          </w:p>
        </w:tc>
      </w:tr>
      <w:tr>
        <w:trPr>
          <w:cantSplit/>
        </w:trPr>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8"/>
              </w:rPr>
              <w:t>Evidence location</w:t>
            </w:r>
          </w:p>
        </w:tc>
        <w:tc>
          <w:tcPr>
            <w:tcW w:type="dxa" w:w="67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8"/>
              </w:rPr>
            </w:r>
          </w:p>
        </w:tc>
      </w:tr>
    </w:tbl>
    <w:p>
      <w:pPr>
        <w:spacing w:after="0"/>
      </w:pPr>
    </w:p>
    <w:p>
      <w:pPr>
        <w:pStyle w:val="Heading2"/>
        <w:keepNext/>
      </w:pPr>
      <w:r>
        <w:t>Foundation and access tests</w:t>
      </w:r>
    </w:p>
    <w:tbl>
      <w:tblPr>
        <w:tblStyle w:val="TableGrid"/>
        <w:tblW w:type="auto" w:w="0"/>
        <w:jc w:val="center"/>
        <w:tblLayout w:type="fixed"/>
        <w:tblLook w:firstColumn="1" w:firstRow="1" w:lastColumn="0" w:lastRow="0" w:noHBand="0" w:noVBand="1" w:val="04A0"/>
      </w:tblPr>
      <w:tblGrid>
        <w:gridCol w:w="864"/>
        <w:gridCol w:w="3096"/>
        <w:gridCol w:w="4032"/>
        <w:gridCol w:w="1224"/>
        <w:gridCol w:w="864"/>
      </w:tblGrid>
      <w:tr>
        <w:trPr>
          <w:tblHeader w:val="true"/>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jc w:val="center"/>
            </w:pPr>
            <w:r/>
            <w:r>
              <w:rPr>
                <w:rFonts w:ascii="Arial" w:hAnsi="Arial"/>
                <w:b/>
                <w:color w:val="FFFFFF"/>
                <w:sz w:val="15"/>
              </w:rPr>
              <w:t>ID</w:t>
            </w:r>
          </w:p>
        </w:tc>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5"/>
              </w:rPr>
              <w:t>Test</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5"/>
              </w:rPr>
              <w:t>Expected result</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jc w:val="center"/>
            </w:pPr>
            <w:r/>
            <w:r>
              <w:rPr>
                <w:rFonts w:ascii="Arial" w:hAnsi="Arial"/>
                <w:b/>
                <w:color w:val="FFFFFF"/>
                <w:sz w:val="15"/>
              </w:rPr>
              <w:t>Evidence</w:t>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jc w:val="center"/>
            </w:pPr>
            <w:r/>
            <w:r>
              <w:rPr>
                <w:rFonts w:ascii="Arial" w:hAnsi="Arial"/>
                <w:b/>
                <w:color w:val="FFFFFF"/>
                <w:sz w:val="15"/>
              </w:rPr>
              <w:t>Status</w:t>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5"/>
              </w:rPr>
              <w:t>AUTH 01</w:t>
            </w:r>
          </w:p>
        </w:tc>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5"/>
              </w:rPr>
              <w:t>Sign in with each of the six Mercy test users</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5"/>
              </w:rPr>
              <w:t>Each account authenticates and displays the correct user and organization context</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5"/>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5"/>
              </w:rPr>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5"/>
              </w:rPr>
              <w:t>ROLE 01</w:t>
            </w:r>
          </w:p>
        </w:tc>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5"/>
              </w:rPr>
              <w:t>Open protected pages from every role</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5"/>
              </w:rPr>
              <w:t>Authorized pages open; unauthorized actions are absent or denied</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5"/>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5"/>
              </w:rPr>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5"/>
              </w:rPr>
              <w:t>TEN 01</w:t>
            </w:r>
          </w:p>
        </w:tc>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5"/>
              </w:rPr>
              <w:t>Attempt to access another organization by search, URL, and identifier</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5"/>
              </w:rPr>
              <w:t>No other tenant data is returned or modified</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5"/>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5"/>
              </w:rPr>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5"/>
              </w:rPr>
              <w:t>SESSION 01</w:t>
            </w:r>
          </w:p>
        </w:tc>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5"/>
              </w:rPr>
              <w:t>Sign out, revisit protected pages, and test an expired session</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5"/>
              </w:rPr>
              <w:t>Protected content is unavailable and reauthentication is required</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5"/>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5"/>
              </w:rPr>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5"/>
              </w:rPr>
              <w:t>USER 01</w:t>
            </w:r>
          </w:p>
        </w:tc>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5"/>
              </w:rPr>
              <w:t>Create, change, suspend, and restore a test staff account using the approved admin flow</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5"/>
              </w:rPr>
              <w:t>Changes are auditable and take effect without granting extra access</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5"/>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5"/>
              </w:rPr>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5"/>
              </w:rPr>
              <w:t>FAC 01</w:t>
            </w:r>
          </w:p>
        </w:tc>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5"/>
              </w:rPr>
              <w:t>Verify Mercy General Hospital assignment and organization-wide admin scope</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5"/>
              </w:rPr>
              <w:t>Facility users remain facility-scoped; org admin remains Mercy-scoped</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5"/>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5"/>
              </w:rPr>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5"/>
              </w:rPr>
              <w:t>VALID 01</w:t>
            </w:r>
          </w:p>
        </w:tc>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5"/>
              </w:rPr>
              <w:t>Submit missing, malformed, and duplicate inputs in critical forms</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5"/>
              </w:rPr>
              <w:t>Clear validation prevents unsafe or incomplete records</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5"/>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5"/>
              </w:rPr>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5"/>
              </w:rPr>
              <w:t>AUDIT 01</w:t>
            </w:r>
          </w:p>
        </w:tc>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5"/>
              </w:rPr>
              <w:t>Review recorded events for login, access changes, and clinical actions</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5"/>
              </w:rPr>
              <w:t>The actor, action, target, and time can be traced as required</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5"/>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5"/>
              </w:rPr>
            </w:r>
          </w:p>
        </w:tc>
      </w:tr>
    </w:tbl>
    <w:p>
      <w:pPr>
        <w:spacing w:after="0"/>
      </w:pPr>
    </w:p>
    <w:p>
      <w:r>
        <w:br w:type="page"/>
      </w:r>
    </w:p>
    <w:p>
      <w:pPr>
        <w:pStyle w:val="Heading2"/>
        <w:keepNext/>
      </w:pPr>
      <w:r>
        <w:t>Allowed status values</w:t>
      </w:r>
    </w:p>
    <w:p>
      <w:r>
        <w:t>Not run  |  Pass  |  Fail  |  Blocked. A failed or blocked test must include a defect or decision reference and an owner.</w:t>
      </w:r>
    </w:p>
    <w:p>
      <w:pPr>
        <w:pStyle w:val="Heading1"/>
        <w:keepNext/>
      </w:pPr>
      <w:r>
        <w:t>Workflow acceptance tests</w:t>
      </w:r>
    </w:p>
    <w:tbl>
      <w:tblPr>
        <w:tblStyle w:val="TableGrid"/>
        <w:tblW w:type="auto" w:w="0"/>
        <w:jc w:val="center"/>
        <w:tblLayout w:type="fixed"/>
        <w:tblLook w:firstColumn="1" w:firstRow="1" w:lastColumn="0" w:lastRow="0" w:noHBand="0" w:noVBand="1" w:val="04A0"/>
      </w:tblPr>
      <w:tblGrid>
        <w:gridCol w:w="864"/>
        <w:gridCol w:w="3168"/>
        <w:gridCol w:w="3960"/>
        <w:gridCol w:w="1224"/>
        <w:gridCol w:w="864"/>
      </w:tblGrid>
      <w:tr>
        <w:trPr>
          <w:tblHeader w:val="true"/>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jc w:val="center"/>
            </w:pPr>
            <w:r/>
            <w:r>
              <w:rPr>
                <w:rFonts w:ascii="Arial" w:hAnsi="Arial"/>
                <w:b/>
                <w:color w:val="FFFFFF"/>
                <w:sz w:val="14"/>
              </w:rPr>
              <w:t>ID</w:t>
            </w:r>
          </w:p>
        </w:tc>
        <w:tc>
          <w:tcPr>
            <w:tcW w:type="dxa" w:w="31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4"/>
              </w:rPr>
              <w:t>Test</w:t>
            </w:r>
          </w:p>
        </w:tc>
        <w:tc>
          <w:tcPr>
            <w:tcW w:type="dxa" w:w="396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4"/>
              </w:rPr>
              <w:t>Expected result</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jc w:val="center"/>
            </w:pPr>
            <w:r/>
            <w:r>
              <w:rPr>
                <w:rFonts w:ascii="Arial" w:hAnsi="Arial"/>
                <w:b/>
                <w:color w:val="FFFFFF"/>
                <w:sz w:val="14"/>
              </w:rPr>
              <w:t>Evidence</w:t>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jc w:val="center"/>
            </w:pPr>
            <w:r/>
            <w:r>
              <w:rPr>
                <w:rFonts w:ascii="Arial" w:hAnsi="Arial"/>
                <w:b/>
                <w:color w:val="FFFFFF"/>
                <w:sz w:val="14"/>
              </w:rPr>
              <w:t>Status</w:t>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4"/>
              </w:rPr>
              <w:t>REG 01</w:t>
            </w:r>
          </w:p>
        </w:tc>
        <w:tc>
          <w:tcPr>
            <w:tcW w:type="dxa" w:w="31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4"/>
              </w:rPr>
              <w:t>Search for MGH-000008 and confirm identity before registration</w:t>
            </w:r>
          </w:p>
        </w:tc>
        <w:tc>
          <w:tcPr>
            <w:tcW w:type="dxa" w:w="396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4"/>
              </w:rPr>
              <w:t>Peter Oyet Lomoro is found once with the correct organization and facility context</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4"/>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4"/>
              </w:rPr>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4"/>
              </w:rPr>
              <w:t>REG 02</w:t>
            </w:r>
          </w:p>
        </w:tc>
        <w:tc>
          <w:tcPr>
            <w:tcW w:type="dxa" w:w="31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4"/>
              </w:rPr>
              <w:t>Attempt a duplicate registration with matching identifiers</w:t>
            </w:r>
          </w:p>
        </w:tc>
        <w:tc>
          <w:tcPr>
            <w:tcW w:type="dxa" w:w="396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4"/>
              </w:rPr>
              <w:t>The user is warned or guided to the existing record according to the approved rule</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4"/>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4"/>
              </w:rPr>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4"/>
              </w:rPr>
              <w:t>APT 01</w:t>
            </w:r>
          </w:p>
        </w:tc>
        <w:tc>
          <w:tcPr>
            <w:tcW w:type="dxa" w:w="31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4"/>
              </w:rPr>
              <w:t>Move a fictional appointment through the approved arrival state</w:t>
            </w:r>
          </w:p>
        </w:tc>
        <w:tc>
          <w:tcPr>
            <w:tcW w:type="dxa" w:w="396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4"/>
              </w:rPr>
              <w:t>The status changes once and the correct clinical queue is updated</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4"/>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4"/>
              </w:rPr>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4"/>
              </w:rPr>
              <w:t>NUR 01</w:t>
            </w:r>
          </w:p>
        </w:tc>
        <w:tc>
          <w:tcPr>
            <w:tcW w:type="dxa" w:w="31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4"/>
              </w:rPr>
              <w:t>Record fictional triage data and hand off to the clinician</w:t>
            </w:r>
          </w:p>
        </w:tc>
        <w:tc>
          <w:tcPr>
            <w:tcW w:type="dxa" w:w="396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4"/>
              </w:rPr>
              <w:t>Validated observations appear in the same patient record with actor and time</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4"/>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4"/>
              </w:rPr>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4"/>
              </w:rPr>
              <w:t>CLIN 01</w:t>
            </w:r>
          </w:p>
        </w:tc>
        <w:tc>
          <w:tcPr>
            <w:tcW w:type="dxa" w:w="31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4"/>
              </w:rPr>
              <w:t>Complete a fictional consultation and create an order or prescription</w:t>
            </w:r>
          </w:p>
        </w:tc>
        <w:tc>
          <w:tcPr>
            <w:tcW w:type="dxa" w:w="396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4"/>
              </w:rPr>
              <w:t>The encounter is saved once and downstream work is linked to the correct patient</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4"/>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4"/>
              </w:rPr>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4"/>
              </w:rPr>
              <w:t>LAB 01</w:t>
            </w:r>
          </w:p>
        </w:tc>
        <w:tc>
          <w:tcPr>
            <w:tcW w:type="dxa" w:w="31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4"/>
              </w:rPr>
              <w:t>Process a fictional order from collection through result</w:t>
            </w:r>
          </w:p>
        </w:tc>
        <w:tc>
          <w:tcPr>
            <w:tcW w:type="dxa" w:w="396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4"/>
              </w:rPr>
              <w:t>Every permitted stage is traceable and the final result returns to the chart</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4"/>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4"/>
              </w:rPr>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4"/>
              </w:rPr>
              <w:t>LAB 02</w:t>
            </w:r>
          </w:p>
        </w:tc>
        <w:tc>
          <w:tcPr>
            <w:tcW w:type="dxa" w:w="31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4"/>
              </w:rPr>
              <w:t>Enter an abnormal or critical fictional result</w:t>
            </w:r>
          </w:p>
        </w:tc>
        <w:tc>
          <w:tcPr>
            <w:tcW w:type="dxa" w:w="396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4"/>
              </w:rPr>
              <w:t>The configured visual state and escalation behavior appear for authorized users</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4"/>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4"/>
              </w:rPr>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4"/>
              </w:rPr>
              <w:t>PHARM 01</w:t>
            </w:r>
          </w:p>
        </w:tc>
        <w:tc>
          <w:tcPr>
            <w:tcW w:type="dxa" w:w="31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4"/>
              </w:rPr>
              <w:t>Review and complete a pending fictional prescription</w:t>
            </w:r>
          </w:p>
        </w:tc>
        <w:tc>
          <w:tcPr>
            <w:tcW w:type="dxa" w:w="396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4"/>
              </w:rPr>
              <w:t>Patient, medicine, allergy, quantity, actor, and completion status remain consistent</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4"/>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4"/>
              </w:rPr>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4"/>
              </w:rPr>
              <w:t>INV 01</w:t>
            </w:r>
          </w:p>
        </w:tc>
        <w:tc>
          <w:tcPr>
            <w:tcW w:type="dxa" w:w="31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4"/>
              </w:rPr>
              <w:t>Complete a controlled stock transaction</w:t>
            </w:r>
          </w:p>
        </w:tc>
        <w:tc>
          <w:tcPr>
            <w:tcW w:type="dxa" w:w="396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4"/>
              </w:rPr>
              <w:t>Quantity and low-stock state update once and are auditable</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4"/>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4"/>
              </w:rPr>
            </w:r>
          </w:p>
        </w:tc>
      </w:tr>
      <w:tr>
        <w:trPr>
          <w:cantSplit/>
        </w:trPr>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4"/>
              </w:rPr>
              <w:t>REPORT 01</w:t>
            </w:r>
          </w:p>
        </w:tc>
        <w:tc>
          <w:tcPr>
            <w:tcW w:type="dxa" w:w="316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4"/>
              </w:rPr>
              <w:t>Filter and export an approved operational report</w:t>
            </w:r>
          </w:p>
        </w:tc>
        <w:tc>
          <w:tcPr>
            <w:tcW w:type="dxa" w:w="396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4"/>
              </w:rPr>
              <w:t>Filters, counts, tenant scope, dates, and exported values match the source view</w:t>
            </w:r>
          </w:p>
        </w:tc>
        <w:tc>
          <w:tcPr>
            <w:tcW w:type="dxa" w:w="122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4"/>
              </w:rPr>
            </w:r>
          </w:p>
        </w:tc>
        <w:tc>
          <w:tcPr>
            <w:tcW w:type="dxa" w:w="8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4"/>
              </w:rPr>
            </w:r>
          </w:p>
        </w:tc>
      </w:tr>
    </w:tbl>
    <w:p>
      <w:pPr>
        <w:spacing w:after="0"/>
      </w:pPr>
    </w:p>
    <w:p>
      <w:pPr>
        <w:pStyle w:val="Heading2"/>
        <w:keepNext/>
      </w:pPr>
      <w:r>
        <w:t>Continuity and recovery tests</w:t>
      </w:r>
    </w:p>
    <w:tbl>
      <w:tblPr>
        <w:tblStyle w:val="TableGrid"/>
        <w:tblW w:type="auto" w:w="0"/>
        <w:jc w:val="center"/>
        <w:tblLayout w:type="fixed"/>
        <w:tblLook w:firstColumn="1" w:firstRow="1" w:lastColumn="0" w:lastRow="0" w:noHBand="0" w:noVBand="1" w:val="04A0"/>
      </w:tblPr>
      <w:tblGrid>
        <w:gridCol w:w="1152"/>
        <w:gridCol w:w="4536"/>
        <w:gridCol w:w="4320"/>
      </w:tblGrid>
      <w:tr>
        <w:trPr>
          <w:tblHeader w:val="true"/>
          <w:cantSplit/>
        </w:trPr>
        <w:tc>
          <w:tcPr>
            <w:tcW w:type="dxa" w:w="115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jc w:val="center"/>
            </w:pPr>
            <w:r/>
            <w:r>
              <w:rPr>
                <w:rFonts w:ascii="Arial" w:hAnsi="Arial"/>
                <w:b/>
                <w:color w:val="FFFFFF"/>
                <w:sz w:val="16"/>
              </w:rPr>
              <w:t>ID</w:t>
            </w:r>
          </w:p>
        </w:tc>
        <w:tc>
          <w:tcPr>
            <w:tcW w:type="dxa" w:w="453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6"/>
              </w:rPr>
              <w:t>Controlled test</w:t>
            </w:r>
          </w:p>
        </w:tc>
        <w:tc>
          <w:tcPr>
            <w:tcW w:type="dxa" w:w="432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6"/>
              </w:rPr>
              <w:t>Pass condition</w:t>
            </w:r>
          </w:p>
        </w:tc>
      </w:tr>
      <w:tr>
        <w:trPr>
          <w:cantSplit/>
        </w:trPr>
        <w:tc>
          <w:tcPr>
            <w:tcW w:type="dxa" w:w="115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6"/>
              </w:rPr>
              <w:t>OFF 01</w:t>
            </w:r>
          </w:p>
        </w:tc>
        <w:tc>
          <w:tcPr>
            <w:tcW w:type="dxa" w:w="453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Open previously loaded fictional data without connectivity</w:t>
            </w:r>
          </w:p>
        </w:tc>
        <w:tc>
          <w:tcPr>
            <w:tcW w:type="dxa" w:w="432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Only supported cached content is available and connectivity state is clear</w:t>
            </w:r>
          </w:p>
        </w:tc>
      </w:tr>
      <w:tr>
        <w:trPr>
          <w:cantSplit/>
        </w:trPr>
        <w:tc>
          <w:tcPr>
            <w:tcW w:type="dxa" w:w="115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6"/>
              </w:rPr>
              <w:t>OFF 02</w:t>
            </w:r>
          </w:p>
        </w:tc>
        <w:tc>
          <w:tcPr>
            <w:tcW w:type="dxa" w:w="453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Perform one confirmed offline-safe fictional action</w:t>
            </w:r>
          </w:p>
        </w:tc>
        <w:tc>
          <w:tcPr>
            <w:tcW w:type="dxa" w:w="432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The action is retained locally without duplication or silent loss</w:t>
            </w:r>
          </w:p>
        </w:tc>
      </w:tr>
      <w:tr>
        <w:trPr>
          <w:cantSplit/>
        </w:trPr>
        <w:tc>
          <w:tcPr>
            <w:tcW w:type="dxa" w:w="115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6"/>
              </w:rPr>
              <w:t>SYNC 01</w:t>
            </w:r>
          </w:p>
        </w:tc>
        <w:tc>
          <w:tcPr>
            <w:tcW w:type="dxa" w:w="453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Reconnect and verify from the originating and receiving roles</w:t>
            </w:r>
          </w:p>
        </w:tc>
        <w:tc>
          <w:tcPr>
            <w:tcW w:type="dxa" w:w="432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The action synchronizes once to the correct patient and conflict state is clear</w:t>
            </w:r>
          </w:p>
        </w:tc>
      </w:tr>
      <w:tr>
        <w:trPr>
          <w:cantSplit/>
        </w:trPr>
        <w:tc>
          <w:tcPr>
            <w:tcW w:type="dxa" w:w="115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6"/>
              </w:rPr>
              <w:t>REC 01</w:t>
            </w:r>
          </w:p>
        </w:tc>
        <w:tc>
          <w:tcPr>
            <w:tcW w:type="dxa" w:w="453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Run the approved backup or restore validation outside live care</w:t>
            </w:r>
          </w:p>
        </w:tc>
        <w:tc>
          <w:tcPr>
            <w:tcW w:type="dxa" w:w="432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The responsible team records recovery evidence and meets the agreed objective</w:t>
            </w:r>
          </w:p>
        </w:tc>
      </w:tr>
    </w:tbl>
    <w:p>
      <w:pPr>
        <w:spacing w:after="0"/>
      </w:pPr>
    </w:p>
    <w:p>
      <w:r>
        <w:br w:type="page"/>
      </w:r>
    </w:p>
    <w:p>
      <w:pPr>
        <w:pStyle w:val="Heading1"/>
        <w:keepNext/>
      </w:pPr>
      <w:r>
        <w:t>Fictional demonstration records</w:t>
      </w:r>
    </w:p>
    <w:p>
      <w:r>
        <w:t>Use these records only for demonstration. Confirm the current environment before relying on a status because prior testing may have changed seed data.</w:t>
      </w:r>
    </w:p>
    <w:tbl>
      <w:tblPr>
        <w:tblStyle w:val="TableGrid"/>
        <w:tblW w:type="auto" w:w="0"/>
        <w:jc w:val="center"/>
        <w:tblLayout w:type="fixed"/>
        <w:tblLook w:firstColumn="1" w:firstRow="1" w:lastColumn="0" w:lastRow="0" w:noHBand="0" w:noVBand="1" w:val="04A0"/>
      </w:tblPr>
      <w:tblGrid>
        <w:gridCol w:w="1656"/>
        <w:gridCol w:w="2664"/>
        <w:gridCol w:w="5688"/>
      </w:tblGrid>
      <w:tr>
        <w:trPr>
          <w:tblHeader w:val="true"/>
          <w:cantSplit/>
        </w:trPr>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jc w:val="center"/>
            </w:pPr>
            <w:r/>
            <w:r>
              <w:rPr>
                <w:rFonts w:ascii="Arial" w:hAnsi="Arial"/>
                <w:b/>
                <w:color w:val="FFFFFF"/>
                <w:sz w:val="17"/>
              </w:rPr>
              <w:t>Patient ID</w:t>
            </w:r>
          </w:p>
        </w:tc>
        <w:tc>
          <w:tcPr>
            <w:tcW w:type="dxa" w:w="26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7"/>
              </w:rPr>
              <w:t>Patient</w:t>
            </w:r>
          </w:p>
        </w:tc>
        <w:tc>
          <w:tcPr>
            <w:tcW w:type="dxa" w:w="56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7"/>
              </w:rPr>
              <w:t>Prepared scenario</w:t>
            </w:r>
          </w:p>
        </w:tc>
      </w:tr>
      <w:tr>
        <w:trPr>
          <w:cantSplit/>
        </w:trPr>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t>MGH-000001</w:t>
            </w:r>
          </w:p>
        </w:tc>
        <w:tc>
          <w:tcPr>
            <w:tcW w:type="dxa" w:w="26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Elizabeth Nyandit Bul</w:t>
            </w:r>
          </w:p>
        </w:tc>
        <w:tc>
          <w:tcPr>
            <w:tcW w:type="dxa" w:w="56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Hypertension; admitted to General Ward; amlodipine dispensed</w:t>
            </w:r>
          </w:p>
        </w:tc>
      </w:tr>
      <w:tr>
        <w:trPr>
          <w:cantSplit/>
        </w:trPr>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t>MGH-000002</w:t>
            </w:r>
          </w:p>
        </w:tc>
        <w:tc>
          <w:tcPr>
            <w:tcW w:type="dxa" w:w="26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Emmanuel Kenyi Duku</w:t>
            </w:r>
          </w:p>
        </w:tc>
        <w:tc>
          <w:tcPr>
            <w:tcW w:type="dxa" w:w="56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Diabetes; penicillin allergy; metformin pending</w:t>
            </w:r>
          </w:p>
        </w:tc>
      </w:tr>
      <w:tr>
        <w:trPr>
          <w:cantSplit/>
        </w:trPr>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t>MGH-000003</w:t>
            </w:r>
          </w:p>
        </w:tc>
        <w:tc>
          <w:tcPr>
            <w:tcW w:type="dxa" w:w="26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Grace Nyibol Kur</w:t>
            </w:r>
          </w:p>
        </w:tc>
        <w:tc>
          <w:tcPr>
            <w:tcW w:type="dxa" w:w="56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Third trimester; admitted to Maternity</w:t>
            </w:r>
          </w:p>
        </w:tc>
      </w:tr>
      <w:tr>
        <w:trPr>
          <w:cantSplit/>
        </w:trPr>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t>MGH-000004</w:t>
            </w:r>
          </w:p>
        </w:tc>
        <w:tc>
          <w:tcPr>
            <w:tcW w:type="dxa" w:w="26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Daniel Wani Surur</w:t>
            </w:r>
          </w:p>
        </w:tc>
        <w:tc>
          <w:tcPr>
            <w:tcW w:type="dxa" w:w="56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Hypertension and osteoarthritis; aspirin allergy; scheduled appointment</w:t>
            </w:r>
          </w:p>
        </w:tc>
      </w:tr>
      <w:tr>
        <w:trPr>
          <w:cantSplit/>
        </w:trPr>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t>MGH-000005</w:t>
            </w:r>
          </w:p>
        </w:tc>
        <w:tc>
          <w:tcPr>
            <w:tcW w:type="dxa" w:w="26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Josephine Aciek Manyang</w:t>
            </w:r>
          </w:p>
        </w:tc>
        <w:tc>
          <w:tcPr>
            <w:tcW w:type="dxa" w:w="56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Age five; severe malaria; admitted to Paediatric ward</w:t>
            </w:r>
          </w:p>
        </w:tc>
      </w:tr>
      <w:tr>
        <w:trPr>
          <w:cantSplit/>
        </w:trPr>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t>MGH-000006</w:t>
            </w:r>
          </w:p>
        </w:tc>
        <w:tc>
          <w:tcPr>
            <w:tcW w:type="dxa" w:w="26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Simon Loro Baba</w:t>
            </w:r>
          </w:p>
        </w:tc>
        <w:tc>
          <w:tcPr>
            <w:tcW w:type="dxa" w:w="56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Asthma; sulfa allergy; confirmed follow-up appointment</w:t>
            </w:r>
          </w:p>
        </w:tc>
      </w:tr>
      <w:tr>
        <w:trPr>
          <w:cantSplit/>
        </w:trPr>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t>MGH-000007</w:t>
            </w:r>
          </w:p>
        </w:tc>
        <w:tc>
          <w:tcPr>
            <w:tcW w:type="dxa" w:w="26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Margaret Nyanut Riek</w:t>
            </w:r>
          </w:p>
        </w:tc>
        <w:tc>
          <w:tcPr>
            <w:tcW w:type="dxa" w:w="56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Sickle cell disease; critical severity; ferrous sulfate pending</w:t>
            </w:r>
          </w:p>
        </w:tc>
      </w:tr>
      <w:tr>
        <w:trPr>
          <w:cantSplit/>
        </w:trPr>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t>MGH-000008</w:t>
            </w:r>
          </w:p>
        </w:tc>
        <w:tc>
          <w:tcPr>
            <w:tcW w:type="dxa" w:w="26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Peter Oyet Lomoro</w:t>
            </w:r>
          </w:p>
        </w:tc>
        <w:tc>
          <w:tcPr>
            <w:tcW w:type="dxa" w:w="56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Checked-in 09:15 appointment; primary end-to-end demo patient</w:t>
            </w:r>
          </w:p>
        </w:tc>
      </w:tr>
    </w:tbl>
    <w:p>
      <w:pPr>
        <w:spacing w:after="0"/>
      </w:pPr>
    </w:p>
    <w:p>
      <w:pPr>
        <w:pStyle w:val="Heading2"/>
        <w:keepNext/>
      </w:pPr>
      <w:r>
        <w:t>Operational examples</w:t>
      </w:r>
    </w:p>
    <w:tbl>
      <w:tblPr>
        <w:tblStyle w:val="TableGrid"/>
        <w:tblW w:type="auto" w:w="0"/>
        <w:jc w:val="center"/>
        <w:tblLayout w:type="fixed"/>
        <w:tblLook w:firstColumn="1" w:firstRow="1" w:lastColumn="0" w:lastRow="0" w:noHBand="0" w:noVBand="1" w:val="04A0"/>
      </w:tblPr>
      <w:tblGrid>
        <w:gridCol w:w="1512"/>
        <w:gridCol w:w="3240"/>
        <w:gridCol w:w="5256"/>
      </w:tblGrid>
      <w:tr>
        <w:trPr>
          <w:tblHeader w:val="true"/>
          <w:cantSplit/>
        </w:trPr>
        <w:tc>
          <w:tcPr>
            <w:tcW w:type="dxa" w:w="15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jc w:val="center"/>
            </w:pPr>
            <w:r/>
            <w:r>
              <w:rPr>
                <w:rFonts w:ascii="Arial" w:hAnsi="Arial"/>
                <w:b/>
                <w:color w:val="FFFFFF"/>
                <w:sz w:val="17"/>
              </w:rPr>
              <w:t>Area</w:t>
            </w:r>
          </w:p>
        </w:tc>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7"/>
              </w:rPr>
              <w:t>Seeded example</w:t>
            </w:r>
          </w:p>
        </w:tc>
        <w:tc>
          <w:tcPr>
            <w:tcW w:type="dxa" w:w="52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7"/>
              </w:rPr>
              <w:t>Discussion prompt</w:t>
            </w:r>
          </w:p>
        </w:tc>
      </w:tr>
      <w:tr>
        <w:trPr>
          <w:cantSplit/>
        </w:trPr>
        <w:tc>
          <w:tcPr>
            <w:tcW w:type="dxa" w:w="15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t>Appointments</w:t>
            </w:r>
          </w:p>
        </w:tc>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Four scheduled or active visits today</w:t>
            </w:r>
          </w:p>
        </w:tc>
        <w:tc>
          <w:tcPr>
            <w:tcW w:type="dxa" w:w="52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How are walk-ins, late arrivals, cancellations, and queues handled?</w:t>
            </w:r>
          </w:p>
        </w:tc>
      </w:tr>
      <w:tr>
        <w:trPr>
          <w:cantSplit/>
        </w:trPr>
        <w:tc>
          <w:tcPr>
            <w:tcW w:type="dxa" w:w="15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t>Wards</w:t>
            </w:r>
          </w:p>
        </w:tc>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General 16 beds, Maternity 10, Paediatric 8</w:t>
            </w:r>
          </w:p>
        </w:tc>
        <w:tc>
          <w:tcPr>
            <w:tcW w:type="dxa" w:w="52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Who controls admission, movement, and discharge?</w:t>
            </w:r>
          </w:p>
        </w:tc>
      </w:tr>
      <w:tr>
        <w:trPr>
          <w:cantSplit/>
        </w:trPr>
        <w:tc>
          <w:tcPr>
            <w:tcW w:type="dxa" w:w="15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t>Inventory</w:t>
            </w:r>
          </w:p>
        </w:tc>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Amoxicillin and ferrous sulfate are below reorder levels</w:t>
            </w:r>
          </w:p>
        </w:tc>
        <w:tc>
          <w:tcPr>
            <w:tcW w:type="dxa" w:w="52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Who owns stock thresholds, counts, and purchasing?</w:t>
            </w:r>
          </w:p>
        </w:tc>
      </w:tr>
      <w:tr>
        <w:trPr>
          <w:cantSplit/>
        </w:trPr>
        <w:tc>
          <w:tcPr>
            <w:tcW w:type="dxa" w:w="151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t>Prescriptions</w:t>
            </w:r>
          </w:p>
        </w:tc>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Pending and dispensed examples are available</w:t>
            </w:r>
          </w:p>
        </w:tc>
        <w:tc>
          <w:tcPr>
            <w:tcW w:type="dxa" w:w="52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What approvals and substitution rules apply?</w:t>
            </w:r>
          </w:p>
        </w:tc>
      </w:tr>
    </w:tbl>
    <w:p>
      <w:pPr>
        <w:spacing w:after="0"/>
      </w:pPr>
    </w:p>
    <w:p>
      <w:pPr>
        <w:pStyle w:val="Heading2"/>
        <w:keepNext/>
      </w:pPr>
      <w:r>
        <w:t>Safe demonstration rule</w:t>
      </w:r>
    </w:p>
    <w:p>
      <w:r>
        <w:t>Prefer viewing prepared data. If a write action is necessary, use one fictional record, capture the expected result, and restore the demonstration environment afterward.</w:t>
      </w:r>
    </w:p>
    <w:p>
      <w:r>
        <w:br w:type="page"/>
      </w:r>
    </w:p>
    <w:p>
      <w:pPr>
        <w:pStyle w:val="Heading1"/>
        <w:keepNext/>
      </w:pPr>
      <w:r>
        <w:t>Continuity privacy and trust</w:t>
      </w:r>
    </w:p>
    <w:p>
      <w:pPr>
        <w:pStyle w:val="Heading2"/>
        <w:keepNext/>
      </w:pPr>
      <w:r>
        <w:t>Offline continuity demonstration</w:t>
      </w:r>
    </w:p>
    <w:p>
      <w:r>
        <w:t>Demonstrate offline behavior only after rehearsing it in the exact environment. The goal is to show continuity honestly, not to imply that every action is available offline.</w:t>
      </w:r>
    </w:p>
    <w:p>
      <w:pPr>
        <w:spacing w:after="80"/>
        <w:ind w:left="490" w:hanging="490"/>
      </w:pPr>
      <w:r>
        <w:rPr>
          <w:rFonts w:ascii="Arial" w:hAnsi="Arial"/>
          <w:b/>
          <w:color w:val="176A8A"/>
          <w:sz w:val="18"/>
        </w:rPr>
        <w:t xml:space="preserve">22  </w:t>
      </w:r>
      <w:r>
        <w:t>Preload the application and a fictional record while connected.</w:t>
      </w:r>
    </w:p>
    <w:p>
      <w:pPr>
        <w:spacing w:after="80"/>
        <w:ind w:left="490" w:hanging="490"/>
      </w:pPr>
      <w:r>
        <w:rPr>
          <w:rFonts w:ascii="Arial" w:hAnsi="Arial"/>
          <w:b/>
          <w:color w:val="176A8A"/>
          <w:sz w:val="18"/>
        </w:rPr>
        <w:t xml:space="preserve">23  </w:t>
      </w:r>
      <w:r>
        <w:t>Disconnect the demonstration device from the network and point out the application’s offline or connectivity state.</w:t>
      </w:r>
    </w:p>
    <w:p>
      <w:pPr>
        <w:spacing w:after="80"/>
        <w:ind w:left="490" w:hanging="490"/>
      </w:pPr>
      <w:r>
        <w:rPr>
          <w:rFonts w:ascii="Arial" w:hAnsi="Arial"/>
          <w:b/>
          <w:color w:val="176A8A"/>
          <w:sz w:val="18"/>
        </w:rPr>
        <w:t xml:space="preserve">24  </w:t>
      </w:r>
      <w:r>
        <w:t>Perform only an action confirmed to be supported offline in this build.</w:t>
      </w:r>
    </w:p>
    <w:p>
      <w:pPr>
        <w:spacing w:after="80"/>
        <w:ind w:left="490" w:hanging="490"/>
      </w:pPr>
      <w:r>
        <w:rPr>
          <w:rFonts w:ascii="Arial" w:hAnsi="Arial"/>
          <w:b/>
          <w:color w:val="176A8A"/>
          <w:sz w:val="18"/>
        </w:rPr>
        <w:t xml:space="preserve">25  </w:t>
      </w:r>
      <w:r>
        <w:t>Reconnect, wait for the application’s sync signal, and verify the expected result from another authorized role if appropriate.</w:t>
      </w:r>
    </w:p>
    <w:p>
      <w:pPr>
        <w:spacing w:after="80"/>
        <w:ind w:left="490" w:hanging="490"/>
      </w:pPr>
      <w:r>
        <w:rPr>
          <w:rFonts w:ascii="Arial" w:hAnsi="Arial"/>
          <w:b/>
          <w:color w:val="176A8A"/>
          <w:sz w:val="18"/>
        </w:rPr>
        <w:t xml:space="preserve">26  </w:t>
      </w:r>
      <w:r>
        <w:t>If the result does not synchronize promptly, stop changing data, capture the state, and move to the prepared backup explanation.</w:t>
      </w:r>
    </w:p>
    <w:p>
      <w:pPr>
        <w:pStyle w:val="Heading2"/>
        <w:keepNext/>
      </w:pPr>
      <w:r>
        <w:t>Questions about local readiness</w:t>
      </w:r>
    </w:p>
    <w:p>
      <w:pPr>
        <w:pStyle w:val="ListBullet"/>
        <w:spacing w:after="60"/>
        <w:ind w:left="360" w:hanging="230"/>
      </w:pPr>
      <w:r>
        <w:t>Which departments have stable electricity and internet, and for how many hours each day?</w:t>
      </w:r>
    </w:p>
    <w:p>
      <w:pPr>
        <w:pStyle w:val="ListBullet"/>
        <w:spacing w:after="60"/>
        <w:ind w:left="360" w:hanging="230"/>
      </w:pPr>
      <w:r>
        <w:t>Will devices be shared? If so, how will users sign in, lock sessions, and protect privacy between shifts?</w:t>
      </w:r>
    </w:p>
    <w:p>
      <w:pPr>
        <w:pStyle w:val="ListBullet"/>
        <w:spacing w:after="60"/>
        <w:ind w:left="360" w:hanging="230"/>
      </w:pPr>
      <w:r>
        <w:t>What local support is available when devices, printers, scanners, or connectivity fail?</w:t>
      </w:r>
    </w:p>
    <w:p>
      <w:pPr>
        <w:pStyle w:val="ListBullet"/>
        <w:spacing w:after="60"/>
        <w:ind w:left="360" w:hanging="230"/>
      </w:pPr>
      <w:r>
        <w:t>Which workflows must continue during an outage, and which can wait until reconnection?</w:t>
      </w:r>
    </w:p>
    <w:p>
      <w:pPr>
        <w:pStyle w:val="Heading2"/>
        <w:keepNext/>
      </w:pPr>
      <w:r>
        <w:t>Privacy and access conversation</w:t>
      </w:r>
    </w:p>
    <w:p>
      <w:pPr>
        <w:pStyle w:val="ListBullet"/>
        <w:spacing w:after="60"/>
        <w:ind w:left="360" w:hanging="230"/>
      </w:pPr>
      <w:r>
        <w:t>Explain that access is organized by tenant, facility, and role; then prove it with two client roles.</w:t>
      </w:r>
    </w:p>
    <w:p>
      <w:pPr>
        <w:pStyle w:val="ListBullet"/>
        <w:spacing w:after="60"/>
        <w:ind w:left="360" w:hanging="230"/>
      </w:pPr>
      <w:r>
        <w:t>Ask who authorizes account creation, role changes, transfers between facilities, suspension, and termination.</w:t>
      </w:r>
    </w:p>
    <w:p>
      <w:pPr>
        <w:pStyle w:val="ListBullet"/>
        <w:spacing w:after="60"/>
        <w:ind w:left="360" w:hanging="230"/>
      </w:pPr>
      <w:r>
        <w:t>Ask what audit, consent, retention, export, and incident-response obligations apply to the organization.</w:t>
      </w:r>
    </w:p>
    <w:p>
      <w:pPr>
        <w:pStyle w:val="ListBullet"/>
        <w:spacing w:after="60"/>
        <w:ind w:left="360" w:hanging="230"/>
      </w:pPr>
      <w:r>
        <w:t>Confirm where client data will be hosted and backed up before making any commitment.</w:t>
      </w:r>
    </w:p>
    <w:p>
      <w:pPr>
        <w:pStyle w:val="ListBullet"/>
        <w:spacing w:after="60"/>
        <w:ind w:left="360" w:hanging="230"/>
      </w:pPr>
      <w:r>
        <w:t>Capture unanswered legal, regulatory, or security questions for written follow-up by the appropriate owner.</w:t>
      </w:r>
    </w:p>
    <w:p>
      <w:r>
        <w:br w:type="page"/>
      </w:r>
    </w:p>
    <w:p>
      <w:pPr>
        <w:pStyle w:val="Heading1"/>
        <w:keepNext/>
      </w:pPr>
      <w:r>
        <w:t>Pilot discovery checklist</w:t>
      </w:r>
    </w:p>
    <w:p>
      <w:r>
        <w:t>The first meeting does not need to resolve every implementation detail. It should identify enough facts to define a safe, bounded pilot and the work required before launch.</w:t>
      </w:r>
    </w:p>
    <w:tbl>
      <w:tblPr>
        <w:tblStyle w:val="TableGrid"/>
        <w:tblW w:type="auto" w:w="0"/>
        <w:jc w:val="center"/>
        <w:tblLayout w:type="fixed"/>
        <w:tblLook w:firstColumn="1" w:firstRow="1" w:lastColumn="0" w:lastRow="0" w:noHBand="0" w:noVBand="1" w:val="04A0"/>
      </w:tblPr>
      <w:tblGrid>
        <w:gridCol w:w="1728"/>
        <w:gridCol w:w="6264"/>
        <w:gridCol w:w="2016"/>
      </w:tblGrid>
      <w:tr>
        <w:trPr>
          <w:tblHeader w:val="true"/>
          <w:cantSplit/>
        </w:trPr>
        <w:tc>
          <w:tcPr>
            <w:tcW w:type="dxa" w:w="17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jc w:val="center"/>
            </w:pPr>
            <w:r/>
            <w:r>
              <w:rPr>
                <w:rFonts w:ascii="Arial" w:hAnsi="Arial"/>
                <w:b/>
                <w:color w:val="FFFFFF"/>
                <w:sz w:val="16"/>
              </w:rPr>
              <w:t>Topic</w:t>
            </w:r>
          </w:p>
        </w:tc>
        <w:tc>
          <w:tcPr>
            <w:tcW w:type="dxa" w:w="62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6"/>
              </w:rPr>
              <w:t>Questions to resolve</w:t>
            </w:r>
          </w:p>
        </w:tc>
        <w:tc>
          <w:tcPr>
            <w:tcW w:type="dxa" w:w="201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6"/>
              </w:rPr>
              <w:t>Decision or owner</w:t>
            </w:r>
          </w:p>
        </w:tc>
      </w:tr>
      <w:tr>
        <w:trPr>
          <w:cantSplit/>
        </w:trPr>
        <w:tc>
          <w:tcPr>
            <w:tcW w:type="dxa" w:w="17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6"/>
              </w:rPr>
              <w:t>Facility and scope</w:t>
            </w:r>
          </w:p>
        </w:tc>
        <w:tc>
          <w:tcPr>
            <w:tcW w:type="dxa" w:w="62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Which facility, departments, hours, and volume are included?</w:t>
            </w:r>
          </w:p>
        </w:tc>
        <w:tc>
          <w:tcPr>
            <w:tcW w:type="dxa" w:w="201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r>
          </w:p>
        </w:tc>
      </w:tr>
      <w:tr>
        <w:trPr>
          <w:cantSplit/>
        </w:trPr>
        <w:tc>
          <w:tcPr>
            <w:tcW w:type="dxa" w:w="17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6"/>
              </w:rPr>
              <w:t>Users and roles</w:t>
            </w:r>
          </w:p>
        </w:tc>
        <w:tc>
          <w:tcPr>
            <w:tcW w:type="dxa" w:w="62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How many users by role, and who approves access?</w:t>
            </w:r>
          </w:p>
        </w:tc>
        <w:tc>
          <w:tcPr>
            <w:tcW w:type="dxa" w:w="201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r>
          </w:p>
        </w:tc>
      </w:tr>
      <w:tr>
        <w:trPr>
          <w:cantSplit/>
        </w:trPr>
        <w:tc>
          <w:tcPr>
            <w:tcW w:type="dxa" w:w="17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6"/>
              </w:rPr>
              <w:t>Patient identity</w:t>
            </w:r>
          </w:p>
        </w:tc>
        <w:tc>
          <w:tcPr>
            <w:tcW w:type="dxa" w:w="62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Which identifiers and duplicate rules are required?</w:t>
            </w:r>
          </w:p>
        </w:tc>
        <w:tc>
          <w:tcPr>
            <w:tcW w:type="dxa" w:w="201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r>
          </w:p>
        </w:tc>
      </w:tr>
      <w:tr>
        <w:trPr>
          <w:cantSplit/>
        </w:trPr>
        <w:tc>
          <w:tcPr>
            <w:tcW w:type="dxa" w:w="17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6"/>
              </w:rPr>
              <w:t>Clinical workflow</w:t>
            </w:r>
          </w:p>
        </w:tc>
        <w:tc>
          <w:tcPr>
            <w:tcW w:type="dxa" w:w="62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Which encounters, forms, orders, referrals, and handoffs are essential?</w:t>
            </w:r>
          </w:p>
        </w:tc>
        <w:tc>
          <w:tcPr>
            <w:tcW w:type="dxa" w:w="201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r>
          </w:p>
        </w:tc>
      </w:tr>
      <w:tr>
        <w:trPr>
          <w:cantSplit/>
        </w:trPr>
        <w:tc>
          <w:tcPr>
            <w:tcW w:type="dxa" w:w="17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6"/>
              </w:rPr>
              <w:t>Laboratory</w:t>
            </w:r>
          </w:p>
        </w:tc>
        <w:tc>
          <w:tcPr>
            <w:tcW w:type="dxa" w:w="62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Which tests, specimen stages, validations, and critical alerts are required?</w:t>
            </w:r>
          </w:p>
        </w:tc>
        <w:tc>
          <w:tcPr>
            <w:tcW w:type="dxa" w:w="201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r>
          </w:p>
        </w:tc>
      </w:tr>
      <w:tr>
        <w:trPr>
          <w:cantSplit/>
        </w:trPr>
        <w:tc>
          <w:tcPr>
            <w:tcW w:type="dxa" w:w="17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6"/>
              </w:rPr>
              <w:t>Pharmacy</w:t>
            </w:r>
          </w:p>
        </w:tc>
        <w:tc>
          <w:tcPr>
            <w:tcW w:type="dxa" w:w="62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Which catalogue, stock units, substitutions, and reorder rules are required?</w:t>
            </w:r>
          </w:p>
        </w:tc>
        <w:tc>
          <w:tcPr>
            <w:tcW w:type="dxa" w:w="201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r>
          </w:p>
        </w:tc>
      </w:tr>
      <w:tr>
        <w:trPr>
          <w:cantSplit/>
        </w:trPr>
        <w:tc>
          <w:tcPr>
            <w:tcW w:type="dxa" w:w="17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6"/>
              </w:rPr>
              <w:t>Reporting</w:t>
            </w:r>
          </w:p>
        </w:tc>
        <w:tc>
          <w:tcPr>
            <w:tcW w:type="dxa" w:w="62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Which clinical, operational, government, and donor reports are mandatory?</w:t>
            </w:r>
          </w:p>
        </w:tc>
        <w:tc>
          <w:tcPr>
            <w:tcW w:type="dxa" w:w="201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r>
          </w:p>
        </w:tc>
      </w:tr>
      <w:tr>
        <w:trPr>
          <w:cantSplit/>
        </w:trPr>
        <w:tc>
          <w:tcPr>
            <w:tcW w:type="dxa" w:w="17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6"/>
              </w:rPr>
              <w:t>Infrastructure</w:t>
            </w:r>
          </w:p>
        </w:tc>
        <w:tc>
          <w:tcPr>
            <w:tcW w:type="dxa" w:w="62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Which devices, printers, network, power, and backup are available?</w:t>
            </w:r>
          </w:p>
        </w:tc>
        <w:tc>
          <w:tcPr>
            <w:tcW w:type="dxa" w:w="201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r>
          </w:p>
        </w:tc>
      </w:tr>
      <w:tr>
        <w:trPr>
          <w:cantSplit/>
        </w:trPr>
        <w:tc>
          <w:tcPr>
            <w:tcW w:type="dxa" w:w="17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6"/>
              </w:rPr>
              <w:t>Data migration</w:t>
            </w:r>
          </w:p>
        </w:tc>
        <w:tc>
          <w:tcPr>
            <w:tcW w:type="dxa" w:w="62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Which patient, staff, inventory, or historical data must be imported?</w:t>
            </w:r>
          </w:p>
        </w:tc>
        <w:tc>
          <w:tcPr>
            <w:tcW w:type="dxa" w:w="201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r>
          </w:p>
        </w:tc>
      </w:tr>
      <w:tr>
        <w:trPr>
          <w:cantSplit/>
        </w:trPr>
        <w:tc>
          <w:tcPr>
            <w:tcW w:type="dxa" w:w="17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6"/>
              </w:rPr>
              <w:t>Training</w:t>
            </w:r>
          </w:p>
        </w:tc>
        <w:tc>
          <w:tcPr>
            <w:tcW w:type="dxa" w:w="62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Who is the champion, and which shifts and languages need training?</w:t>
            </w:r>
          </w:p>
        </w:tc>
        <w:tc>
          <w:tcPr>
            <w:tcW w:type="dxa" w:w="201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r>
          </w:p>
        </w:tc>
      </w:tr>
      <w:tr>
        <w:trPr>
          <w:cantSplit/>
        </w:trPr>
        <w:tc>
          <w:tcPr>
            <w:tcW w:type="dxa" w:w="17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6"/>
              </w:rPr>
              <w:t>Support</w:t>
            </w:r>
          </w:p>
        </w:tc>
        <w:tc>
          <w:tcPr>
            <w:tcW w:type="dxa" w:w="62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What support hours, channels, escalation path, and local owners are required?</w:t>
            </w:r>
          </w:p>
        </w:tc>
        <w:tc>
          <w:tcPr>
            <w:tcW w:type="dxa" w:w="201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r>
          </w:p>
        </w:tc>
      </w:tr>
      <w:tr>
        <w:trPr>
          <w:cantSplit/>
        </w:trPr>
        <w:tc>
          <w:tcPr>
            <w:tcW w:type="dxa" w:w="17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6"/>
              </w:rPr>
              <w:t>Production release</w:t>
            </w:r>
          </w:p>
        </w:tc>
        <w:tc>
          <w:tcPr>
            <w:tcW w:type="dxa" w:w="62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t>Who owns acceptance, deployment, rollback, monitoring, and approval?</w:t>
            </w:r>
          </w:p>
        </w:tc>
        <w:tc>
          <w:tcPr>
            <w:tcW w:type="dxa" w:w="201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6"/>
              </w:rPr>
            </w:r>
          </w:p>
        </w:tc>
      </w:tr>
      <w:tr>
        <w:trPr>
          <w:cantSplit/>
        </w:trPr>
        <w:tc>
          <w:tcPr>
            <w:tcW w:type="dxa" w:w="17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6"/>
              </w:rPr>
              <w:t>Success measures</w:t>
            </w:r>
          </w:p>
        </w:tc>
        <w:tc>
          <w:tcPr>
            <w:tcW w:type="dxa" w:w="626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t>Which baseline and target measures prove the pilot is working?</w:t>
            </w:r>
          </w:p>
        </w:tc>
        <w:tc>
          <w:tcPr>
            <w:tcW w:type="dxa" w:w="201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6"/>
              </w:rPr>
            </w:r>
          </w:p>
        </w:tc>
      </w:tr>
    </w:tbl>
    <w:p>
      <w:pPr>
        <w:spacing w:after="0"/>
      </w:pPr>
    </w:p>
    <w:p>
      <w:pPr>
        <w:pStyle w:val="Heading2"/>
        <w:keepNext/>
      </w:pPr>
      <w:r>
        <w:t>Suggested pilot measures</w:t>
      </w:r>
    </w:p>
    <w:p>
      <w:pPr>
        <w:pStyle w:val="ListBullet"/>
        <w:spacing w:after="60"/>
        <w:ind w:left="360" w:hanging="230"/>
      </w:pPr>
      <w:r>
        <w:t>Percentage of pilot encounters recorded completely by role.</w:t>
      </w:r>
    </w:p>
    <w:p>
      <w:pPr>
        <w:pStyle w:val="ListBullet"/>
        <w:spacing w:after="60"/>
        <w:ind w:left="360" w:hanging="230"/>
      </w:pPr>
      <w:r>
        <w:t>Registration-to-clinician time and laboratory result turnaround time.</w:t>
      </w:r>
    </w:p>
    <w:p>
      <w:pPr>
        <w:pStyle w:val="ListBullet"/>
        <w:spacing w:after="60"/>
        <w:ind w:left="360" w:hanging="230"/>
      </w:pPr>
      <w:r>
        <w:t>Duplicate-record rate and prescription completion rate.</w:t>
      </w:r>
    </w:p>
    <w:p>
      <w:pPr>
        <w:pStyle w:val="ListBullet"/>
        <w:spacing w:after="60"/>
        <w:ind w:left="360" w:hanging="230"/>
      </w:pPr>
      <w:r>
        <w:t>Stock alerts, active users, training completion, and unresolved support issues.</w:t>
      </w:r>
    </w:p>
    <w:p>
      <w:r>
        <w:br w:type="page"/>
      </w:r>
    </w:p>
    <w:p>
      <w:pPr>
        <w:pStyle w:val="Heading1"/>
        <w:keepNext/>
      </w:pPr>
      <w:r>
        <w:t>Decisions and next steps</w:t>
      </w:r>
    </w:p>
    <w:p>
      <w:pPr>
        <w:pStyle w:val="Heading2"/>
        <w:keepNext/>
      </w:pPr>
      <w:r>
        <w:t>Close the meeting</w:t>
      </w:r>
    </w:p>
    <w:p>
      <w:pPr>
        <w:ind w:left="360"/>
      </w:pPr>
      <w:r>
        <w:rPr>
          <w:i/>
        </w:rPr>
        <w:t>“Let me summarize what we heard and the decisions we made. The proposed pilot is [facility and departments], with [roles and approximate users]. Before launch, we need to resolve [open items]. Success will be measured by [measures]. I will read back each action with its owner and date now.”</w:t>
      </w:r>
    </w:p>
    <w:p>
      <w:pPr>
        <w:pStyle w:val="Heading2"/>
        <w:keepNext/>
      </w:pPr>
      <w:r>
        <w:t>Decision record</w:t>
      </w:r>
    </w:p>
    <w:tbl>
      <w:tblPr>
        <w:tblStyle w:val="TableGrid"/>
        <w:tblW w:type="auto" w:w="0"/>
        <w:jc w:val="center"/>
        <w:tblLayout w:type="fixed"/>
        <w:tblLook w:firstColumn="1" w:firstRow="1" w:lastColumn="0" w:lastRow="0" w:noHBand="0" w:noVBand="1" w:val="04A0"/>
      </w:tblPr>
      <w:tblGrid>
        <w:gridCol w:w="3096"/>
        <w:gridCol w:w="4032"/>
        <w:gridCol w:w="1656"/>
        <w:gridCol w:w="1296"/>
      </w:tblGrid>
      <w:tr>
        <w:trPr>
          <w:tblHeader w:val="true"/>
          <w:cantSplit/>
        </w:trPr>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7"/>
              </w:rPr>
              <w:t>Decision</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7"/>
              </w:rPr>
              <w:t>Agreed outcome</w:t>
            </w:r>
          </w:p>
        </w:tc>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jc w:val="center"/>
            </w:pPr>
            <w:r/>
            <w:r>
              <w:rPr>
                <w:rFonts w:ascii="Arial" w:hAnsi="Arial"/>
                <w:b/>
                <w:color w:val="FFFFFF"/>
                <w:sz w:val="17"/>
              </w:rPr>
              <w:t>Owner</w:t>
            </w:r>
          </w:p>
        </w:tc>
        <w:tc>
          <w:tcPr>
            <w:tcW w:type="dxa" w:w="12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jc w:val="center"/>
            </w:pPr>
            <w:r/>
            <w:r>
              <w:rPr>
                <w:rFonts w:ascii="Arial" w:hAnsi="Arial"/>
                <w:b/>
                <w:color w:val="FFFFFF"/>
                <w:sz w:val="17"/>
              </w:rPr>
              <w:t>Date</w:t>
            </w:r>
          </w:p>
        </w:tc>
      </w:tr>
      <w:tr>
        <w:trPr>
          <w:cantSplit/>
        </w:trPr>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Pilot facility and departments</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r>
          </w:p>
        </w:tc>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r>
          </w:p>
        </w:tc>
        <w:tc>
          <w:tcPr>
            <w:tcW w:type="dxa" w:w="12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r>
          </w:p>
        </w:tc>
      </w:tr>
      <w:tr>
        <w:trPr>
          <w:cantSplit/>
        </w:trPr>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Pilot roles and user count</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r>
          </w:p>
        </w:tc>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r>
          </w:p>
        </w:tc>
        <w:tc>
          <w:tcPr>
            <w:tcW w:type="dxa" w:w="12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r>
          </w:p>
        </w:tc>
      </w:tr>
      <w:tr>
        <w:trPr>
          <w:cantSplit/>
        </w:trPr>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Priority workflows</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r>
          </w:p>
        </w:tc>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r>
          </w:p>
        </w:tc>
        <w:tc>
          <w:tcPr>
            <w:tcW w:type="dxa" w:w="12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r>
          </w:p>
        </w:tc>
      </w:tr>
      <w:tr>
        <w:trPr>
          <w:cantSplit/>
        </w:trPr>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Infrastructure readiness actions</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r>
          </w:p>
        </w:tc>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r>
          </w:p>
        </w:tc>
        <w:tc>
          <w:tcPr>
            <w:tcW w:type="dxa" w:w="12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r>
          </w:p>
        </w:tc>
      </w:tr>
      <w:tr>
        <w:trPr>
          <w:cantSplit/>
        </w:trPr>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Training approach and champion</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r>
          </w:p>
        </w:tc>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r>
          </w:p>
        </w:tc>
        <w:tc>
          <w:tcPr>
            <w:tcW w:type="dxa" w:w="12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r>
          </w:p>
        </w:tc>
      </w:tr>
      <w:tr>
        <w:trPr>
          <w:cantSplit/>
        </w:trPr>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Support and escalation path</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r>
          </w:p>
        </w:tc>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r>
          </w:p>
        </w:tc>
        <w:tc>
          <w:tcPr>
            <w:tcW w:type="dxa" w:w="12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r>
          </w:p>
        </w:tc>
      </w:tr>
      <w:tr>
        <w:trPr>
          <w:cantSplit/>
        </w:trPr>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Production test and go live owner</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r>
          </w:p>
        </w:tc>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r>
          </w:p>
        </w:tc>
        <w:tc>
          <w:tcPr>
            <w:tcW w:type="dxa" w:w="12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r>
          </w:p>
        </w:tc>
      </w:tr>
      <w:tr>
        <w:trPr>
          <w:cantSplit/>
        </w:trPr>
        <w:tc>
          <w:tcPr>
            <w:tcW w:type="dxa" w:w="30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Success measures and review date</w:t>
            </w:r>
          </w:p>
        </w:tc>
        <w:tc>
          <w:tcPr>
            <w:tcW w:type="dxa" w:w="403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r>
          </w:p>
        </w:tc>
        <w:tc>
          <w:tcPr>
            <w:tcW w:type="dxa" w:w="165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r>
          </w:p>
        </w:tc>
        <w:tc>
          <w:tcPr>
            <w:tcW w:type="dxa" w:w="12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r>
          </w:p>
        </w:tc>
      </w:tr>
    </w:tbl>
    <w:p>
      <w:pPr>
        <w:spacing w:after="0"/>
      </w:pPr>
    </w:p>
    <w:p>
      <w:pPr>
        <w:pStyle w:val="Heading2"/>
        <w:keepNext/>
      </w:pPr>
      <w:r>
        <w:t>Action log</w:t>
      </w:r>
    </w:p>
    <w:tbl>
      <w:tblPr>
        <w:tblStyle w:val="TableGrid"/>
        <w:tblW w:type="auto" w:w="0"/>
        <w:jc w:val="center"/>
        <w:tblLayout w:type="fixed"/>
        <w:tblLook w:firstColumn="1" w:firstRow="1" w:lastColumn="0" w:lastRow="0" w:noHBand="0" w:noVBand="1" w:val="04A0"/>
      </w:tblPr>
      <w:tblGrid>
        <w:gridCol w:w="5328"/>
        <w:gridCol w:w="1872"/>
        <w:gridCol w:w="1584"/>
        <w:gridCol w:w="1296"/>
      </w:tblGrid>
      <w:tr>
        <w:trPr>
          <w:tblHeader w:val="true"/>
          <w:cantSplit/>
        </w:trPr>
        <w:tc>
          <w:tcPr>
            <w:tcW w:type="dxa" w:w="53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7"/>
              </w:rPr>
              <w:t>Action</w:t>
            </w:r>
          </w:p>
        </w:tc>
        <w:tc>
          <w:tcPr>
            <w:tcW w:type="dxa" w:w="187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7"/>
              </w:rPr>
              <w:t>Owner</w:t>
            </w:r>
          </w:p>
        </w:tc>
        <w:tc>
          <w:tcPr>
            <w:tcW w:type="dxa" w:w="158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jc w:val="center"/>
            </w:pPr>
            <w:r/>
            <w:r>
              <w:rPr>
                <w:rFonts w:ascii="Arial" w:hAnsi="Arial"/>
                <w:b/>
                <w:color w:val="FFFFFF"/>
                <w:sz w:val="17"/>
              </w:rPr>
              <w:t>Due date</w:t>
            </w:r>
          </w:p>
        </w:tc>
        <w:tc>
          <w:tcPr>
            <w:tcW w:type="dxa" w:w="12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jc w:val="center"/>
            </w:pPr>
            <w:r/>
            <w:r>
              <w:rPr>
                <w:rFonts w:ascii="Arial" w:hAnsi="Arial"/>
                <w:b/>
                <w:color w:val="FFFFFF"/>
                <w:sz w:val="17"/>
              </w:rPr>
              <w:t>Status</w:t>
            </w:r>
          </w:p>
        </w:tc>
      </w:tr>
      <w:tr>
        <w:trPr>
          <w:cantSplit/>
        </w:trPr>
        <w:tc>
          <w:tcPr>
            <w:tcW w:type="dxa" w:w="53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r>
          </w:p>
        </w:tc>
        <w:tc>
          <w:tcPr>
            <w:tcW w:type="dxa" w:w="187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r>
          </w:p>
        </w:tc>
        <w:tc>
          <w:tcPr>
            <w:tcW w:type="dxa" w:w="158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r>
          </w:p>
        </w:tc>
        <w:tc>
          <w:tcPr>
            <w:tcW w:type="dxa" w:w="12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r>
          </w:p>
        </w:tc>
      </w:tr>
      <w:tr>
        <w:trPr>
          <w:cantSplit/>
        </w:trPr>
        <w:tc>
          <w:tcPr>
            <w:tcW w:type="dxa" w:w="53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r>
          </w:p>
        </w:tc>
        <w:tc>
          <w:tcPr>
            <w:tcW w:type="dxa" w:w="187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r>
          </w:p>
        </w:tc>
        <w:tc>
          <w:tcPr>
            <w:tcW w:type="dxa" w:w="158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r>
          </w:p>
        </w:tc>
        <w:tc>
          <w:tcPr>
            <w:tcW w:type="dxa" w:w="12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r>
          </w:p>
        </w:tc>
      </w:tr>
      <w:tr>
        <w:trPr>
          <w:cantSplit/>
        </w:trPr>
        <w:tc>
          <w:tcPr>
            <w:tcW w:type="dxa" w:w="53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r>
          </w:p>
        </w:tc>
        <w:tc>
          <w:tcPr>
            <w:tcW w:type="dxa" w:w="187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r>
          </w:p>
        </w:tc>
        <w:tc>
          <w:tcPr>
            <w:tcW w:type="dxa" w:w="158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r>
          </w:p>
        </w:tc>
        <w:tc>
          <w:tcPr>
            <w:tcW w:type="dxa" w:w="12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jc w:val="center"/>
            </w:pPr>
            <w:r/>
            <w:r>
              <w:rPr>
                <w:rFonts w:ascii="Arial" w:hAnsi="Arial"/>
                <w:b w:val="0"/>
                <w:color w:val="202B33"/>
                <w:sz w:val="17"/>
              </w:rPr>
            </w:r>
          </w:p>
        </w:tc>
      </w:tr>
      <w:tr>
        <w:trPr>
          <w:cantSplit/>
        </w:trPr>
        <w:tc>
          <w:tcPr>
            <w:tcW w:type="dxa" w:w="532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r>
          </w:p>
        </w:tc>
        <w:tc>
          <w:tcPr>
            <w:tcW w:type="dxa" w:w="1872"/>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r>
          </w:p>
        </w:tc>
        <w:tc>
          <w:tcPr>
            <w:tcW w:type="dxa" w:w="1584"/>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r>
          </w:p>
        </w:tc>
        <w:tc>
          <w:tcPr>
            <w:tcW w:type="dxa" w:w="1296"/>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jc w:val="center"/>
            </w:pPr>
            <w:r/>
            <w:r>
              <w:rPr>
                <w:rFonts w:ascii="Arial" w:hAnsi="Arial"/>
                <w:b w:val="0"/>
                <w:color w:val="202B33"/>
                <w:sz w:val="17"/>
              </w:rPr>
            </w:r>
          </w:p>
        </w:tc>
      </w:tr>
    </w:tbl>
    <w:p>
      <w:pPr>
        <w:spacing w:after="0"/>
      </w:pPr>
    </w:p>
    <w:p>
      <w:pPr>
        <w:pStyle w:val="Heading2"/>
        <w:keepNext/>
      </w:pPr>
      <w:r>
        <w:t>Do not leave without</w:t>
      </w:r>
    </w:p>
    <w:p>
      <w:pPr>
        <w:pStyle w:val="ListBullet"/>
        <w:spacing w:after="60"/>
        <w:ind w:left="360" w:hanging="230"/>
      </w:pPr>
      <w:r>
        <w:t>[ ] A named client decision maker and a named operational champion.</w:t>
      </w:r>
    </w:p>
    <w:p>
      <w:pPr>
        <w:pStyle w:val="ListBullet"/>
        <w:spacing w:after="60"/>
        <w:ind w:left="360" w:hanging="230"/>
      </w:pPr>
      <w:r>
        <w:t>[ ] A date for the next working session or a clear condition for scheduling it.</w:t>
      </w:r>
    </w:p>
    <w:p>
      <w:pPr>
        <w:pStyle w:val="ListBullet"/>
        <w:spacing w:after="60"/>
        <w:ind w:left="360" w:hanging="230"/>
      </w:pPr>
      <w:r>
        <w:t>[ ] An owner for every open security, infrastructure, data, or workflow question.</w:t>
      </w:r>
    </w:p>
    <w:p>
      <w:pPr>
        <w:pStyle w:val="ListBullet"/>
        <w:spacing w:after="60"/>
        <w:ind w:left="360" w:hanging="230"/>
      </w:pPr>
      <w:r>
        <w:t>[ ] Permission and a secure method for collecting any real configuration data needed next.</w:t>
      </w:r>
    </w:p>
    <w:p>
      <w:r>
        <w:br w:type="page"/>
      </w:r>
    </w:p>
    <w:p>
      <w:pPr>
        <w:pStyle w:val="Heading1"/>
        <w:keepNext/>
      </w:pPr>
      <w:r>
        <w:t>Troubleshooting during the meeting</w:t>
      </w:r>
    </w:p>
    <w:tbl>
      <w:tblPr>
        <w:tblStyle w:val="TableGrid"/>
        <w:tblW w:type="auto" w:w="0"/>
        <w:jc w:val="center"/>
        <w:tblLayout w:type="fixed"/>
        <w:tblLook w:firstColumn="1" w:firstRow="1" w:lastColumn="0" w:lastRow="0" w:noHBand="0" w:noVBand="1" w:val="04A0"/>
      </w:tblPr>
      <w:tblGrid>
        <w:gridCol w:w="2088"/>
        <w:gridCol w:w="4680"/>
        <w:gridCol w:w="3240"/>
      </w:tblGrid>
      <w:tr>
        <w:trPr>
          <w:tblHeader w:val="true"/>
          <w:cantSplit/>
        </w:trPr>
        <w:tc>
          <w:tcPr>
            <w:tcW w:type="dxa" w:w="20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7"/>
              </w:rPr>
              <w:t>Issue</w:t>
            </w:r>
          </w:p>
        </w:tc>
        <w:tc>
          <w:tcPr>
            <w:tcW w:type="dxa" w:w="46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7"/>
              </w:rPr>
              <w:t>Immediate response</w:t>
            </w:r>
          </w:p>
        </w:tc>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43A5E"/>
          </w:tcPr>
          <w:p>
            <w:pPr>
              <w:spacing w:after="0" w:before="0" w:line="252" w:lineRule="auto"/>
            </w:pPr>
            <w:r/>
            <w:r>
              <w:rPr>
                <w:rFonts w:ascii="Arial" w:hAnsi="Arial"/>
                <w:b/>
                <w:color w:val="FFFFFF"/>
                <w:sz w:val="17"/>
              </w:rPr>
              <w:t>Follow-up</w:t>
            </w:r>
          </w:p>
        </w:tc>
      </w:tr>
      <w:tr>
        <w:trPr>
          <w:cantSplit/>
        </w:trPr>
        <w:tc>
          <w:tcPr>
            <w:tcW w:type="dxa" w:w="20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A test user cannot sign in</w:t>
            </w:r>
          </w:p>
        </w:tc>
        <w:tc>
          <w:tcPr>
            <w:tcW w:type="dxa" w:w="46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Stop retrying publicly. Switch to a verified role tab or backup screenshot.</w:t>
            </w:r>
          </w:p>
        </w:tc>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Verify generated credentials and account status after the meeting.</w:t>
            </w:r>
          </w:p>
        </w:tc>
      </w:tr>
      <w:tr>
        <w:trPr>
          <w:cantSplit/>
        </w:trPr>
        <w:tc>
          <w:tcPr>
            <w:tcW w:type="dxa" w:w="20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The expected record is missing</w:t>
            </w:r>
          </w:p>
        </w:tc>
        <w:tc>
          <w:tcPr>
            <w:tcW w:type="dxa" w:w="46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Use another fictional patient and explain the intended workflow.</w:t>
            </w:r>
          </w:p>
        </w:tc>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Check seed state and restore the demonstration environment.</w:t>
            </w:r>
          </w:p>
        </w:tc>
      </w:tr>
      <w:tr>
        <w:trPr>
          <w:cantSplit/>
        </w:trPr>
        <w:tc>
          <w:tcPr>
            <w:tcW w:type="dxa" w:w="20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A page loads slowly</w:t>
            </w:r>
          </w:p>
        </w:tc>
        <w:tc>
          <w:tcPr>
            <w:tcW w:type="dxa" w:w="46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Acknowledge it once, continue the conversation, and use the prepared backup.</w:t>
            </w:r>
          </w:p>
        </w:tc>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Capture timing and environment details for investigation.</w:t>
            </w:r>
          </w:p>
        </w:tc>
      </w:tr>
      <w:tr>
        <w:trPr>
          <w:cantSplit/>
        </w:trPr>
        <w:tc>
          <w:tcPr>
            <w:tcW w:type="dxa" w:w="20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An offline change does not sync</w:t>
            </w:r>
          </w:p>
        </w:tc>
        <w:tc>
          <w:tcPr>
            <w:tcW w:type="dxa" w:w="46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Do not repeat edits. Reconnect, capture the visible state, and move on.</w:t>
            </w:r>
          </w:p>
        </w:tc>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Investigate with logs and provide a written, verified answer.</w:t>
            </w:r>
          </w:p>
        </w:tc>
      </w:tr>
      <w:tr>
        <w:trPr>
          <w:cantSplit/>
        </w:trPr>
        <w:tc>
          <w:tcPr>
            <w:tcW w:type="dxa" w:w="20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The client asks for an unavailable feature</w:t>
            </w:r>
          </w:p>
        </w:tc>
        <w:tc>
          <w:tcPr>
            <w:tcW w:type="dxa" w:w="46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Clarify the underlying need and record the exact scenario. Do not promise a delivery date.</w:t>
            </w:r>
          </w:p>
        </w:tc>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5F8FB"/>
          </w:tcPr>
          <w:p>
            <w:pPr>
              <w:spacing w:after="0" w:before="0" w:line="252" w:lineRule="auto"/>
            </w:pPr>
            <w:r/>
            <w:r>
              <w:rPr>
                <w:rFonts w:ascii="Arial" w:hAnsi="Arial"/>
                <w:b w:val="0"/>
                <w:color w:val="202B33"/>
                <w:sz w:val="17"/>
              </w:rPr>
              <w:t>Confirm current capability and propose options in writing.</w:t>
            </w:r>
          </w:p>
        </w:tc>
      </w:tr>
      <w:tr>
        <w:trPr>
          <w:cantSplit/>
        </w:trPr>
        <w:tc>
          <w:tcPr>
            <w:tcW w:type="dxa" w:w="2088"/>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Sensitive information appears</w:t>
            </w:r>
          </w:p>
        </w:tc>
        <w:tc>
          <w:tcPr>
            <w:tcW w:type="dxa" w:w="468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Stop sharing immediately and close or cover the content.</w:t>
            </w:r>
          </w:p>
        </w:tc>
        <w:tc>
          <w:tcPr>
            <w:tcW w:type="dxa" w:w="3240"/>
            <w:vAlign w:val="center"/>
            <w:tcMar>
              <w:top w:w="90" w:type="dxa"/>
              <w:start w:w="110" w:type="dxa"/>
              <w:bottom w:w="9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0" w:before="0" w:line="252" w:lineRule="auto"/>
            </w:pPr>
            <w:r/>
            <w:r>
              <w:rPr>
                <w:rFonts w:ascii="Arial" w:hAnsi="Arial"/>
                <w:b w:val="0"/>
                <w:color w:val="202B33"/>
                <w:sz w:val="17"/>
              </w:rPr>
              <w:t>Follow the organization’s incident and privacy procedure.</w:t>
            </w:r>
          </w:p>
        </w:tc>
      </w:tr>
    </w:tbl>
    <w:p>
      <w:pPr>
        <w:spacing w:after="0"/>
      </w:pPr>
    </w:p>
    <w:p>
      <w:pPr>
        <w:pStyle w:val="Heading2"/>
        <w:keepNext/>
      </w:pPr>
      <w:r>
        <w:t>Follow-up message template</w:t>
      </w:r>
    </w:p>
    <w:p>
      <w:pPr>
        <w:ind w:left="360" w:right="360"/>
      </w:pPr>
      <w:r>
        <w:rPr>
          <w:b/>
        </w:rPr>
        <w:t xml:space="preserve">Subject  </w:t>
      </w:r>
      <w:r>
        <w:t>Tamam Health meeting summary and agreed next steps</w:t>
        <w:br/>
        <w:br/>
      </w:r>
      <w:r>
        <w:t>Dear [Name],</w:t>
        <w:br/>
        <w:br/>
      </w:r>
      <w:r>
        <w:t>Thank you for walking us through Mercy Hospital Group’s priorities and current workflows. Today we demonstrated how Tamam Health can connect patient registration, nursing, clinical care, laboratory, pharmacy, and organization oversight around one patient record.</w:t>
        <w:br/>
        <w:br/>
      </w:r>
      <w:r>
        <w:t>We agreed on the following: [decisions]. The open questions are: [questions]. The next actions are: [action, owner, date]. Our next session is planned for [date and purpose].</w:t>
        <w:br/>
        <w:br/>
      </w:r>
      <w:r>
        <w:t>Please reply with any correction to this summary so that the pilot plan reflects your team’s understanding.</w:t>
        <w:br/>
        <w:br/>
        <w:t>Kind regards,</w:t>
        <w:br/>
        <w:t>[Name]</w:t>
        <w:br/>
        <w:t>Tamam Health</w:t>
      </w:r>
    </w:p>
    <w:p>
      <w:pPr>
        <w:pStyle w:val="Heading2"/>
        <w:keepNext/>
      </w:pPr>
      <w:r>
        <w:t>Final presenter reminder</w:t>
      </w:r>
    </w:p>
    <w:p>
      <w:r>
        <w:t>The strongest demonstration is not the one with the most screens. It is the one where the client recognizes their own work, sees a credible improvement, understands the limits, and agrees on a practical next step.</w:t>
      </w:r>
    </w:p>
    <w:sectPr w:rsidR="00FC693F" w:rsidRPr="0006063C" w:rsidSect="00034616">
      <w:footerReference w:type="default" r:id="rId9"/>
      <w:footerReference w:type="first" r:id="rId10"/>
      <w:pgSz w:w="12240" w:h="15840"/>
      <w:pgMar w:top="979" w:right="1080" w:bottom="893"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62717D"/>
        <w:sz w:val="15"/>
      </w:rPr>
      <w:t xml:space="preserve">Tamam Health  |  Mercy Hospital Group client meeting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olor w:val="202B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contextualSpacing/>
    </w:pPr>
    <w:rPr>
      <w:rFonts w:asciiTheme="majorHAnsi" w:eastAsiaTheme="majorEastAsia" w:hAnsiTheme="majorHAnsi" w:cstheme="majorBidi" w:ascii="Arial" w:hAnsi="Arial"/>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202B33"/>
      <w:sz w:val="20"/>
    </w:rPr>
  </w:style>
  <w:style w:type="paragraph" w:styleId="ListBullet2">
    <w:name w:val="List Bullet 2"/>
    <w:basedOn w:val="Normal"/>
    <w:uiPriority w:val="99"/>
    <w:unhideWhenUsed/>
    <w:rsid w:val="00326F90"/>
    <w:pPr>
      <w:numPr>
        <w:numId w:val="2"/>
      </w:numPr>
      <w:contextualSpacing/>
    </w:pPr>
    <w:rPr>
      <w:rFonts w:ascii="Arial" w:hAnsi="Arial"/>
      <w:color w:val="202B33"/>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202B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ientSubtitle">
    <w:name w:val="Client Subtitle"/>
    <w:pPr>
      <w:spacing w:after="600"/>
    </w:pPr>
    <w:rPr>
      <w:rFonts w:ascii="Arial" w:hAnsi="Arial"/>
      <w:color w:val="000000"/>
      <w:sz w:val="2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Mercy Hospital Group Client Meeting Walkthrough</dc:title>
  <dc:subject>Tamam Health product demonstration and pilot discovery guide</dc:subject>
  <dc:creator>Tamam Health</dc:creator>
  <cp:keywords/>
  <dc:description>generated by python-docx</dc:description>
  <cp:lastModifiedBy/>
  <cp:revision>1</cp:revision>
  <dcterms:created xsi:type="dcterms:W3CDTF">2013-12-23T23:15:00Z</dcterms:created>
  <dcterms:modified xsi:type="dcterms:W3CDTF">2013-12-23T23:15:00Z</dcterms:modified>
  <cp:category/>
</cp:coreProperties>
</file>