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L’application Superzense nous a surprise par sa capacité à “voir autrement”. Lui montrer des empilements d’objets et des formes complexes force son esprit de synthèse et lui fait dire autre chose que ce qui est montré. Nous avons forcé ce “bug” en créant de multiples associations d’objets. Parfois, on réussissait à lui faire dire un mot souhaité en reproduisant la matière ou la forme d’une chose à l’aide de différents éléments.</w:t>
        <w:br w:type="textWrapping"/>
        <w:t xml:space="preserve">Ce que nous avons souhaité traduire par ce projet, c’est tout le panel d’erreurs qu’il était possible de lui faire faire. Un décalage poétique était produit par une machine qui répond toujours mécaniquement à ce qu’elle voit. C’est cet “autre voir” qui nous a fasciné et poussé à produire un maximum d’images “autres”.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