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130095" w:rsidR="009560E2" w:rsidP="00856C83" w:rsidRDefault="60AAEACE" w14:paraId="2ADC8BCF" w14:textId="1BBC72E2" w14:noSpellErr="1">
      <w:pPr>
        <w:pStyle w:val="Ttulo"/>
      </w:pPr>
      <w:r w:rsidR="7966B57B">
        <w:rPr/>
        <w:t>Programa piloto de automatização da validação da EFD Fiscal</w:t>
      </w:r>
    </w:p>
    <w:p w:rsidRPr="00130095" w:rsidR="00D978B9" w:rsidRDefault="00D978B9" w14:paraId="672A6659" w14:textId="77777777"/>
    <w:p w:rsidRPr="00856C83" w:rsidR="00D978B9" w:rsidP="7966B57B" w:rsidRDefault="00EA3272" w14:paraId="4DA40B8D" w14:textId="77777777" w14:noSpellErr="1">
      <w:pPr>
        <w:pStyle w:val="Subttulo"/>
        <w:rPr>
          <w:rStyle w:val="nfaseSutil"/>
          <w:i w:val="1"/>
          <w:iCs w:val="1"/>
          <w:color w:val="auto"/>
        </w:rPr>
      </w:pPr>
      <w:r w:rsidRPr="7966B57B" w:rsidR="7966B57B">
        <w:rPr>
          <w:rStyle w:val="nfaseSutil"/>
          <w:i w:val="1"/>
          <w:iCs w:val="1"/>
          <w:color w:val="auto"/>
        </w:rPr>
        <w:t>Tamara Vaz de Moraes Santos</w:t>
      </w:r>
    </w:p>
    <w:p w:rsidR="00EA3272" w:rsidP="7966B57B" w:rsidRDefault="00EA3272" w14:paraId="527A9FCD" w14:textId="77777777" w14:noSpellErr="1">
      <w:pPr>
        <w:jc w:val="center"/>
        <w:rPr>
          <w:rStyle w:val="nfaseSutil"/>
        </w:rPr>
      </w:pPr>
      <w:r w:rsidRPr="7966B57B" w:rsidR="7966B57B">
        <w:rPr>
          <w:rStyle w:val="nfaseSutil"/>
        </w:rPr>
        <w:t xml:space="preserve">Auxiliar de pesquisa I – Instituto de Pesquisa Econômica Aplicada (Ipea), </w:t>
      </w:r>
      <w:hyperlink r:id="R45b603be350247ff">
        <w:r w:rsidRPr="7966B57B" w:rsidR="7966B57B">
          <w:rPr>
            <w:rStyle w:val="Hyperlink"/>
          </w:rPr>
          <w:t>tamarvaz.m@gmail.com</w:t>
        </w:r>
      </w:hyperlink>
    </w:p>
    <w:p w:rsidRPr="00856C83" w:rsidR="00EA3272" w:rsidP="7966B57B" w:rsidRDefault="00EA3272" w14:paraId="0F56CA43" w14:textId="77777777" w14:noSpellErr="1">
      <w:pPr>
        <w:pStyle w:val="Subttulo"/>
        <w:rPr>
          <w:rStyle w:val="nfaseSutil"/>
          <w:i w:val="1"/>
          <w:iCs w:val="1"/>
          <w:color w:val="auto"/>
        </w:rPr>
      </w:pPr>
      <w:r w:rsidRPr="7966B57B" w:rsidR="7966B57B">
        <w:rPr>
          <w:rStyle w:val="nfaseSutil"/>
          <w:i w:val="1"/>
          <w:iCs w:val="1"/>
          <w:color w:val="auto"/>
        </w:rPr>
        <w:t>Natália Vaz de Moraes Santos</w:t>
      </w:r>
    </w:p>
    <w:p w:rsidR="7966B57B" w:rsidP="7966B57B" w:rsidRDefault="7966B57B" w14:paraId="0E39BCCF" w14:textId="5D316BD2">
      <w:pPr>
        <w:jc w:val="center"/>
      </w:pPr>
      <w:r w:rsidRPr="08FCCFF3" w:rsidR="08FCCFF3">
        <w:rPr>
          <w:rStyle w:val="nfaseSutil"/>
        </w:rPr>
        <w:t>Assistente</w:t>
      </w:r>
      <w:r w:rsidRPr="08FCCFF3" w:rsidR="08FCCFF3">
        <w:rPr>
          <w:rStyle w:val="nfaseSutil"/>
        </w:rPr>
        <w:t xml:space="preserve">– </w:t>
      </w:r>
      <w:proofErr w:type="spellStart"/>
      <w:r w:rsidRPr="08FCCFF3" w:rsidR="08FCCFF3">
        <w:rPr>
          <w:rStyle w:val="nfaseSutil"/>
        </w:rPr>
        <w:t>PwC</w:t>
      </w:r>
      <w:proofErr w:type="spellEnd"/>
      <w:r w:rsidRPr="08FCCFF3" w:rsidR="08FCCFF3">
        <w:rPr>
          <w:rStyle w:val="nfaseSutil"/>
        </w:rPr>
        <w:t xml:space="preserve">, </w:t>
      </w:r>
      <w:hyperlink r:id="R9ec8a48ec9844cb4">
        <w:r w:rsidRPr="08FCCFF3" w:rsidR="08FCCFF3">
          <w:rPr>
            <w:rStyle w:val="Hyperlink"/>
          </w:rPr>
          <w:t>moraes.natalia@pwc.com</w:t>
        </w:r>
      </w:hyperlink>
    </w:p>
    <w:p w:rsidRPr="00130095" w:rsidR="00D978B9" w:rsidRDefault="00D978B9" w14:paraId="0A37501D" w14:textId="77777777"/>
    <w:p w:rsidRPr="00130095" w:rsidR="000619C7" w:rsidRDefault="000619C7" w14:paraId="5DAB6C7B" w14:textId="77777777">
      <w:pPr>
        <w:rPr>
          <w:rFonts w:asciiTheme="majorHAnsi" w:hAnsiTheme="majorHAnsi" w:eastAsiaTheme="majorEastAsia" w:cstheme="majorBidi"/>
          <w:color w:val="17365D" w:themeColor="text2" w:themeShade="BF"/>
          <w:spacing w:val="5"/>
          <w:kern w:val="28"/>
          <w:sz w:val="52"/>
          <w:szCs w:val="52"/>
        </w:rPr>
      </w:pPr>
      <w:r w:rsidRPr="00130095">
        <w:br w:type="page"/>
      </w:r>
    </w:p>
    <w:p w:rsidRPr="00130095" w:rsidR="00D978B9" w:rsidP="7966B57B" w:rsidRDefault="60AAEACE" w14:paraId="62DD76C1" w14:textId="22C0E6D0" w14:noSpellErr="1">
      <w:pPr>
        <w:pStyle w:val="Ttulo"/>
        <w:rPr>
          <w:rStyle w:val="nfase"/>
        </w:rPr>
      </w:pPr>
      <w:r w:rsidRPr="7966B57B" w:rsidR="7966B57B">
        <w:rPr>
          <w:rStyle w:val="nfase"/>
        </w:rPr>
        <w:t>Resumo</w:t>
      </w:r>
    </w:p>
    <w:p w:rsidR="60AAEACE" w:rsidP="60AAEACE" w:rsidRDefault="60AAEACE" w14:paraId="2EDCD608" w14:textId="17314C22"/>
    <w:p w:rsidR="60AAEACE" w:rsidP="60AAEACE" w:rsidRDefault="60AAEACE" w14:paraId="5FB0CEBF" w14:textId="002FAE1E"/>
    <w:p w:rsidR="000501F0" w:rsidP="7966B57B" w:rsidRDefault="60AAEACE" w14:paraId="6932659C" w14:textId="0A26C500" w14:noSpellErr="1">
      <w:pPr>
        <w:pStyle w:val="Ttulo2"/>
        <w:rPr>
          <w:rStyle w:val="nfase"/>
          <w:i w:val="0"/>
          <w:iCs w:val="0"/>
        </w:rPr>
      </w:pPr>
      <w:r w:rsidRPr="7966B57B" w:rsidR="7966B57B">
        <w:rPr>
          <w:rStyle w:val="nfase"/>
          <w:i w:val="0"/>
          <w:iCs w:val="0"/>
        </w:rPr>
        <w:t>Objetivo</w:t>
      </w:r>
    </w:p>
    <w:p w:rsidRPr="000501F0" w:rsidR="000501F0" w:rsidP="000501F0" w:rsidRDefault="000501F0" w14:paraId="478666E9" w14:textId="77777777"/>
    <w:p w:rsidR="60AAEACE" w:rsidP="60AAEACE" w:rsidRDefault="0565A87A" w14:paraId="65E9E9B7" w14:textId="1C563F18" w14:noSpellErr="1">
      <w:r w:rsidR="7966B57B">
        <w:rPr/>
        <w:t>O objetivo do programa é automatizar processos repetitivos e tornar possível a revisão em maior escala e eficiência, uma vez que passa a recair no nível da parametrização da programação para a validação da FED Fiscal, a partir dos testes de Resumo por CFOP; Teste de Cadastro e Teste de Crédito do Ativo Permanente (CIAP).</w:t>
      </w:r>
    </w:p>
    <w:p w:rsidR="60AAEACE" w:rsidP="60AAEACE" w:rsidRDefault="0565A87A" w14:paraId="1F1F37C5" w14:textId="3445DBA6" w14:noSpellErr="1">
      <w:r w:rsidR="08FCCFF3">
        <w:rPr/>
        <w:t xml:space="preserve">Os testes mencionados têm como principal objetivo a validação da EFD Fiscal para fins de auditoria tributária do ICMS, tendo </w:t>
      </w:r>
      <w:r w:rsidR="08FCCFF3">
        <w:rPr/>
        <w:t>cada um objetivos específicos</w:t>
      </w:r>
      <w:r w:rsidR="08FCCFF3">
        <w:rPr/>
        <w:t>, a saber:</w:t>
      </w:r>
    </w:p>
    <w:p w:rsidR="7966B57B" w:rsidP="7966B57B" w:rsidRDefault="7966B57B" w14:paraId="12068FE6" w14:noSpellErr="1" w14:textId="565328C1">
      <w:pPr>
        <w:pStyle w:val="Normal"/>
      </w:pPr>
      <w:r w:rsidR="08FCCFF3">
        <w:rPr/>
        <w:t xml:space="preserve">Apuração do ICMS: </w:t>
      </w:r>
      <w:r w:rsidR="08FCCFF3">
        <w:rPr/>
        <w:t>r</w:t>
      </w:r>
      <w:r w:rsidR="08FCCFF3">
        <w:rPr/>
        <w:t xml:space="preserve">ealizar cruzamento entre o saldo a recolher do ICMS informado na EFD </w:t>
      </w:r>
      <w:r w:rsidR="08FCCFF3">
        <w:rPr/>
        <w:t xml:space="preserve">Fiscal </w:t>
      </w:r>
      <w:r w:rsidR="08FCCFF3">
        <w:rPr/>
        <w:t>com</w:t>
      </w:r>
      <w:r w:rsidR="08FCCFF3">
        <w:rPr/>
        <w:t xml:space="preserve"> obrigações acessórias </w:t>
      </w:r>
      <w:r w:rsidR="08FCCFF3">
        <w:rPr/>
        <w:t xml:space="preserve">e </w:t>
      </w:r>
      <w:r w:rsidR="08FCCFF3">
        <w:rPr/>
        <w:t>comprovante</w:t>
      </w:r>
      <w:r w:rsidR="08FCCFF3">
        <w:rPr/>
        <w:t xml:space="preserve"> de pagamento do </w:t>
      </w:r>
      <w:proofErr w:type="gramStart"/>
      <w:r w:rsidR="08FCCFF3">
        <w:rPr/>
        <w:t>tributo ,</w:t>
      </w:r>
      <w:proofErr w:type="gramEnd"/>
      <w:r w:rsidR="08FCCFF3">
        <w:rPr/>
        <w:t xml:space="preserve"> a fim de verificar se a obrigação foi adequadamente adimplida. Além disso, a partir da apuração, é possível direcionar a análise para saldos que não sejam oriundos de </w:t>
      </w:r>
      <w:r w:rsidR="08FCCFF3">
        <w:rPr/>
        <w:t>entradas e saídas</w:t>
      </w:r>
      <w:r w:rsidR="08FCCFF3">
        <w:rPr/>
        <w:t xml:space="preserve"> mas que tenham impacto para o cálculo do tributo.</w:t>
      </w:r>
    </w:p>
    <w:p w:rsidR="60AAEACE" w:rsidP="60AAEACE" w:rsidRDefault="60AAEACE" w14:paraId="1F0D0E9E" w14:noSpellErr="1" w14:textId="0E8AD10A">
      <w:r w:rsidR="08FCCFF3">
        <w:rPr/>
        <w:t xml:space="preserve">Resumo por CFOP: </w:t>
      </w:r>
      <w:r w:rsidR="08FCCFF3">
        <w:rPr/>
        <w:t>a</w:t>
      </w:r>
      <w:r w:rsidR="08FCCFF3">
        <w:rPr/>
        <w:t>nalisar e identificar as operações de maior relevância econômica da empresa auditada a partir dos Códigos de Operações e Prestações (CFOP), de modo a mapear e cobrir riscos relevantes, identificando a regularidade das alíquotas e bases de cálculo efetivas do ICMS;</w:t>
      </w:r>
    </w:p>
    <w:p w:rsidR="60AAEACE" w:rsidP="60AAEACE" w:rsidRDefault="60AAEACE" w14:paraId="65C42AD3" w14:textId="30CC7BC3">
      <w:r w:rsidR="08FCCFF3">
        <w:rPr/>
        <w:t xml:space="preserve">Teste de cadastro: </w:t>
      </w:r>
      <w:r w:rsidR="08FCCFF3">
        <w:rPr/>
        <w:t>v</w:t>
      </w:r>
      <w:r w:rsidR="08FCCFF3">
        <w:rPr/>
        <w:t xml:space="preserve">erificar se as informações escrituradas na EFD Fiscal estão em conformidade com os documentos fiscais (Notas Fiscais; Conhecimento de Transporte, </w:t>
      </w:r>
      <w:proofErr w:type="spellStart"/>
      <w:r w:rsidR="08FCCFF3">
        <w:rPr/>
        <w:t>etc</w:t>
      </w:r>
      <w:proofErr w:type="spellEnd"/>
      <w:r w:rsidR="08FCCFF3">
        <w:rPr/>
        <w:t>) e com a legislação aplicável e esmiuçar as operações relevantes identificadas no Teste de Resumo por CFOP, selecionando dentre estas aquelas que apresentem informações irregulares, tais como redução de base de cálculo; redução de alíquota;</w:t>
      </w:r>
    </w:p>
    <w:p w:rsidR="60AAEACE" w:rsidP="60AAEACE" w:rsidRDefault="60AAEACE" w14:paraId="6F615386" w14:textId="243EB5A5" w14:noSpellErr="1">
      <w:r w:rsidR="7966B57B">
        <w:rPr/>
        <w:t>Teste de CIAP: Verificar se a empresa auditada vem se creditando dos itens do ativo permanente em conformidade com a legislação estadual vigente, observando se cumpre a equação de apropriação mensal do crédito, correspondente a:</w:t>
      </w:r>
    </w:p>
    <w:p w:rsidR="00762410" w:rsidP="60AAEACE" w:rsidRDefault="00762410" w14:paraId="661965C6" w14:textId="56C1A655"/>
    <w:tbl>
      <w:tblPr>
        <w:tblStyle w:val="Tabelacomgrade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562"/>
        <w:gridCol w:w="7655"/>
        <w:gridCol w:w="611"/>
      </w:tblGrid>
      <w:tr w:rsidR="00762410" w:rsidTr="7966B57B" w14:paraId="169C88F8" w14:textId="77777777">
        <w:tc>
          <w:tcPr>
            <w:tcW w:w="562" w:type="dxa"/>
            <w:tcMar/>
            <w:vAlign w:val="center"/>
          </w:tcPr>
          <w:p w:rsidR="00762410" w:rsidP="00A05087" w:rsidRDefault="00762410" w14:paraId="05AC6D53" w14:textId="77777777">
            <w:pPr>
              <w:jc w:val="center"/>
            </w:pPr>
          </w:p>
        </w:tc>
        <w:tc>
          <w:tcPr>
            <w:tcW w:w="7655" w:type="dxa"/>
            <w:tcMar/>
            <w:vAlign w:val="center"/>
          </w:tcPr>
          <w:p w:rsidR="00762410" w:rsidP="00A05087" w:rsidRDefault="00A05087" w14:paraId="42EAB3F0" w14:textId="4EADF177">
            <w:pPr>
              <w:jc w:val="left"/>
            </w:pPr>
            <m:oMathPara>
              <m:oMath>
                <m:r>
                  <w:rPr>
                    <w:rFonts w:ascii="Cambria Math" w:hAnsi="Cambria Math"/>
                  </w:rPr>
                  <m:t>CIAP=Vl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tatal.crédito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x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48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x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Vl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saídas.tributadas.período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Vl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saídas.tot.período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611" w:type="dxa"/>
            <w:tcMar/>
            <w:vAlign w:val="center"/>
          </w:tcPr>
          <w:p w:rsidRPr="00762410" w:rsidR="00762410" w:rsidP="7966B57B" w:rsidRDefault="00762410" w14:paraId="4105CD2A" w14:textId="2C15B4CF" w14:noSpellErr="1">
            <w:pPr>
              <w:jc w:val="center"/>
              <w:rPr>
                <w:b w:val="1"/>
                <w:bCs w:val="1"/>
              </w:rPr>
            </w:pPr>
            <w:r w:rsidRPr="7966B57B">
              <w:rPr>
                <w:b w:val="1"/>
                <w:bCs w:val="1"/>
              </w:rPr>
              <w:t>(</w:t>
            </w:r>
            <w:r w:rsidRPr="7966B57B">
              <w:fldChar w:fldCharType="begin"/>
            </w:r>
            <w:r w:rsidRPr="00762410">
              <w:rPr>
                <w:b/>
              </w:rPr>
              <w:instrText xml:space="preserve"> SEQ Eq \* MERGEFORMAT </w:instrText>
            </w:r>
            <w:r w:rsidRPr="00762410">
              <w:rPr>
                <w:b/>
              </w:rPr>
              <w:fldChar w:fldCharType="separate"/>
            </w:r>
            <w:r w:rsidRPr="7966B57B">
              <w:rPr>
                <w:b w:val="1"/>
                <w:bCs w:val="1"/>
                <w:noProof/>
              </w:rPr>
              <w:t>1</w:t>
            </w:r>
            <w:r w:rsidRPr="7966B57B">
              <w:fldChar w:fldCharType="end"/>
            </w:r>
            <w:r w:rsidRPr="7966B57B">
              <w:rPr>
                <w:b w:val="1"/>
                <w:bCs w:val="1"/>
              </w:rPr>
              <w:t>)</w:t>
            </w:r>
          </w:p>
        </w:tc>
      </w:tr>
    </w:tbl>
    <w:p w:rsidR="00762410" w:rsidP="60AAEACE" w:rsidRDefault="00762410" w14:paraId="71BC1013" w14:textId="77777777"/>
    <w:p w:rsidR="60AAEACE" w:rsidP="60AAEACE" w:rsidRDefault="60AAEACE" w14:paraId="6F38D985" w14:textId="3FA02A2A" w14:noSpellErr="1">
      <w:r w:rsidR="7966B57B">
        <w:rPr/>
        <w:t xml:space="preserve">Além disso, o teste tem ainda como objetivo verificar se os itens </w:t>
      </w:r>
      <w:r w:rsidR="7966B57B">
        <w:rPr/>
        <w:t>cujos créditos estão</w:t>
      </w:r>
      <w:r w:rsidR="7966B57B">
        <w:rPr/>
        <w:t xml:space="preserve"> sendo apropriados são utilizados na atividade fim da empresa, uma vez que só esses estão sujeitos ao crédito de que trata a </w:t>
      </w:r>
      <w:r w:rsidR="7966B57B">
        <w:rPr/>
        <w:t>legislação</w:t>
      </w:r>
      <w:r w:rsidR="7966B57B">
        <w:rPr/>
        <w:t>.</w:t>
      </w:r>
    </w:p>
    <w:p w:rsidR="60AAEACE" w:rsidP="60AAEACE" w:rsidRDefault="60AAEACE" w14:paraId="3FC9E9FC" w14:textId="162D1246"/>
    <w:p w:rsidR="60AAEACE" w:rsidP="60AAEACE" w:rsidRDefault="60AAEACE" w14:paraId="59520A6A" w14:textId="1956D725"/>
    <w:p w:rsidR="60AAEACE" w:rsidP="60AAEACE" w:rsidRDefault="60AAEACE" w14:paraId="015BBC2C" w14:textId="25864AED"/>
    <w:p w:rsidRPr="00130095" w:rsidR="00D978B9" w:rsidP="00D978B9" w:rsidRDefault="00D978B9" w14:paraId="02EB378F" w14:textId="77777777"/>
    <w:p w:rsidRPr="00130095" w:rsidR="00D978B9" w:rsidP="000870B1" w:rsidRDefault="00D978B9" w14:paraId="28E8BE6E" w14:textId="77777777" w14:noSpellErr="1">
      <w:pPr>
        <w:pStyle w:val="Ttulo1"/>
      </w:pPr>
      <w:r w:rsidR="7966B57B">
        <w:rPr/>
        <w:t>Introdução</w:t>
      </w:r>
    </w:p>
    <w:p w:rsidRPr="00130095" w:rsidR="000870B1" w:rsidP="000870B1" w:rsidRDefault="000870B1" w14:paraId="6A05A809" w14:textId="77777777"/>
    <w:p w:rsidRPr="00130095" w:rsidR="00D978B9" w:rsidP="000870B1" w:rsidRDefault="00D978B9" w14:paraId="5329FCD4" w14:textId="77777777" w14:noSpellErr="1">
      <w:pPr>
        <w:pStyle w:val="Ttulo1"/>
      </w:pPr>
      <w:r w:rsidR="7966B57B">
        <w:rPr/>
        <w:t>Metodologia</w:t>
      </w:r>
    </w:p>
    <w:p w:rsidR="000870B1" w:rsidP="00DD6BBA" w:rsidRDefault="00272E0D" w14:paraId="6BEC07EF" w14:textId="77777777" w14:noSpellErr="1">
      <w:pPr>
        <w:pStyle w:val="Ttulo2"/>
      </w:pPr>
      <w:r w:rsidR="7966B57B">
        <w:rPr/>
        <w:t>Etapas</w:t>
      </w:r>
    </w:p>
    <w:p w:rsidR="00272E0D" w:rsidP="00272E0D" w:rsidRDefault="00272E0D" w14:paraId="5A39BBE3" w14:textId="77777777"/>
    <w:p w:rsidR="00272E0D" w:rsidP="00272E0D" w:rsidRDefault="60AAEACE" w14:paraId="3B82EE96" w14:noSpellErr="1" w14:textId="3B7A1DE7">
      <w:r w:rsidR="08FCCFF3">
        <w:rPr/>
        <w:t xml:space="preserve">O programa será gerado inicialmente em linguagem R. O software é livre e criado para computação estatística e gráficos, auxiliando no tratamento e análise de grandes volumes de dados, ainda que não seja o mais otimizado para as </w:t>
      </w:r>
      <w:r w:rsidRPr="08FCCFF3" w:rsidR="08FCCFF3">
        <w:rPr>
          <w:i w:val="1"/>
          <w:iCs w:val="1"/>
        </w:rPr>
        <w:t>Big datas</w:t>
      </w:r>
      <w:r w:rsidR="08FCCFF3">
        <w:rPr/>
        <w:t>. Um dos grandes saltos do uso</w:t>
      </w:r>
      <w:r w:rsidR="08FCCFF3">
        <w:rPr/>
        <w:t xml:space="preserve"> de programação em R</w:t>
      </w:r>
      <w:r w:rsidR="08FCCFF3">
        <w:rPr/>
        <w:t xml:space="preserve">, comparativamente a softwares usuais como Excel, é a programação orientada ao objeto, onde há </w:t>
      </w:r>
      <w:r w:rsidR="08FCCFF3">
        <w:rPr/>
        <w:t xml:space="preserve">a possibilidade de automatizar todas as etapas realizadas pelo </w:t>
      </w:r>
      <w:r w:rsidR="08FCCFF3">
        <w:rPr/>
        <w:t>usuário</w:t>
      </w:r>
      <w:r w:rsidR="08FCCFF3">
        <w:rPr/>
        <w:t xml:space="preserve"> para chegar ao objetivo final, seguindo a mesma lógica utilizada. A programação em R</w:t>
      </w:r>
      <w:r w:rsidR="08FCCFF3">
        <w:rPr/>
        <w:t xml:space="preserve"> pode</w:t>
      </w:r>
      <w:r w:rsidR="08FCCFF3">
        <w:rPr/>
        <w:t xml:space="preserve"> ser feita</w:t>
      </w:r>
      <w:r w:rsidR="08FCCFF3">
        <w:rPr/>
        <w:t xml:space="preserve"> generalizando funções para um fim, fazendo com que trabalhos repetitivo</w:t>
      </w:r>
      <w:r w:rsidR="08FCCFF3">
        <w:rPr/>
        <w:t>s tenham um menor custo marginal perto de zero, ou seja, repetir o mesmo trabalho em um arquivo adicional praticamente não terá custos de tempo e programação depois da primeira programaç</w:t>
      </w:r>
      <w:r w:rsidR="08FCCFF3">
        <w:rPr/>
        <w:t>ão feita, sendo necessário apenas ajustes finos à nova entrada de dados</w:t>
      </w:r>
      <w:r w:rsidR="08FCCFF3">
        <w:rPr/>
        <w:t>. Além disso, a programação em R permite manter um histórico de manipulação e procedimentos que podem ser auditados e corrigidos com facilidade, fazendo com que haja maior confiabilidade no procedimento e mem</w:t>
      </w:r>
      <w:r w:rsidR="08FCCFF3">
        <w:rPr/>
        <w:t>ó</w:t>
      </w:r>
      <w:r w:rsidR="08FCCFF3">
        <w:rPr/>
        <w:t>ria procedimental</w:t>
      </w:r>
      <w:r w:rsidR="08FCCFF3">
        <w:rPr/>
        <w:t xml:space="preserve">. Isso é possível devido ao </w:t>
      </w:r>
      <w:r w:rsidRPr="08FCCFF3" w:rsidR="08FCCFF3">
        <w:rPr>
          <w:i w:val="1"/>
          <w:iCs w:val="1"/>
        </w:rPr>
        <w:t>script</w:t>
      </w:r>
      <w:r w:rsidR="08FCCFF3">
        <w:rPr/>
        <w:t xml:space="preserve"> do R, que nada mais é </w:t>
      </w:r>
      <w:r w:rsidR="08FCCFF3">
        <w:rPr/>
        <w:t xml:space="preserve">do </w:t>
      </w:r>
      <w:r w:rsidR="08FCCFF3">
        <w:rPr/>
        <w:t xml:space="preserve">que um arquivo de texto contendo todos os códigos e comentários do programa a ser executado. A verificação se dá na análise linha a linha do programa, podendo ainda serem executadas rotinas de verificação internas de consistência do programa. Encontrado erros, o programa pode ser editado pontualmente e reexecutado quantas vezes forem necessárias. </w:t>
      </w:r>
    </w:p>
    <w:p w:rsidR="000F3273" w:rsidP="000F3273" w:rsidRDefault="60AAEACE" w14:paraId="512078FF" w14:textId="30BBEA2F">
      <w:r w:rsidR="08FCCFF3">
        <w:rPr/>
        <w:t xml:space="preserve">O projeto piloto está dividido inicialmente em duas etapas. A primeira visa recriar os relatórios gerados pelo software CLICK conjuntamente com as variáveis geradas usualmente pela equipe TAX Indiretos </w:t>
      </w:r>
      <w:proofErr w:type="spellStart"/>
      <w:r w:rsidR="08FCCFF3">
        <w:rPr/>
        <w:t>PwC</w:t>
      </w:r>
      <w:proofErr w:type="spellEnd"/>
      <w:r w:rsidR="08FCCFF3">
        <w:rPr/>
        <w:t xml:space="preserve"> a partir desses relatórios, quais sejam, Resumo por CFOP, relatório que consolida todas as operações e prestações praticadas pela empresa no período, trazendo informações relevantes como valores das operações envolvidas, do ICMS, da base de cálculo, dentre outras; e Relatório</w:t>
      </w:r>
      <w:r w:rsidR="08FCCFF3">
        <w:rPr/>
        <w:t>s</w:t>
      </w:r>
      <w:r w:rsidR="08FCCFF3">
        <w:rPr/>
        <w:t xml:space="preserve"> C100</w:t>
      </w:r>
      <w:r w:rsidR="08FCCFF3">
        <w:rPr/>
        <w:t xml:space="preserve"> </w:t>
      </w:r>
      <w:r w:rsidR="08FCCFF3">
        <w:rPr/>
        <w:t>x</w:t>
      </w:r>
      <w:r w:rsidR="08FCCFF3">
        <w:rPr/>
        <w:t xml:space="preserve"> </w:t>
      </w:r>
      <w:r w:rsidR="08FCCFF3">
        <w:rPr/>
        <w:t>C170</w:t>
      </w:r>
      <w:r w:rsidR="08FCCFF3">
        <w:rPr/>
        <w:t xml:space="preserve"> x C190 </w:t>
      </w:r>
      <w:r w:rsidR="08FCCFF3">
        <w:rPr/>
        <w:t>; D1001 x D170 x D190</w:t>
      </w:r>
      <w:r w:rsidR="08FCCFF3">
        <w:rPr/>
        <w:t>, que registr</w:t>
      </w:r>
      <w:r w:rsidR="08FCCFF3">
        <w:rPr/>
        <w:t>a</w:t>
      </w:r>
      <w:r w:rsidR="08FCCFF3">
        <w:rPr/>
        <w:t>m</w:t>
      </w:r>
      <w:r w:rsidR="08FCCFF3">
        <w:rPr/>
        <w:t xml:space="preserve"> as informações gerais das notas </w:t>
      </w:r>
      <w:r w:rsidR="08FCCFF3">
        <w:rPr/>
        <w:t>fi</w:t>
      </w:r>
      <w:r w:rsidR="08FCCFF3">
        <w:rPr/>
        <w:t>scais</w:t>
      </w:r>
      <w:r w:rsidR="08FCCFF3">
        <w:rPr/>
        <w:t xml:space="preserve"> (C100) e as informações por item (C170), tais como valor do item, ICMS, base de cálculo, IPI, </w:t>
      </w:r>
      <w:proofErr w:type="spellStart"/>
      <w:r w:rsidR="08FCCFF3">
        <w:rPr/>
        <w:t>etc</w:t>
      </w:r>
      <w:proofErr w:type="spellEnd"/>
      <w:r w:rsidRPr="08FCCFF3" w:rsidR="08FCCFF3">
        <w:rPr>
          <w:i w:val="1"/>
          <w:iCs w:val="1"/>
        </w:rPr>
        <w:t xml:space="preserve"> </w:t>
      </w:r>
      <w:r w:rsidR="08FCCFF3">
        <w:rPr/>
        <w:t>. Para efetivar esta etapa, seguiu-se o seguinte algoritmo:</w:t>
      </w:r>
    </w:p>
    <w:p w:rsidR="7966B57B" w:rsidP="7966B57B" w:rsidRDefault="7966B57B" w14:noSpellErr="1" w14:paraId="1E61480D" w14:textId="79B38BCD">
      <w:pPr>
        <w:pStyle w:val="Normal"/>
      </w:pPr>
      <w:r w:rsidR="10C1588B">
        <w:rPr/>
        <w:t>Resumo por CFOP:</w:t>
      </w:r>
    </w:p>
    <w:p w:rsidR="000F3273" w:rsidP="000F3273" w:rsidRDefault="000F3273" w14:paraId="09C3D1EE" w14:textId="77777777" w14:noSpellErr="1">
      <w:pPr>
        <w:pStyle w:val="PargrafodaLista"/>
        <w:numPr>
          <w:ilvl w:val="0"/>
          <w:numId w:val="3"/>
        </w:numPr>
        <w:rPr/>
      </w:pPr>
      <w:r w:rsidR="7966B57B">
        <w:rPr/>
        <w:t>Puxar informações de cada campo BLABALBLA</w:t>
      </w:r>
    </w:p>
    <w:p w:rsidR="000F3273" w:rsidP="000F3273" w:rsidRDefault="000F3273" w14:paraId="38E8B323" w14:textId="77777777" w14:noSpellErr="1">
      <w:pPr>
        <w:pStyle w:val="PargrafodaLista"/>
        <w:numPr>
          <w:ilvl w:val="0"/>
          <w:numId w:val="3"/>
        </w:numPr>
        <w:rPr/>
      </w:pPr>
      <w:r w:rsidR="7966B57B">
        <w:rPr/>
        <w:t xml:space="preserve">Dividir relatório em entrada e saída </w:t>
      </w:r>
    </w:p>
    <w:p w:rsidR="000F3273" w:rsidP="000F3273" w:rsidRDefault="000F3273" w14:paraId="4A3ABE63" w14:textId="77777777" w14:noSpellErr="1">
      <w:pPr>
        <w:pStyle w:val="PargrafodaLista"/>
        <w:numPr>
          <w:ilvl w:val="0"/>
          <w:numId w:val="3"/>
        </w:numPr>
        <w:rPr/>
      </w:pPr>
      <w:r w:rsidR="7966B57B">
        <w:rPr/>
        <w:t xml:space="preserve">Gerar variáveis da PWC </w:t>
      </w:r>
    </w:p>
    <w:p w:rsidR="000F3273" w:rsidP="000F3273" w:rsidRDefault="000F3273" w14:paraId="09D80208" w14:textId="77777777" w14:noSpellErr="1">
      <w:pPr>
        <w:pStyle w:val="PargrafodaLista"/>
        <w:numPr>
          <w:ilvl w:val="0"/>
          <w:numId w:val="3"/>
        </w:numPr>
        <w:rPr/>
      </w:pPr>
      <w:r w:rsidR="7966B57B">
        <w:rPr/>
        <w:t>Gerar linha final com soma de valores do ICMS por entrada e saída</w:t>
      </w:r>
    </w:p>
    <w:p w:rsidR="000F3273" w:rsidP="00272E0D" w:rsidRDefault="000F3273" w14:paraId="2C6AB195" w14:textId="19951682" w14:noSpellErr="1">
      <w:r w:rsidR="7966B57B">
        <w:rPr/>
        <w:t xml:space="preserve"> A segunda etapa gera um relatório de </w:t>
      </w:r>
      <w:r w:rsidR="7966B57B">
        <w:rPr/>
        <w:t>apuração (</w:t>
      </w:r>
      <w:r w:rsidR="7966B57B">
        <w:rPr/>
        <w:t xml:space="preserve">EXPLICAR AQUI O QUE DIABO É ISSO E PRA QUE SERVE). Para efetivar esta etapa, seguiu-se o seguinte </w:t>
      </w:r>
      <w:r w:rsidR="7966B57B">
        <w:rPr/>
        <w:t>algoritmo</w:t>
      </w:r>
      <w:r w:rsidR="7966B57B">
        <w:rPr/>
        <w:t>:</w:t>
      </w:r>
    </w:p>
    <w:p w:rsidR="7966B57B" w:rsidP="7966B57B" w:rsidRDefault="7966B57B" w14:noSpellErr="1" w14:paraId="2D527082" w14:textId="7E15D157">
      <w:pPr>
        <w:pStyle w:val="Normal"/>
      </w:pPr>
      <w:r w:rsidR="10C1588B">
        <w:rPr/>
        <w:t>Apuração do ICMS:</w:t>
      </w:r>
    </w:p>
    <w:p w:rsidR="000F3273" w:rsidP="000F3273" w:rsidRDefault="000F3273" w14:paraId="21F110F4" w14:noSpellErr="1" w14:textId="6482B8DC">
      <w:pPr>
        <w:pStyle w:val="PargrafodaLista"/>
        <w:numPr>
          <w:ilvl w:val="0"/>
          <w:numId w:val="2"/>
        </w:numPr>
        <w:rPr/>
      </w:pPr>
      <w:r w:rsidR="7966B57B">
        <w:rPr/>
        <w:t>Criar tabela com todos campos de E</w:t>
      </w:r>
      <w:r w:rsidR="7966B57B">
        <w:rPr/>
        <w:t>110;</w:t>
      </w:r>
    </w:p>
    <w:p w:rsidR="000F3273" w:rsidP="000F3273" w:rsidRDefault="000F3273" w14:paraId="5531EB76" w14:noSpellErr="1" w14:textId="2CCAB795">
      <w:pPr>
        <w:pStyle w:val="PargrafodaLista"/>
        <w:numPr>
          <w:ilvl w:val="0"/>
          <w:numId w:val="2"/>
        </w:numPr>
        <w:rPr/>
      </w:pPr>
      <w:r w:rsidR="7966B57B">
        <w:rPr/>
        <w:t xml:space="preserve">Criar </w:t>
      </w:r>
      <w:r w:rsidR="7966B57B">
        <w:rPr/>
        <w:t>linha</w:t>
      </w:r>
      <w:r w:rsidR="7966B57B">
        <w:rPr/>
        <w:t xml:space="preserve"> </w:t>
      </w:r>
      <w:r w:rsidR="7966B57B">
        <w:rPr/>
        <w:t xml:space="preserve">especificando os ajustes a crédito e a débito do tributo informados nos campos 3 e 7 do </w:t>
      </w:r>
      <w:r w:rsidR="7966B57B">
        <w:rPr/>
        <w:t>registro</w:t>
      </w:r>
      <w:r w:rsidR="7966B57B">
        <w:rPr/>
        <w:t xml:space="preserve"> E110 a partir das informações do registro E111;</w:t>
      </w:r>
    </w:p>
    <w:p w:rsidR="000F3273" w:rsidP="000F3273" w:rsidRDefault="000F3273" w14:paraId="1A9C206E" w14:noSpellErr="1" w14:textId="313F3EE6">
      <w:pPr>
        <w:pStyle w:val="PargrafodaLista"/>
        <w:numPr>
          <w:ilvl w:val="0"/>
          <w:numId w:val="2"/>
        </w:numPr>
        <w:rPr/>
      </w:pPr>
      <w:r w:rsidR="7966B57B">
        <w:rPr/>
        <w:t xml:space="preserve">Gerar uma linha final de soma dos valores do </w:t>
      </w:r>
      <w:r w:rsidR="7966B57B">
        <w:rPr/>
        <w:t>a débito e a</w:t>
      </w:r>
      <w:r w:rsidR="7966B57B">
        <w:rPr/>
        <w:t xml:space="preserve"> credito</w:t>
      </w:r>
    </w:p>
    <w:p w:rsidR="000F3273" w:rsidP="000F3273" w:rsidRDefault="000F3273" w14:paraId="6DDE4D34" w14:textId="36505A5D" w14:noSpellErr="1">
      <w:pPr>
        <w:pStyle w:val="PargrafodaLista"/>
        <w:numPr>
          <w:ilvl w:val="0"/>
          <w:numId w:val="2"/>
        </w:numPr>
        <w:rPr/>
      </w:pPr>
      <w:r w:rsidR="08FCCFF3">
        <w:rPr/>
        <w:t>Adicionar linha da etapa 4 da primeira etapa</w:t>
      </w:r>
      <w:r w:rsidR="08FCCFF3">
        <w:rPr/>
        <w:t xml:space="preserve">, considerando os débitos para as saídas e créditos para as </w:t>
      </w:r>
      <w:r w:rsidR="08FCCFF3">
        <w:rPr/>
        <w:t>entradas;.</w:t>
      </w:r>
    </w:p>
    <w:p w:rsidRPr="00272E0D" w:rsidR="000F3273" w:rsidP="000F3273" w:rsidRDefault="000F3273" w14:paraId="72D826A0" w14:textId="77777777" w14:noSpellErr="1">
      <w:pPr>
        <w:pStyle w:val="PargrafodaLista"/>
        <w:numPr>
          <w:ilvl w:val="0"/>
          <w:numId w:val="2"/>
        </w:numPr>
        <w:rPr/>
      </w:pPr>
      <w:r w:rsidR="7966B57B">
        <w:rPr/>
        <w:t>Gerar linha com resultados das etapas c) e d)</w:t>
      </w:r>
    </w:p>
    <w:p w:rsidR="7966B57B" w:rsidP="7966B57B" w:rsidRDefault="7966B57B" w14:noSpellErr="1" w14:paraId="680AB047" w14:textId="4306727F">
      <w:pPr>
        <w:pStyle w:val="Normal"/>
        <w:ind w:left="0"/>
      </w:pPr>
      <w:r w:rsidR="10C1588B">
        <w:rPr/>
        <w:t>Teste de Cadastro</w:t>
      </w:r>
    </w:p>
    <w:p w:rsidR="7966B57B" w:rsidP="08FCCFF3" w:rsidRDefault="7966B57B" w14:paraId="65F20495" w14:textId="3AB4F08B">
      <w:pPr>
        <w:pStyle w:val="PargrafodaLista"/>
        <w:numPr>
          <w:ilvl w:val="0"/>
          <w:numId w:val="6"/>
        </w:numPr>
        <w:rPr>
          <w:sz w:val="24"/>
          <w:szCs w:val="24"/>
        </w:rPr>
      </w:pPr>
      <w:r w:rsidR="08FCCFF3">
        <w:rPr/>
        <w:t xml:space="preserve"> A partir dos </w:t>
      </w:r>
      <w:proofErr w:type="spellStart"/>
      <w:r w:rsidR="08FCCFF3">
        <w:rPr/>
        <w:t>CFOP´s</w:t>
      </w:r>
      <w:proofErr w:type="spellEnd"/>
      <w:r w:rsidR="08FCCFF3">
        <w:rPr/>
        <w:t xml:space="preserve"> de maior relevância e dos parâmetros já </w:t>
      </w:r>
      <w:r w:rsidR="08FCCFF3">
        <w:rPr/>
        <w:t>previamente  estabelecidos</w:t>
      </w:r>
      <w:r w:rsidR="08FCCFF3">
        <w:rPr/>
        <w:t xml:space="preserve"> para o Resumo por CFOP, gerar tabela com 16 (dezesseis) lançamentos  do registro C100, a partir das informações dos registros filhos C170, sendo 8 (oito) lançamentos de entradas e 8 (oito) de saídas.;</w:t>
      </w:r>
    </w:p>
    <w:p w:rsidR="7966B57B" w:rsidP="10C1588B" w:rsidRDefault="7966B57B" w14:paraId="6E6EE525" w14:noSpellErr="1" w14:textId="7D6E6D2F">
      <w:pPr>
        <w:pStyle w:val="PargrafodaLista"/>
        <w:numPr>
          <w:ilvl w:val="0"/>
          <w:numId w:val="6"/>
        </w:numPr>
        <w:rPr>
          <w:sz w:val="24"/>
          <w:szCs w:val="24"/>
        </w:rPr>
      </w:pPr>
      <w:r w:rsidR="10C1588B">
        <w:rPr/>
        <w:t xml:space="preserve">Os lançamentos selecionados devem obedecer uma ordem de prioridade pelo critério Alíquota ou base de </w:t>
      </w:r>
      <w:r w:rsidR="10C1588B">
        <w:rPr/>
        <w:t>cálculo irregulares.</w:t>
      </w:r>
    </w:p>
    <w:p w:rsidR="10C1588B" w:rsidP="10C1588B" w:rsidRDefault="10C1588B" w14:noSpellErr="1" w14:paraId="0D25F5F0" w14:textId="10E96E8D">
      <w:pPr>
        <w:pStyle w:val="Normal"/>
        <w:ind w:left="0"/>
      </w:pPr>
      <w:r w:rsidR="10C1588B">
        <w:rPr/>
        <w:t>Teste de CIAP</w:t>
      </w:r>
    </w:p>
    <w:p w:rsidRPr="00130095" w:rsidR="00DD6BBA" w:rsidP="00DD6BBA" w:rsidRDefault="00DD6BBA" w14:paraId="41C8F396" w14:textId="77777777"/>
    <w:p w:rsidR="00A6538E" w:rsidP="00A6538E" w:rsidRDefault="00DD6BBA" w14:paraId="37A3E25E" w14:textId="77777777" w14:noSpellErr="1">
      <w:pPr>
        <w:pStyle w:val="Ttulo2"/>
      </w:pPr>
      <w:r w:rsidR="7966B57B">
        <w:rPr/>
        <w:t>Procedimentos</w:t>
      </w:r>
    </w:p>
    <w:p w:rsidR="00A6538E" w:rsidP="00A6538E" w:rsidRDefault="00A6538E" w14:paraId="72A3D3EC" w14:textId="77777777"/>
    <w:p w:rsidRPr="007D02B9" w:rsidR="007D02B9" w:rsidP="7966B57B" w:rsidRDefault="00A6538E" w14:paraId="43EB4B88" w14:textId="77777777" w14:noSpellErr="1">
      <w:pPr>
        <w:rPr>
          <w:highlight w:val="yellow"/>
        </w:rPr>
      </w:pPr>
      <w:r w:rsidR="7966B57B">
        <w:rPr/>
        <w:t>Possivelmente o filtro de CFOP deve ser aplicado para os registros que constam como “</w:t>
      </w:r>
      <w:r w:rsidR="7966B57B">
        <w:rPr/>
        <w:t>registro analítico</w:t>
      </w:r>
      <w:r w:rsidR="7966B57B">
        <w:rPr/>
        <w:t>” no guia da RFB. A apuração do valor total dos débitos por "Saídas e prestações com débito do imposto" e créditos, gerados no bloco E110, consideram apenas esses códigos:</w:t>
      </w:r>
      <w:r w:rsidR="7966B57B">
        <w:rPr/>
        <w:t xml:space="preserve"> </w:t>
      </w:r>
      <w:r w:rsidRPr="7966B57B" w:rsidR="7966B57B">
        <w:rPr>
          <w:highlight w:val="yellow"/>
        </w:rPr>
        <w:t>C190, C320, C390, C490, C590, C690, C790, C850, C890, D190, D300, D390, D410, D590, D690, D696</w:t>
      </w:r>
    </w:p>
    <w:p w:rsidR="007D02B9" w:rsidP="7966B57B" w:rsidRDefault="007D02B9" w14:paraId="2C39A772" w14:textId="77777777" w14:noSpellErr="1">
      <w:pPr>
        <w:autoSpaceDE w:val="0"/>
        <w:autoSpaceDN w:val="0"/>
        <w:adjustRightInd w:val="0"/>
        <w:spacing w:after="0" w:line="240" w:lineRule="auto"/>
        <w:ind w:left="1440"/>
        <w:rPr>
          <w:b w:val="1"/>
          <w:bCs w:val="1"/>
        </w:rPr>
      </w:pPr>
      <w:r w:rsidRPr="7966B57B" w:rsidR="7966B57B">
        <w:rPr>
          <w:b w:val="1"/>
          <w:bCs w:val="1"/>
        </w:rPr>
        <w:t>“</w:t>
      </w:r>
      <w:r w:rsidRPr="7966B57B" w:rsidR="7966B57B">
        <w:rPr>
          <w:b w:val="1"/>
          <w:bCs w:val="1"/>
        </w:rPr>
        <w:t>Campo 02 -</w:t>
      </w:r>
      <w:r w:rsidR="7966B57B">
        <w:rPr/>
        <w:t xml:space="preserve"> Validação: o valor informado deve corresponder ao somatório de todos os documentos </w:t>
      </w:r>
      <w:r w:rsidRPr="7966B57B" w:rsidR="7966B57B">
        <w:rPr>
          <w:b w:val="1"/>
          <w:bCs w:val="1"/>
        </w:rPr>
        <w:t>fiscais de saída</w:t>
      </w:r>
      <w:r w:rsidR="7966B57B">
        <w:rPr/>
        <w:t xml:space="preserve"> que geram débito de ICMS. Deste somatório, estão excluídos os documentos extemporâneos (</w:t>
      </w:r>
      <w:r w:rsidRPr="7966B57B" w:rsidR="7966B57B">
        <w:rPr>
          <w:b w:val="1"/>
          <w:bCs w:val="1"/>
        </w:rPr>
        <w:t>COD_SIT com valor igual ‘01’</w:t>
      </w:r>
      <w:r w:rsidR="7966B57B">
        <w:rPr/>
        <w:t>), os documentos complementares extemporâneos (</w:t>
      </w:r>
      <w:r w:rsidRPr="7966B57B" w:rsidR="7966B57B">
        <w:rPr>
          <w:b w:val="1"/>
          <w:bCs w:val="1"/>
        </w:rPr>
        <w:t>COD_SIT com valor igual ‘07’</w:t>
      </w:r>
      <w:r w:rsidR="7966B57B">
        <w:rPr/>
        <w:t xml:space="preserve">) e os documentos fiscais com </w:t>
      </w:r>
      <w:r w:rsidRPr="7966B57B" w:rsidR="7966B57B">
        <w:rPr>
          <w:b w:val="1"/>
          <w:bCs w:val="1"/>
        </w:rPr>
        <w:t>CFOP 5605</w:t>
      </w:r>
      <w:r w:rsidR="7966B57B">
        <w:rPr/>
        <w:t>. Devem ser incluídos os documentos fiscais com CFOP igual a 1605. O valor neste campo deve ser igual à soma dos VL_ICMS de todos os registros C190, C320, C390, C490, C590, C690, C790, C850, C890, D190, D300, D390, D410, D590, D690, D696, com as datas dos campos DT_DOC (C300, C405, C600, D300, D355, D400, D600) ou DT_E_S (C100, C500) ou DT_DOC_FIN (C700, D695) ou DT_A_P (D100, D500) dentro do período informado no registro E100.</w:t>
      </w:r>
      <w:r w:rsidRPr="7966B57B" w:rsidR="7966B57B">
        <w:rPr>
          <w:b w:val="1"/>
          <w:bCs w:val="1"/>
        </w:rPr>
        <w:t>”</w:t>
      </w:r>
      <w:r w:rsidRPr="7966B57B" w:rsidR="7966B57B">
        <w:rPr>
          <w:b w:val="1"/>
          <w:bCs w:val="1"/>
        </w:rPr>
        <w:t xml:space="preserve"> </w:t>
      </w:r>
    </w:p>
    <w:p w:rsidR="007D02B9" w:rsidP="007D02B9" w:rsidRDefault="007D02B9" w14:paraId="0D0B940D" w14:textId="77777777">
      <w:pPr>
        <w:autoSpaceDE w:val="0"/>
        <w:autoSpaceDN w:val="0"/>
        <w:adjustRightInd w:val="0"/>
        <w:spacing w:after="0" w:line="240" w:lineRule="auto"/>
      </w:pPr>
    </w:p>
    <w:p w:rsidR="007D02B9" w:rsidP="007D02B9" w:rsidRDefault="007D02B9" w14:paraId="3755D921" w14:textId="77777777" w14:noSpellErr="1">
      <w:pPr>
        <w:autoSpaceDE w:val="0"/>
        <w:autoSpaceDN w:val="0"/>
        <w:adjustRightInd w:val="0"/>
        <w:spacing w:after="0" w:line="240" w:lineRule="auto"/>
      </w:pPr>
      <w:r w:rsidR="7966B57B">
        <w:rPr/>
        <w:t>Assim, o trecho acima explicita a execução de três passos:</w:t>
      </w:r>
    </w:p>
    <w:p w:rsidR="007D02B9" w:rsidP="007D02B9" w:rsidRDefault="007D02B9" w14:paraId="0E27B00A" w14:textId="77777777">
      <w:pPr>
        <w:autoSpaceDE w:val="0"/>
        <w:autoSpaceDN w:val="0"/>
        <w:adjustRightInd w:val="0"/>
        <w:spacing w:after="0" w:line="240" w:lineRule="auto"/>
      </w:pPr>
    </w:p>
    <w:p w:rsidR="007D02B9" w:rsidP="007D02B9" w:rsidRDefault="007D02B9" w14:paraId="030300E1" w14:textId="77777777" w14:noSpellErr="1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/>
      </w:pPr>
      <w:r w:rsidR="7966B57B">
        <w:rPr/>
        <w:t>Seleção de notas que contem IND_OPER (indicador de operação) igual a 1 (Prestação)</w:t>
      </w:r>
    </w:p>
    <w:p w:rsidR="007D02B9" w:rsidP="007D02B9" w:rsidRDefault="007D02B9" w14:paraId="21C8525D" w14:textId="77777777" w14:noSpellErr="1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/>
      </w:pPr>
      <w:r w:rsidR="7966B57B">
        <w:rPr/>
        <w:t>Filtro de notas com COD_SIT diferentes de 01 e 07</w:t>
      </w:r>
    </w:p>
    <w:p w:rsidR="007D02B9" w:rsidP="007D02B9" w:rsidRDefault="007D02B9" w14:paraId="5C9289B2" w14:textId="77777777" w14:noSpellErr="1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/>
      </w:pPr>
      <w:r w:rsidR="7966B57B">
        <w:rPr/>
        <w:t>CFOP diferente de 5605</w:t>
      </w:r>
    </w:p>
    <w:p w:rsidR="00B4514E" w:rsidP="00B4514E" w:rsidRDefault="00B4514E" w14:paraId="60061E4C" w14:textId="77777777">
      <w:pPr>
        <w:autoSpaceDE w:val="0"/>
        <w:autoSpaceDN w:val="0"/>
        <w:adjustRightInd w:val="0"/>
        <w:spacing w:after="0" w:line="240" w:lineRule="auto"/>
      </w:pPr>
    </w:p>
    <w:p w:rsidRPr="007D02B9" w:rsidR="00B4514E" w:rsidP="00B4514E" w:rsidRDefault="004E21B6" w14:paraId="65552294" w14:textId="77777777" w14:noSpellErr="1">
      <w:pPr>
        <w:autoSpaceDE w:val="0"/>
        <w:autoSpaceDN w:val="0"/>
        <w:adjustRightInd w:val="0"/>
        <w:spacing w:after="0" w:line="240" w:lineRule="auto"/>
      </w:pPr>
      <w:r w:rsidR="08FCCFF3">
        <w:rPr/>
        <w:t xml:space="preserve">A estrutura da EFD impossibilita um filtro direto das linhas para essas regras, assim, é necessário que se replique os códigos IND_OPER e COD_SIT que constam no registro D100 e C100 em cada registro filho. Esta etapa será feita criando uma chave única para cada D100 e C100 e </w:t>
      </w:r>
      <w:r w:rsidR="08FCCFF3">
        <w:rPr/>
        <w:t>replicando essa chave até que se enc</w:t>
      </w:r>
      <w:r w:rsidR="08FCCFF3">
        <w:rPr/>
        <w:t>ontre outro D100 ou C100. Após isso, poderá ser combinado o banco de dados com ele mesmo usando a chave. O resultado será a geração de novas colunas nos registros filhos com os valores contido no registro principal.</w:t>
      </w:r>
      <w:bookmarkStart w:name="_GoBack" w:id="0"/>
      <w:bookmarkEnd w:id="0"/>
    </w:p>
    <w:p w:rsidRPr="00A6538E" w:rsidR="00A6538E" w:rsidP="00A6538E" w:rsidRDefault="00A6538E" w14:paraId="44EAFD9C" w14:textId="77777777"/>
    <w:p w:rsidRPr="00130095" w:rsidR="00DD6BBA" w:rsidP="00DD6BBA" w:rsidRDefault="00DD6BBA" w14:paraId="4B94D5A5" w14:textId="77777777"/>
    <w:p w:rsidRPr="00130095" w:rsidR="00D978B9" w:rsidP="000870B1" w:rsidRDefault="00D978B9" w14:paraId="24AC79A7" w14:textId="77777777" w14:noSpellErr="1">
      <w:pPr>
        <w:pStyle w:val="Ttulo1"/>
      </w:pPr>
      <w:r w:rsidR="08FCCFF3">
        <w:rPr/>
        <w:t>Resultados</w:t>
      </w:r>
    </w:p>
    <w:p w:rsidRPr="00130095" w:rsidR="000870B1" w:rsidP="00D978B9" w:rsidRDefault="000870B1" w14:paraId="3DEEC669" w14:textId="77777777"/>
    <w:p w:rsidRPr="00130095" w:rsidR="00D978B9" w:rsidP="000870B1" w:rsidRDefault="00D978B9" w14:paraId="1157C89D" w14:textId="77777777" w14:noSpellErr="1">
      <w:pPr>
        <w:pStyle w:val="Ttulo1"/>
      </w:pPr>
      <w:r w:rsidR="08FCCFF3">
        <w:rPr/>
        <w:t>Conclusão</w:t>
      </w:r>
    </w:p>
    <w:p w:rsidRPr="00130095" w:rsidR="000870B1" w:rsidP="00D978B9" w:rsidRDefault="000870B1" w14:paraId="3656B9AB" w14:textId="77777777"/>
    <w:p w:rsidR="00D978B9" w:rsidP="000870B1" w:rsidRDefault="00D978B9" w14:paraId="1A8A572A" w14:textId="77777777" w14:noSpellErr="1">
      <w:pPr>
        <w:pStyle w:val="Ttulo1"/>
      </w:pPr>
      <w:r w:rsidR="08FCCFF3">
        <w:rPr/>
        <w:t>Referências</w:t>
      </w:r>
    </w:p>
    <w:p w:rsidR="000870B1" w:rsidP="00D978B9" w:rsidRDefault="000870B1" w14:paraId="45FB0818" w14:textId="77777777"/>
    <w:p w:rsidR="00D978B9" w:rsidP="000870B1" w:rsidRDefault="00D978B9" w14:paraId="06E8C83F" w14:textId="77777777" w14:noSpellErr="1">
      <w:pPr>
        <w:pStyle w:val="Ttulo1"/>
      </w:pPr>
      <w:r w:rsidR="08FCCFF3">
        <w:rPr/>
        <w:t>Apêndice 1</w:t>
      </w:r>
    </w:p>
    <w:p w:rsidR="00D978B9" w:rsidRDefault="00D978B9" w14:paraId="049F31CB" w14:textId="77777777"/>
    <w:sectPr w:rsidR="00D978B9" w:rsidSect="009560E2">
      <w:headerReference w:type="default" r:id="rId9"/>
      <w:footerReference w:type="default" r:id="rId10"/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1F1F" w:rsidP="00484033" w:rsidRDefault="00281F1F" w14:paraId="53128261" w14:textId="77777777">
      <w:pPr>
        <w:spacing w:after="0" w:line="240" w:lineRule="auto"/>
      </w:pPr>
      <w:r>
        <w:separator/>
      </w:r>
    </w:p>
  </w:endnote>
  <w:endnote w:type="continuationSeparator" w:id="0">
    <w:p w:rsidR="00281F1F" w:rsidP="00484033" w:rsidRDefault="00281F1F" w14:paraId="62486C0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5794929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00ED0" w:rsidRDefault="00900ED0" w14:paraId="3D3D22A9" w14:textId="77777777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8251B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900ED0" w:rsidRDefault="00900ED0" w14:paraId="1299C43A" w14:textId="7777777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1F1F" w:rsidP="00484033" w:rsidRDefault="00281F1F" w14:paraId="4101652C" w14:textId="77777777">
      <w:pPr>
        <w:spacing w:after="0" w:line="240" w:lineRule="auto"/>
      </w:pPr>
      <w:r>
        <w:separator/>
      </w:r>
    </w:p>
  </w:footnote>
  <w:footnote w:type="continuationSeparator" w:id="0">
    <w:p w:rsidR="00281F1F" w:rsidP="00484033" w:rsidRDefault="00281F1F" w14:paraId="4B99056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Pr="00484033" w:rsidR="00484033" w:rsidP="7966B57B" w:rsidRDefault="00EA3272" w14:paraId="625ABBE7" w14:textId="1F9DBC28" w14:noSpellErr="1">
    <w:pPr>
      <w:pStyle w:val="Cabealho"/>
      <w:jc w:val="right"/>
      <w:rPr>
        <w:i w:val="1"/>
        <w:iCs w:val="1"/>
      </w:rPr>
    </w:pPr>
    <w:r w:rsidRPr="7966B57B" w:rsidR="7966B57B">
      <w:rPr>
        <w:i w:val="1"/>
        <w:iCs w:val="1"/>
      </w:rPr>
      <w:t>Programa piloto</w:t>
    </w:r>
    <w:r w:rsidRPr="7966B57B" w:rsidR="7966B57B">
      <w:rPr>
        <w:i w:val="1"/>
        <w:iCs w:val="1"/>
      </w:rPr>
      <w:t>: Validação</w:t>
    </w:r>
    <w:r w:rsidRPr="7966B57B" w:rsidR="7966B57B">
      <w:rPr>
        <w:i w:val="1"/>
        <w:iCs w:val="1"/>
      </w:rPr>
      <w:t xml:space="preserve"> EFD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A4B230C"/>
    <w:multiLevelType w:val="hybridMultilevel"/>
    <w:tmpl w:val="6B1213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5B31FB"/>
    <w:multiLevelType w:val="hybridMultilevel"/>
    <w:tmpl w:val="4844B9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DB5378"/>
    <w:multiLevelType w:val="hybridMultilevel"/>
    <w:tmpl w:val="C2A015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5F5E9A"/>
    <w:multiLevelType w:val="hybridMultilevel"/>
    <w:tmpl w:val="0194CFC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E233B6"/>
    <w:multiLevelType w:val="hybridMultilevel"/>
    <w:tmpl w:val="2D44D6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5"/>
  </w: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ttachedTemplate r:id="rId1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272"/>
    <w:rsid w:val="000325A2"/>
    <w:rsid w:val="000501F0"/>
    <w:rsid w:val="000619C7"/>
    <w:rsid w:val="0008534A"/>
    <w:rsid w:val="000870B1"/>
    <w:rsid w:val="000F3273"/>
    <w:rsid w:val="00124978"/>
    <w:rsid w:val="00130095"/>
    <w:rsid w:val="00145630"/>
    <w:rsid w:val="001C675C"/>
    <w:rsid w:val="00205713"/>
    <w:rsid w:val="00272E0D"/>
    <w:rsid w:val="00281F1F"/>
    <w:rsid w:val="00313C9C"/>
    <w:rsid w:val="003B4140"/>
    <w:rsid w:val="00472E12"/>
    <w:rsid w:val="0048251B"/>
    <w:rsid w:val="00484033"/>
    <w:rsid w:val="004A57A8"/>
    <w:rsid w:val="004E03AD"/>
    <w:rsid w:val="004E21B6"/>
    <w:rsid w:val="00547C2A"/>
    <w:rsid w:val="005A43A5"/>
    <w:rsid w:val="00713DA9"/>
    <w:rsid w:val="00762410"/>
    <w:rsid w:val="007675A8"/>
    <w:rsid w:val="00781F41"/>
    <w:rsid w:val="007B2688"/>
    <w:rsid w:val="007D02B9"/>
    <w:rsid w:val="0081124C"/>
    <w:rsid w:val="00856C83"/>
    <w:rsid w:val="00881EF2"/>
    <w:rsid w:val="008B7C99"/>
    <w:rsid w:val="00900ED0"/>
    <w:rsid w:val="00941FE1"/>
    <w:rsid w:val="009560E2"/>
    <w:rsid w:val="009F5223"/>
    <w:rsid w:val="00A05087"/>
    <w:rsid w:val="00A6538E"/>
    <w:rsid w:val="00AD00F1"/>
    <w:rsid w:val="00B4514E"/>
    <w:rsid w:val="00B8457C"/>
    <w:rsid w:val="00B92B80"/>
    <w:rsid w:val="00C30075"/>
    <w:rsid w:val="00CA3449"/>
    <w:rsid w:val="00CF2E9D"/>
    <w:rsid w:val="00D62AA1"/>
    <w:rsid w:val="00D92149"/>
    <w:rsid w:val="00D978B9"/>
    <w:rsid w:val="00DC0C80"/>
    <w:rsid w:val="00DC6E78"/>
    <w:rsid w:val="00DD6BBA"/>
    <w:rsid w:val="00DE7E80"/>
    <w:rsid w:val="00E37E0A"/>
    <w:rsid w:val="00E602DD"/>
    <w:rsid w:val="00EA3272"/>
    <w:rsid w:val="00EB515B"/>
    <w:rsid w:val="00ED151B"/>
    <w:rsid w:val="00F01BF8"/>
    <w:rsid w:val="00F36EEC"/>
    <w:rsid w:val="00F923AB"/>
    <w:rsid w:val="0565A87A"/>
    <w:rsid w:val="08FCCFF3"/>
    <w:rsid w:val="10C1588B"/>
    <w:rsid w:val="314ACDE4"/>
    <w:rsid w:val="60AAEACE"/>
    <w:rsid w:val="7966B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DA93784"/>
  <w15:docId w15:val="{B63AEF77-982A-4706-AF6C-60E6EE6EA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56C83"/>
    <w:pPr>
      <w:jc w:val="both"/>
    </w:pPr>
    <w:rPr>
      <w:rFonts w:ascii="Garamond" w:hAnsi="Garamond"/>
      <w:sz w:val="24"/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856C83"/>
    <w:pPr>
      <w:keepNext/>
      <w:keepLines/>
      <w:spacing w:before="480" w:after="0"/>
      <w:jc w:val="center"/>
      <w:outlineLvl w:val="0"/>
    </w:pPr>
    <w:rPr>
      <w:rFonts w:eastAsiaTheme="majorEastAsia" w:cstheme="majorBidi"/>
      <w:bCs/>
      <w:color w:val="000000" w:themeColor="text1"/>
      <w:sz w:val="4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56C83"/>
    <w:pPr>
      <w:keepNext/>
      <w:keepLines/>
      <w:spacing w:before="200" w:after="0"/>
      <w:outlineLvl w:val="1"/>
    </w:pPr>
    <w:rPr>
      <w:rFonts w:eastAsiaTheme="majorEastAsia" w:cstheme="majorBidi"/>
      <w:bCs/>
      <w:color w:val="000000" w:themeColor="text1"/>
      <w:sz w:val="36"/>
      <w:szCs w:val="26"/>
    </w:rPr>
  </w:style>
  <w:style w:type="paragraph" w:styleId="Ttulo3">
    <w:name w:val="heading 3"/>
    <w:basedOn w:val="Ttulo1"/>
    <w:next w:val="Normal"/>
    <w:link w:val="Ttulo3Char"/>
    <w:uiPriority w:val="9"/>
    <w:unhideWhenUsed/>
    <w:qFormat/>
    <w:rsid w:val="00856C83"/>
    <w:pPr>
      <w:jc w:val="both"/>
      <w:outlineLvl w:val="2"/>
    </w:pPr>
    <w:rPr>
      <w:i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56C83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000000" w:themeColor="text1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856C83"/>
    <w:pPr>
      <w:spacing w:after="300" w:line="240" w:lineRule="auto"/>
      <w:contextualSpacing/>
      <w:jc w:val="center"/>
    </w:pPr>
    <w:rPr>
      <w:rFonts w:eastAsiaTheme="majorEastAsia" w:cstheme="majorBidi"/>
      <w:color w:val="000000" w:themeColor="text1"/>
      <w:spacing w:val="5"/>
      <w:kern w:val="28"/>
      <w:sz w:val="52"/>
      <w:szCs w:val="52"/>
    </w:rPr>
  </w:style>
  <w:style w:type="character" w:styleId="TtuloChar" w:customStyle="1">
    <w:name w:val="Título Char"/>
    <w:basedOn w:val="Fontepargpadro"/>
    <w:link w:val="Ttulo"/>
    <w:uiPriority w:val="10"/>
    <w:rsid w:val="00856C83"/>
    <w:rPr>
      <w:rFonts w:ascii="Garamond" w:hAnsi="Garamond" w:eastAsiaTheme="majorEastAsia" w:cstheme="majorBidi"/>
      <w:color w:val="000000" w:themeColor="text1"/>
      <w:spacing w:val="5"/>
      <w:kern w:val="28"/>
      <w:sz w:val="52"/>
      <w:szCs w:val="52"/>
    </w:rPr>
  </w:style>
  <w:style w:type="paragraph" w:styleId="Subttulo">
    <w:name w:val="Subtitle"/>
    <w:basedOn w:val="Ttulo"/>
    <w:next w:val="Normal"/>
    <w:link w:val="SubttuloChar"/>
    <w:uiPriority w:val="11"/>
    <w:qFormat/>
    <w:rsid w:val="00856C83"/>
    <w:pPr>
      <w:numPr>
        <w:ilvl w:val="1"/>
      </w:numPr>
    </w:pPr>
    <w:rPr>
      <w:i/>
      <w:iCs/>
      <w:color w:val="auto"/>
      <w:spacing w:val="15"/>
      <w:sz w:val="36"/>
      <w:szCs w:val="24"/>
    </w:rPr>
  </w:style>
  <w:style w:type="character" w:styleId="SubttuloChar" w:customStyle="1">
    <w:name w:val="Subtítulo Char"/>
    <w:basedOn w:val="Fontepargpadro"/>
    <w:link w:val="Subttulo"/>
    <w:uiPriority w:val="11"/>
    <w:rsid w:val="00856C83"/>
    <w:rPr>
      <w:rFonts w:ascii="Garamond" w:hAnsi="Garamond" w:eastAsiaTheme="majorEastAsia" w:cstheme="majorBidi"/>
      <w:i/>
      <w:iCs/>
      <w:spacing w:val="15"/>
      <w:kern w:val="28"/>
      <w:sz w:val="36"/>
      <w:szCs w:val="24"/>
    </w:rPr>
  </w:style>
  <w:style w:type="character" w:styleId="nfaseSutil">
    <w:name w:val="Subtle Emphasis"/>
    <w:basedOn w:val="Fontepargpadro"/>
    <w:uiPriority w:val="19"/>
    <w:qFormat/>
    <w:rsid w:val="00D978B9"/>
    <w:rPr>
      <w:i/>
      <w:iCs/>
      <w:color w:val="808080" w:themeColor="text1" w:themeTint="7F"/>
    </w:rPr>
  </w:style>
  <w:style w:type="character" w:styleId="Ttulo1Char" w:customStyle="1">
    <w:name w:val="Título 1 Char"/>
    <w:basedOn w:val="Fontepargpadro"/>
    <w:link w:val="Ttulo1"/>
    <w:uiPriority w:val="9"/>
    <w:rsid w:val="00856C83"/>
    <w:rPr>
      <w:rFonts w:ascii="Garamond" w:hAnsi="Garamond" w:eastAsiaTheme="majorEastAsia" w:cstheme="majorBidi"/>
      <w:bCs/>
      <w:color w:val="000000" w:themeColor="text1"/>
      <w:sz w:val="48"/>
      <w:szCs w:val="28"/>
    </w:rPr>
  </w:style>
  <w:style w:type="character" w:styleId="Ttulo2Char" w:customStyle="1">
    <w:name w:val="Título 2 Char"/>
    <w:basedOn w:val="Fontepargpadro"/>
    <w:link w:val="Ttulo2"/>
    <w:uiPriority w:val="9"/>
    <w:rsid w:val="00856C83"/>
    <w:rPr>
      <w:rFonts w:ascii="Garamond" w:hAnsi="Garamond" w:eastAsiaTheme="majorEastAsia" w:cstheme="majorBidi"/>
      <w:bCs/>
      <w:color w:val="000000" w:themeColor="text1"/>
      <w:sz w:val="36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484033"/>
    <w:pPr>
      <w:tabs>
        <w:tab w:val="center" w:pos="4419"/>
        <w:tab w:val="right" w:pos="8838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484033"/>
  </w:style>
  <w:style w:type="paragraph" w:styleId="Rodap">
    <w:name w:val="footer"/>
    <w:basedOn w:val="Normal"/>
    <w:link w:val="RodapChar"/>
    <w:uiPriority w:val="99"/>
    <w:unhideWhenUsed/>
    <w:rsid w:val="00484033"/>
    <w:pPr>
      <w:tabs>
        <w:tab w:val="center" w:pos="4419"/>
        <w:tab w:val="right" w:pos="8838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484033"/>
  </w:style>
  <w:style w:type="paragraph" w:styleId="Textodebalo">
    <w:name w:val="Balloon Text"/>
    <w:basedOn w:val="Normal"/>
    <w:link w:val="TextodebaloChar"/>
    <w:uiPriority w:val="99"/>
    <w:semiHidden/>
    <w:unhideWhenUsed/>
    <w:rsid w:val="004840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484033"/>
    <w:rPr>
      <w:rFonts w:ascii="Tahoma" w:hAnsi="Tahoma" w:cs="Tahoma"/>
      <w:sz w:val="16"/>
      <w:szCs w:val="16"/>
    </w:rPr>
  </w:style>
  <w:style w:type="character" w:styleId="Ttulo3Char" w:customStyle="1">
    <w:name w:val="Título 3 Char"/>
    <w:basedOn w:val="Fontepargpadro"/>
    <w:link w:val="Ttulo3"/>
    <w:uiPriority w:val="9"/>
    <w:rsid w:val="00856C83"/>
    <w:rPr>
      <w:rFonts w:ascii="Garamond" w:hAnsi="Garamond" w:eastAsiaTheme="majorEastAsia" w:cstheme="majorBidi"/>
      <w:b/>
      <w:bCs/>
      <w:i/>
      <w:color w:val="000000" w:themeColor="text1"/>
      <w:sz w:val="28"/>
      <w:szCs w:val="28"/>
      <w:lang w:val="pt-BR"/>
    </w:rPr>
  </w:style>
  <w:style w:type="character" w:styleId="Ttulo4Char" w:customStyle="1">
    <w:name w:val="Título 4 Char"/>
    <w:basedOn w:val="Fontepargpadro"/>
    <w:link w:val="Ttulo4"/>
    <w:uiPriority w:val="9"/>
    <w:semiHidden/>
    <w:rsid w:val="00856C83"/>
    <w:rPr>
      <w:rFonts w:ascii="Garamond" w:hAnsi="Garamond" w:eastAsiaTheme="majorEastAsia" w:cstheme="majorBidi"/>
      <w:i/>
      <w:iCs/>
      <w:color w:val="000000" w:themeColor="text1"/>
      <w:sz w:val="24"/>
    </w:rPr>
  </w:style>
  <w:style w:type="character" w:styleId="nfase">
    <w:name w:val="Emphasis"/>
    <w:basedOn w:val="Fontepargpadro"/>
    <w:uiPriority w:val="20"/>
    <w:qFormat/>
    <w:rsid w:val="00856C83"/>
    <w:rPr>
      <w:i/>
      <w:iCs/>
    </w:rPr>
  </w:style>
  <w:style w:type="character" w:styleId="Hyperlink">
    <w:name w:val="Hyperlink"/>
    <w:basedOn w:val="Fontepargpadro"/>
    <w:uiPriority w:val="99"/>
    <w:unhideWhenUsed/>
    <w:rsid w:val="00EA3272"/>
    <w:rPr>
      <w:color w:val="0000FF" w:themeColor="hyperlink"/>
      <w:u w:val="single"/>
    </w:rPr>
  </w:style>
  <w:style w:type="character" w:styleId="UnresolvedMention" w:customStyle="1">
    <w:name w:val="Unresolved Mention"/>
    <w:basedOn w:val="Fontepargpadro"/>
    <w:uiPriority w:val="99"/>
    <w:semiHidden/>
    <w:unhideWhenUsed/>
    <w:rsid w:val="00EA3272"/>
    <w:rPr>
      <w:color w:val="808080"/>
      <w:shd w:val="clear" w:color="auto" w:fill="E6E6E6"/>
    </w:rPr>
  </w:style>
  <w:style w:type="paragraph" w:styleId="PargrafodaLista">
    <w:name w:val="List Paragraph"/>
    <w:basedOn w:val="Normal"/>
    <w:uiPriority w:val="34"/>
    <w:qFormat/>
    <w:rsid w:val="000F3273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762410"/>
    <w:rPr>
      <w:color w:val="808080"/>
    </w:rPr>
  </w:style>
  <w:style w:type="table" w:styleId="Tabelacomgrade">
    <w:name w:val="Table Grid"/>
    <w:basedOn w:val="Tabelanormal"/>
    <w:uiPriority w:val="59"/>
    <w:rsid w:val="0076241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glossaryDocument" Target="glossary/document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hyperlink" Target="mailto:tamarvaz.m@gmail.com" TargetMode="External" Id="R45b603be350247ff" /><Relationship Type="http://schemas.openxmlformats.org/officeDocument/2006/relationships/hyperlink" Target="mailto:moraes.natalia@pwc.com" TargetMode="External" Id="R9ec8a48ec9844cb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s\Modelo%20Artigo%20Word%20Portugues%20Garamond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21A91"/>
    <w:rsid w:val="00A21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21A9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925DEEB-5615-4BEA-8231-9E3CDEF27A24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Modelo Artigo Word Portugues Garamond</ap:Template>
  <ap:Application>Microsoft Office Word</ap:Application>
  <ap:DocSecurity>0</ap:DocSecurity>
  <ap:ScaleCrop>false</ap:ScaleCrop>
  <ap:Company>Hewlett-Packard Company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tamara vaz</dc:creator>
  <lastModifiedBy>Natália vaz</lastModifiedBy>
  <revision>26</revision>
  <dcterms:created xsi:type="dcterms:W3CDTF">2018-04-04T04:36:00.0000000Z</dcterms:created>
  <dcterms:modified xsi:type="dcterms:W3CDTF">2018-04-12T14:07:59.8557542Z</dcterms:modified>
</coreProperties>
</file>