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3E2D3" w14:textId="77777777" w:rsidR="00CB47C2" w:rsidRPr="00CB47C2" w:rsidRDefault="00CB47C2" w:rsidP="00CB47C2">
      <w:pPr>
        <w:shd w:val="clear" w:color="auto" w:fill="FFFFFF"/>
        <w:spacing w:before="0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b/>
          <w:bCs/>
          <w:color w:val="1D2125"/>
          <w:sz w:val="22"/>
          <w:szCs w:val="22"/>
          <w:lang w:eastAsia="de-DE"/>
        </w:rPr>
        <w:t>Architecture Communication Canvas (20 Punkte):</w:t>
      </w:r>
    </w:p>
    <w:p w14:paraId="71518B85" w14:textId="77777777" w:rsidR="00CB47C2" w:rsidRPr="00CB47C2" w:rsidRDefault="00CB47C2" w:rsidP="00CB47C2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Vollständigkeit des Canvas (2)</w:t>
      </w:r>
    </w:p>
    <w:p w14:paraId="60626979" w14:textId="77777777" w:rsidR="00CB47C2" w:rsidRPr="00CB47C2" w:rsidRDefault="00CB47C2" w:rsidP="00CB47C2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Alle Inhalte vorhanden</w:t>
      </w:r>
    </w:p>
    <w:p w14:paraId="3A75200C" w14:textId="77777777" w:rsidR="00CB47C2" w:rsidRPr="00CB47C2" w:rsidRDefault="00CB47C2" w:rsidP="00CB47C2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Alle Inhalte verständlich</w:t>
      </w:r>
    </w:p>
    <w:p w14:paraId="3A5B4513" w14:textId="77777777" w:rsidR="00CB47C2" w:rsidRPr="00CB47C2" w:rsidRDefault="00CB47C2" w:rsidP="00CB47C2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Darstellung des Canvas (2)</w:t>
      </w:r>
    </w:p>
    <w:p w14:paraId="5A75C623" w14:textId="77777777" w:rsidR="00CB47C2" w:rsidRPr="00CB47C2" w:rsidRDefault="00CB47C2" w:rsidP="00CB47C2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Format des Canvas angemessen</w:t>
      </w:r>
    </w:p>
    <w:p w14:paraId="733F1D8E" w14:textId="77777777" w:rsidR="00CB47C2" w:rsidRPr="00CB47C2" w:rsidRDefault="00CB47C2" w:rsidP="00CB47C2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Alle Inhalte sichtbar</w:t>
      </w:r>
    </w:p>
    <w:p w14:paraId="575DBF8E" w14:textId="77777777" w:rsidR="00CB47C2" w:rsidRPr="00CB47C2" w:rsidRDefault="00CB47C2" w:rsidP="00CB47C2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Abgrenzung des Werteversprechens und der Kernfunktionalität (6)</w:t>
      </w:r>
    </w:p>
    <w:p w14:paraId="428A84E0" w14:textId="77777777" w:rsidR="00CB47C2" w:rsidRPr="00CB47C2" w:rsidRDefault="00CB47C2" w:rsidP="00CB47C2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Werteversprechen angemessen</w:t>
      </w:r>
    </w:p>
    <w:p w14:paraId="57185A7E" w14:textId="77777777" w:rsidR="00CB47C2" w:rsidRPr="00CB47C2" w:rsidRDefault="00CB47C2" w:rsidP="00CB47C2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Alle Kernfunktionalitäten vorhanden (5)</w:t>
      </w:r>
    </w:p>
    <w:p w14:paraId="5C547ACC" w14:textId="77777777" w:rsidR="00CB47C2" w:rsidRPr="00CB47C2" w:rsidRDefault="00CB47C2" w:rsidP="00CB47C2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Auflistung der Komponenten und Technologien (3)</w:t>
      </w:r>
    </w:p>
    <w:p w14:paraId="2FF7DAF2" w14:textId="77777777" w:rsidR="00CB47C2" w:rsidRPr="00CB47C2" w:rsidRDefault="00CB47C2" w:rsidP="00CB47C2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Separierung in Komponenten sinnvoll</w:t>
      </w:r>
    </w:p>
    <w:p w14:paraId="529752E6" w14:textId="77777777" w:rsidR="00CB47C2" w:rsidRPr="00CB47C2" w:rsidRDefault="00CB47C2" w:rsidP="00CB47C2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Beschreibung der Komponenten angemessen</w:t>
      </w:r>
    </w:p>
    <w:p w14:paraId="12542B5B" w14:textId="77777777" w:rsidR="00CB47C2" w:rsidRPr="00CB47C2" w:rsidRDefault="00CB47C2" w:rsidP="00CB47C2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Einsatz von Technologien für die jeweiligen Komponenten sinnvoll</w:t>
      </w:r>
    </w:p>
    <w:p w14:paraId="421007D1" w14:textId="77777777" w:rsidR="00CB47C2" w:rsidRPr="00CB47C2" w:rsidRDefault="00CB47C2" w:rsidP="00CB47C2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Auflistung von Stakeholdern und Abgrenzung des Businesskontexts (4)</w:t>
      </w:r>
    </w:p>
    <w:p w14:paraId="7C08BAE2" w14:textId="77777777" w:rsidR="00CB47C2" w:rsidRPr="00CB47C2" w:rsidRDefault="00CB47C2" w:rsidP="00CB47C2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Analyse von Stakeholdern sinnvoll</w:t>
      </w:r>
    </w:p>
    <w:p w14:paraId="75F667C2" w14:textId="77777777" w:rsidR="00CB47C2" w:rsidRPr="00CB47C2" w:rsidRDefault="00CB47C2" w:rsidP="00CB47C2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Zuordnung von Rollen zu Stakeholdern sinnvoll</w:t>
      </w:r>
    </w:p>
    <w:p w14:paraId="08F780D4" w14:textId="77777777" w:rsidR="00CB47C2" w:rsidRPr="00CB47C2" w:rsidRDefault="00CB47C2" w:rsidP="00CB47C2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Beschreibung des Businesskontexts angemessen (2)</w:t>
      </w:r>
    </w:p>
    <w:p w14:paraId="1A160887" w14:textId="77777777" w:rsidR="00CB47C2" w:rsidRPr="00CB47C2" w:rsidRDefault="00CB47C2" w:rsidP="00CB47C2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Erstellung eines Risikomanagements und Ableitung von Entscheidungen (3)</w:t>
      </w:r>
    </w:p>
    <w:p w14:paraId="5A51EFC5" w14:textId="77777777" w:rsidR="00CB47C2" w:rsidRPr="00CB47C2" w:rsidRDefault="00CB47C2" w:rsidP="00CB47C2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Analyse von Risiken inkl. Eintrittswahrscheinlichkeit und Schadenspotential sinnvoll (2)</w:t>
      </w:r>
    </w:p>
    <w:p w14:paraId="14683269" w14:textId="77777777" w:rsidR="00CB47C2" w:rsidRPr="00CB47C2" w:rsidRDefault="00CB47C2" w:rsidP="00CB47C2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Auswahl von Entscheidungen/Maßnahmen angemessen</w:t>
      </w:r>
    </w:p>
    <w:p w14:paraId="7C629173" w14:textId="77777777" w:rsidR="00CB47C2" w:rsidRPr="00CB47C2" w:rsidRDefault="00CB47C2" w:rsidP="00CB47C2">
      <w:pPr>
        <w:shd w:val="clear" w:color="auto" w:fill="FFFFFF"/>
        <w:spacing w:before="0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b/>
          <w:bCs/>
          <w:color w:val="1D2125"/>
          <w:sz w:val="22"/>
          <w:szCs w:val="22"/>
          <w:lang w:eastAsia="de-DE"/>
        </w:rPr>
        <w:t>Produkt (80 Punkte):</w:t>
      </w:r>
    </w:p>
    <w:p w14:paraId="6C72E887" w14:textId="77777777" w:rsidR="00CB47C2" w:rsidRPr="00CB47C2" w:rsidRDefault="00CB47C2" w:rsidP="00CB47C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Funktionale Eignung - Angemessenheit der Datenhaltung (10)</w:t>
      </w:r>
    </w:p>
    <w:p w14:paraId="0F4F77B6" w14:textId="77777777" w:rsidR="00CB47C2" w:rsidRPr="00CB47C2" w:rsidRDefault="00CB47C2" w:rsidP="00CB47C2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Datenstrukturen/-schemata sinnvoll</w:t>
      </w:r>
    </w:p>
    <w:p w14:paraId="76B02D8C" w14:textId="77777777" w:rsidR="00CB47C2" w:rsidRPr="00CB47C2" w:rsidRDefault="00CB47C2" w:rsidP="00CB47C2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Datenbanktechnologie sinnvoll</w:t>
      </w:r>
    </w:p>
    <w:p w14:paraId="5FD0490C" w14:textId="77777777" w:rsidR="00CB47C2" w:rsidRPr="00CB47C2" w:rsidRDefault="00CB47C2" w:rsidP="00CB47C2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 xml:space="preserve">Einsatz von </w:t>
      </w:r>
      <w:proofErr w:type="spellStart"/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Cachingmechanismen</w:t>
      </w:r>
      <w:proofErr w:type="spellEnd"/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 xml:space="preserve"> angemessen</w:t>
      </w:r>
    </w:p>
    <w:p w14:paraId="548F2E7F" w14:textId="77777777" w:rsidR="00CB47C2" w:rsidRPr="00CB47C2" w:rsidRDefault="00CB47C2" w:rsidP="00CB47C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Effizienz - Laufzeitverhalten (10)</w:t>
      </w:r>
    </w:p>
    <w:p w14:paraId="13F78F83" w14:textId="77777777" w:rsidR="00CB47C2" w:rsidRPr="00CB47C2" w:rsidRDefault="00CB47C2" w:rsidP="00CB47C2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proofErr w:type="spellStart"/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Lighthouse</w:t>
      </w:r>
      <w:proofErr w:type="spellEnd"/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-Performancescan (0: 0 Punkte, 1-20: 1 Punkt, 21-40: 2 Punkte, 41-60: 3 Punkt, 61-80: 4 Punkte, 81-100: 5 Punkte)</w:t>
      </w:r>
    </w:p>
    <w:p w14:paraId="1B49521C" w14:textId="77777777" w:rsidR="00CB47C2" w:rsidRPr="00CB47C2" w:rsidRDefault="00CB47C2" w:rsidP="00CB47C2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lastRenderedPageBreak/>
        <w:t>Alle Kernfunktionalitäten bei Verfügbarkeit der abhängigen Systeme unter 3 Sekunde ausführbar</w:t>
      </w:r>
    </w:p>
    <w:p w14:paraId="66DFB484" w14:textId="77777777" w:rsidR="00CB47C2" w:rsidRPr="00CB47C2" w:rsidRDefault="00CB47C2" w:rsidP="00CB47C2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Oberfläche reagiert bei jeder Interaktion innerhalb von 0,5 Sekunden (z. B. mit Ladeanimation)</w:t>
      </w:r>
    </w:p>
    <w:p w14:paraId="2F1D1C92" w14:textId="77777777" w:rsidR="00CB47C2" w:rsidRPr="00CB47C2" w:rsidRDefault="00CB47C2" w:rsidP="00CB47C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Interaktionskapazitäten - Erlernbarkeit (5)</w:t>
      </w:r>
    </w:p>
    <w:p w14:paraId="0ADDE71B" w14:textId="77777777" w:rsidR="00CB47C2" w:rsidRPr="00CB47C2" w:rsidRDefault="00CB47C2" w:rsidP="00CB47C2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Nutzbarkeit ohne Anleitung</w:t>
      </w:r>
    </w:p>
    <w:p w14:paraId="7DF7B705" w14:textId="77777777" w:rsidR="00CB47C2" w:rsidRPr="00CB47C2" w:rsidRDefault="00CB47C2" w:rsidP="00CB47C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 xml:space="preserve">Interaktionskapazitäten - </w:t>
      </w:r>
      <w:proofErr w:type="spellStart"/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Inklusivität</w:t>
      </w:r>
      <w:proofErr w:type="spellEnd"/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 xml:space="preserve"> (5)</w:t>
      </w:r>
    </w:p>
    <w:p w14:paraId="23352E35" w14:textId="77777777" w:rsidR="00CB47C2" w:rsidRPr="00CB47C2" w:rsidRDefault="00CB47C2" w:rsidP="00CB47C2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proofErr w:type="spellStart"/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Lighthouse</w:t>
      </w:r>
      <w:proofErr w:type="spellEnd"/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-Barrierefreiheitsscan (0: 0 Punkte, 1-20: 1 Punkt, 21-40: 2 Punkte, 41-60: 3 Punkt, 61-80: 4 Punkte, 81-100: 5 Punkte)</w:t>
      </w:r>
    </w:p>
    <w:p w14:paraId="4A3A769A" w14:textId="77777777" w:rsidR="00CB47C2" w:rsidRPr="00CB47C2" w:rsidRDefault="00CB47C2" w:rsidP="00CB47C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Interaktionskapazitäten - Selbstbeschreibung (5)</w:t>
      </w:r>
    </w:p>
    <w:p w14:paraId="3FE4D97F" w14:textId="77777777" w:rsidR="00CB47C2" w:rsidRPr="00CB47C2" w:rsidRDefault="00CB47C2" w:rsidP="00CB47C2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Ästhetik</w:t>
      </w:r>
    </w:p>
    <w:p w14:paraId="4978B806" w14:textId="77777777" w:rsidR="00CB47C2" w:rsidRPr="00CB47C2" w:rsidRDefault="00CB47C2" w:rsidP="00CB47C2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Kurze Klickpfade</w:t>
      </w:r>
    </w:p>
    <w:p w14:paraId="3738A4AF" w14:textId="77777777" w:rsidR="00CB47C2" w:rsidRPr="00CB47C2" w:rsidRDefault="00CB47C2" w:rsidP="00CB47C2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Nutzbarkeit ohne Anleitung</w:t>
      </w:r>
    </w:p>
    <w:p w14:paraId="131293A3" w14:textId="77777777" w:rsidR="00CB47C2" w:rsidRPr="00CB47C2" w:rsidRDefault="00CB47C2" w:rsidP="00CB47C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Wartbarkeit - Modularität (15)</w:t>
      </w:r>
    </w:p>
    <w:p w14:paraId="4AB68152" w14:textId="77777777" w:rsidR="00CB47C2" w:rsidRPr="00CB47C2" w:rsidRDefault="00CB47C2" w:rsidP="00CB47C2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Sinnvolle Codestruktur (5)</w:t>
      </w:r>
    </w:p>
    <w:p w14:paraId="568C0DF7" w14:textId="77777777" w:rsidR="00CB47C2" w:rsidRPr="00CB47C2" w:rsidRDefault="00CB47C2" w:rsidP="00CB47C2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Verständlichkeit des Codes (6)</w:t>
      </w:r>
    </w:p>
    <w:p w14:paraId="56009B24" w14:textId="77777777" w:rsidR="00CB47C2" w:rsidRPr="00CB47C2" w:rsidRDefault="00CB47C2" w:rsidP="00CB47C2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Sinnvoller Einsatz von Bibliotheken (4)</w:t>
      </w:r>
    </w:p>
    <w:p w14:paraId="704C88D2" w14:textId="77777777" w:rsidR="00CB47C2" w:rsidRPr="00CB47C2" w:rsidRDefault="00CB47C2" w:rsidP="00CB47C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Wartbarkeit - Testbarkeit (20)</w:t>
      </w:r>
    </w:p>
    <w:p w14:paraId="4329CAD6" w14:textId="77777777" w:rsidR="00CB47C2" w:rsidRPr="00CB47C2" w:rsidRDefault="00CB47C2" w:rsidP="00CB47C2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Angemessene Teststrategie (3)</w:t>
      </w:r>
    </w:p>
    <w:p w14:paraId="355758F9" w14:textId="77777777" w:rsidR="00CB47C2" w:rsidRPr="00CB47C2" w:rsidRDefault="00CB47C2" w:rsidP="00CB47C2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Testabdeckung (x % / 10 = y Punkte)</w:t>
      </w:r>
    </w:p>
    <w:p w14:paraId="72FD0B24" w14:textId="77777777" w:rsidR="00CB47C2" w:rsidRPr="00CB47C2" w:rsidRDefault="00CB47C2" w:rsidP="00CB47C2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 xml:space="preserve">Angemessener Einsatz von </w:t>
      </w:r>
      <w:proofErr w:type="spellStart"/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Mocking</w:t>
      </w:r>
      <w:proofErr w:type="spellEnd"/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/</w:t>
      </w:r>
      <w:proofErr w:type="spellStart"/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Stubbing</w:t>
      </w:r>
      <w:proofErr w:type="spellEnd"/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 xml:space="preserve"> (4)</w:t>
      </w:r>
    </w:p>
    <w:p w14:paraId="70A1573E" w14:textId="77777777" w:rsidR="00CB47C2" w:rsidRPr="00CB47C2" w:rsidRDefault="00CB47C2" w:rsidP="00CB47C2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Verständlichkeit der Tests (3)</w:t>
      </w:r>
    </w:p>
    <w:p w14:paraId="789CC667" w14:textId="77777777" w:rsidR="00CB47C2" w:rsidRPr="00CB47C2" w:rsidRDefault="00CB47C2" w:rsidP="00CB47C2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Flexibilität - Installierbarkeit (10)</w:t>
      </w:r>
    </w:p>
    <w:p w14:paraId="31745860" w14:textId="77777777" w:rsidR="00CB47C2" w:rsidRPr="00CB47C2" w:rsidRDefault="00CB47C2" w:rsidP="00CB47C2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CI/CD-Pipeline mithilfe von GitHub Actions</w:t>
      </w:r>
    </w:p>
    <w:p w14:paraId="576F378F" w14:textId="77777777" w:rsidR="00CB47C2" w:rsidRPr="00CB47C2" w:rsidRDefault="00CB47C2" w:rsidP="00CB47C2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Bauen von Containerimages und Ablegen in der GitHub Container Registry</w:t>
      </w:r>
    </w:p>
    <w:p w14:paraId="60B35D3C" w14:textId="77777777" w:rsidR="00CB47C2" w:rsidRPr="00CB47C2" w:rsidRDefault="00CB47C2" w:rsidP="00CB47C2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 xml:space="preserve">Bedarfsgerechte Verwendung von </w:t>
      </w:r>
      <w:proofErr w:type="spellStart"/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OpenSource</w:t>
      </w:r>
      <w:proofErr w:type="spellEnd"/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-Containerimages</w:t>
      </w:r>
    </w:p>
    <w:p w14:paraId="5C0CC367" w14:textId="77777777" w:rsidR="00CB47C2" w:rsidRPr="00CB47C2" w:rsidRDefault="00CB47C2" w:rsidP="00CB47C2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ascii="Segoe UI" w:hAnsi="Segoe UI" w:cs="Segoe UI"/>
          <w:color w:val="1D2125"/>
          <w:sz w:val="22"/>
          <w:szCs w:val="22"/>
          <w:lang w:eastAsia="de-DE"/>
        </w:rPr>
      </w:pPr>
      <w:r w:rsidRPr="00CB47C2">
        <w:rPr>
          <w:rFonts w:ascii="Segoe UI" w:hAnsi="Segoe UI" w:cs="Segoe UI"/>
          <w:color w:val="1D2125"/>
          <w:sz w:val="22"/>
          <w:szCs w:val="22"/>
          <w:lang w:eastAsia="de-DE"/>
        </w:rPr>
        <w:t>Erstellung einer Installationskonfiguration</w:t>
      </w:r>
    </w:p>
    <w:p w14:paraId="67B55A3D" w14:textId="77777777" w:rsidR="008E33C3" w:rsidRPr="00CB47C2" w:rsidRDefault="008E33C3">
      <w:pPr>
        <w:rPr>
          <w:sz w:val="22"/>
          <w:szCs w:val="18"/>
        </w:rPr>
      </w:pPr>
    </w:p>
    <w:sectPr w:rsidR="008E33C3" w:rsidRPr="00CB47C2">
      <w:pgSz w:w="11906" w:h="16838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TOT">
    <w:panose1 w:val="04000500000000000000"/>
    <w:charset w:val="00"/>
    <w:family w:val="decorative"/>
    <w:notTrueType/>
    <w:pitch w:val="variable"/>
    <w:sig w:usb0="A00002AF" w:usb1="5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FFE"/>
    <w:multiLevelType w:val="multilevel"/>
    <w:tmpl w:val="F9C2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467FF6"/>
    <w:multiLevelType w:val="multilevel"/>
    <w:tmpl w:val="A4B8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602FD6"/>
    <w:multiLevelType w:val="multilevel"/>
    <w:tmpl w:val="082E3822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903179275">
    <w:abstractNumId w:val="2"/>
  </w:num>
  <w:num w:numId="2" w16cid:durableId="1131828452">
    <w:abstractNumId w:val="2"/>
  </w:num>
  <w:num w:numId="3" w16cid:durableId="668168870">
    <w:abstractNumId w:val="2"/>
  </w:num>
  <w:num w:numId="4" w16cid:durableId="1672370590">
    <w:abstractNumId w:val="2"/>
  </w:num>
  <w:num w:numId="5" w16cid:durableId="357507006">
    <w:abstractNumId w:val="2"/>
  </w:num>
  <w:num w:numId="6" w16cid:durableId="978412346">
    <w:abstractNumId w:val="2"/>
  </w:num>
  <w:num w:numId="7" w16cid:durableId="1133064687">
    <w:abstractNumId w:val="2"/>
  </w:num>
  <w:num w:numId="8" w16cid:durableId="1718384665">
    <w:abstractNumId w:val="2"/>
  </w:num>
  <w:num w:numId="9" w16cid:durableId="1329090248">
    <w:abstractNumId w:val="2"/>
  </w:num>
  <w:num w:numId="10" w16cid:durableId="389377855">
    <w:abstractNumId w:val="2"/>
  </w:num>
  <w:num w:numId="11" w16cid:durableId="676616501">
    <w:abstractNumId w:val="2"/>
  </w:num>
  <w:num w:numId="12" w16cid:durableId="1214078683">
    <w:abstractNumId w:val="2"/>
  </w:num>
  <w:num w:numId="13" w16cid:durableId="702093488">
    <w:abstractNumId w:val="2"/>
  </w:num>
  <w:num w:numId="14" w16cid:durableId="236324552">
    <w:abstractNumId w:val="2"/>
  </w:num>
  <w:num w:numId="15" w16cid:durableId="2128768327">
    <w:abstractNumId w:val="2"/>
  </w:num>
  <w:num w:numId="16" w16cid:durableId="988022370">
    <w:abstractNumId w:val="1"/>
  </w:num>
  <w:num w:numId="17" w16cid:durableId="1527329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FC6"/>
    <w:rsid w:val="0003579B"/>
    <w:rsid w:val="00072AE7"/>
    <w:rsid w:val="00096D0C"/>
    <w:rsid w:val="000A0A77"/>
    <w:rsid w:val="000E5BC1"/>
    <w:rsid w:val="000F1C08"/>
    <w:rsid w:val="000F4316"/>
    <w:rsid w:val="00156E50"/>
    <w:rsid w:val="00162DC3"/>
    <w:rsid w:val="001B38EE"/>
    <w:rsid w:val="0020595F"/>
    <w:rsid w:val="00237FB6"/>
    <w:rsid w:val="0028564C"/>
    <w:rsid w:val="002E01E5"/>
    <w:rsid w:val="003047C5"/>
    <w:rsid w:val="0034573B"/>
    <w:rsid w:val="003739B8"/>
    <w:rsid w:val="003938FD"/>
    <w:rsid w:val="003C0605"/>
    <w:rsid w:val="003C633E"/>
    <w:rsid w:val="003E3E9F"/>
    <w:rsid w:val="004207DA"/>
    <w:rsid w:val="0043125A"/>
    <w:rsid w:val="004808A1"/>
    <w:rsid w:val="004B0CF9"/>
    <w:rsid w:val="004F096F"/>
    <w:rsid w:val="00526920"/>
    <w:rsid w:val="00532FC6"/>
    <w:rsid w:val="00542074"/>
    <w:rsid w:val="00561DFF"/>
    <w:rsid w:val="005741D2"/>
    <w:rsid w:val="005C721D"/>
    <w:rsid w:val="005D6816"/>
    <w:rsid w:val="005D7CC7"/>
    <w:rsid w:val="0060064B"/>
    <w:rsid w:val="00602E3F"/>
    <w:rsid w:val="006574D7"/>
    <w:rsid w:val="0067395F"/>
    <w:rsid w:val="0068004A"/>
    <w:rsid w:val="00683B3F"/>
    <w:rsid w:val="006A7CEE"/>
    <w:rsid w:val="006C0A32"/>
    <w:rsid w:val="006E3EAB"/>
    <w:rsid w:val="00714906"/>
    <w:rsid w:val="00725AD3"/>
    <w:rsid w:val="0072714C"/>
    <w:rsid w:val="00731405"/>
    <w:rsid w:val="00763A09"/>
    <w:rsid w:val="00781072"/>
    <w:rsid w:val="00791E27"/>
    <w:rsid w:val="007B0185"/>
    <w:rsid w:val="007F40AE"/>
    <w:rsid w:val="00801B00"/>
    <w:rsid w:val="0081022E"/>
    <w:rsid w:val="00864729"/>
    <w:rsid w:val="0087443B"/>
    <w:rsid w:val="00883428"/>
    <w:rsid w:val="008906C2"/>
    <w:rsid w:val="008E33C3"/>
    <w:rsid w:val="008E7C52"/>
    <w:rsid w:val="008E7E4F"/>
    <w:rsid w:val="00937463"/>
    <w:rsid w:val="00946128"/>
    <w:rsid w:val="00951ACF"/>
    <w:rsid w:val="00952987"/>
    <w:rsid w:val="009709D3"/>
    <w:rsid w:val="009759A7"/>
    <w:rsid w:val="00981F7F"/>
    <w:rsid w:val="00A53794"/>
    <w:rsid w:val="00A7511D"/>
    <w:rsid w:val="00A83C4E"/>
    <w:rsid w:val="00AA1BD3"/>
    <w:rsid w:val="00AD7134"/>
    <w:rsid w:val="00AF4E6E"/>
    <w:rsid w:val="00B125D8"/>
    <w:rsid w:val="00B3295B"/>
    <w:rsid w:val="00B54139"/>
    <w:rsid w:val="00BD02A2"/>
    <w:rsid w:val="00C10728"/>
    <w:rsid w:val="00C3513D"/>
    <w:rsid w:val="00CB47C2"/>
    <w:rsid w:val="00D236A8"/>
    <w:rsid w:val="00D63907"/>
    <w:rsid w:val="00D64A84"/>
    <w:rsid w:val="00D906BD"/>
    <w:rsid w:val="00DB31C7"/>
    <w:rsid w:val="00DB7919"/>
    <w:rsid w:val="00DC33C4"/>
    <w:rsid w:val="00DD0B64"/>
    <w:rsid w:val="00E4505A"/>
    <w:rsid w:val="00E479DF"/>
    <w:rsid w:val="00EA0D7C"/>
    <w:rsid w:val="00EA7118"/>
    <w:rsid w:val="00EF2CF9"/>
    <w:rsid w:val="00F046A2"/>
    <w:rsid w:val="00F31DB0"/>
    <w:rsid w:val="00F348F1"/>
    <w:rsid w:val="00F50699"/>
    <w:rsid w:val="00F62257"/>
    <w:rsid w:val="00F72C39"/>
    <w:rsid w:val="00F82C07"/>
    <w:rsid w:val="00F95AD0"/>
    <w:rsid w:val="00FC3411"/>
    <w:rsid w:val="00FF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0D2072-CBD7-46B6-BE4B-DEA7CDD90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D6816"/>
    <w:pPr>
      <w:spacing w:before="120" w:line="360" w:lineRule="auto"/>
      <w:jc w:val="both"/>
    </w:pPr>
    <w:rPr>
      <w:rFonts w:ascii="Arial" w:hAnsi="Arial"/>
      <w:sz w:val="24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83B3F"/>
    <w:pPr>
      <w:keepNext/>
      <w:keepLines/>
      <w:pageBreakBefore/>
      <w:numPr>
        <w:numId w:val="15"/>
      </w:numPr>
      <w:spacing w:before="480"/>
      <w:jc w:val="left"/>
      <w:outlineLvl w:val="0"/>
    </w:pPr>
    <w:rPr>
      <w:rFonts w:eastAsiaTheme="majorEastAsia" w:cstheme="majorBidi"/>
      <w:b/>
      <w:sz w:val="36"/>
      <w:szCs w:val="32"/>
    </w:rPr>
  </w:style>
  <w:style w:type="paragraph" w:styleId="berschrift2">
    <w:name w:val="heading 2"/>
    <w:basedOn w:val="berschrift1"/>
    <w:next w:val="Standard"/>
    <w:link w:val="berschrift2Zchn"/>
    <w:uiPriority w:val="9"/>
    <w:qFormat/>
    <w:rsid w:val="00683B3F"/>
    <w:pPr>
      <w:pageBreakBefore w:val="0"/>
      <w:numPr>
        <w:ilvl w:val="1"/>
      </w:numPr>
      <w:spacing w:before="360"/>
      <w:outlineLvl w:val="1"/>
    </w:pPr>
    <w:rPr>
      <w:sz w:val="32"/>
      <w:szCs w:val="26"/>
    </w:rPr>
  </w:style>
  <w:style w:type="paragraph" w:styleId="berschrift3">
    <w:name w:val="heading 3"/>
    <w:basedOn w:val="berschrift2"/>
    <w:next w:val="Standard"/>
    <w:link w:val="berschrift3Zchn"/>
    <w:uiPriority w:val="9"/>
    <w:qFormat/>
    <w:rsid w:val="00683B3F"/>
    <w:pPr>
      <w:numPr>
        <w:ilvl w:val="2"/>
        <w:numId w:val="1"/>
      </w:numPr>
      <w:outlineLvl w:val="2"/>
    </w:pPr>
    <w:rPr>
      <w:sz w:val="28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32F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32F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32FC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32FC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32FC6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32FC6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83B3F"/>
    <w:rPr>
      <w:rFonts w:ascii="Arial" w:eastAsiaTheme="majorEastAsia" w:hAnsi="Arial" w:cstheme="majorBidi"/>
      <w:b/>
      <w:sz w:val="36"/>
      <w:szCs w:val="32"/>
      <w:lang w:eastAsia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801B00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01B00"/>
    <w:rPr>
      <w:rFonts w:ascii="FuturaTOT" w:eastAsiaTheme="majorEastAsia" w:hAnsi="FuturaTOT" w:cstheme="majorBidi"/>
      <w:spacing w:val="-10"/>
      <w:kern w:val="28"/>
      <w:sz w:val="56"/>
      <w:szCs w:val="56"/>
      <w:lang w:eastAsia="en-US"/>
    </w:rPr>
  </w:style>
  <w:style w:type="paragraph" w:styleId="Untertitel">
    <w:name w:val="Subtitle"/>
    <w:basedOn w:val="Standard"/>
    <w:next w:val="Standard"/>
    <w:link w:val="UntertitelZchn"/>
    <w:autoRedefine/>
    <w:uiPriority w:val="11"/>
    <w:qFormat/>
    <w:rsid w:val="00801B00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01B00"/>
    <w:rPr>
      <w:rFonts w:ascii="FuturaTOT" w:eastAsiaTheme="minorEastAsia" w:hAnsi="FuturaTOT" w:cstheme="minorBidi"/>
      <w:color w:val="5A5A5A" w:themeColor="text1" w:themeTint="A5"/>
      <w:spacing w:val="15"/>
      <w:sz w:val="22"/>
      <w:szCs w:val="22"/>
      <w:lang w:eastAsia="en-US"/>
    </w:rPr>
  </w:style>
  <w:style w:type="character" w:styleId="SchwacheHervorhebung">
    <w:name w:val="Subtle Emphasis"/>
    <w:basedOn w:val="Absatz-Standardschriftart"/>
    <w:uiPriority w:val="19"/>
    <w:qFormat/>
    <w:rsid w:val="00801B00"/>
    <w:rPr>
      <w:rFonts w:ascii="FuturaTOT" w:hAnsi="FuturaTOT"/>
      <w:i/>
      <w:iCs/>
      <w:color w:val="404040" w:themeColor="text1" w:themeTint="BF"/>
    </w:rPr>
  </w:style>
  <w:style w:type="character" w:styleId="SchwacherVerweis">
    <w:name w:val="Subtle Reference"/>
    <w:basedOn w:val="Absatz-Standardschriftart"/>
    <w:uiPriority w:val="31"/>
    <w:qFormat/>
    <w:rsid w:val="00801B00"/>
    <w:rPr>
      <w:rFonts w:ascii="FuturaTOT" w:hAnsi="FuturaTOT"/>
      <w:smallCaps/>
      <w:color w:val="5A5A5A" w:themeColor="text1" w:themeTint="A5"/>
    </w:rPr>
  </w:style>
  <w:style w:type="character" w:styleId="IntensiverVerweis">
    <w:name w:val="Intense Reference"/>
    <w:basedOn w:val="Absatz-Standardschriftart"/>
    <w:uiPriority w:val="32"/>
    <w:qFormat/>
    <w:rsid w:val="00801B00"/>
    <w:rPr>
      <w:rFonts w:ascii="FuturaTOT" w:hAnsi="FuturaTOT"/>
      <w:b/>
      <w:bCs/>
      <w:smallCaps/>
      <w:color w:val="4F81BD" w:themeColor="accent1"/>
      <w:spacing w:val="5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3B3F"/>
    <w:rPr>
      <w:rFonts w:ascii="Arial" w:eastAsiaTheme="majorEastAsia" w:hAnsi="Arial" w:cstheme="majorBidi"/>
      <w:sz w:val="32"/>
      <w:szCs w:val="26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83B3F"/>
    <w:rPr>
      <w:rFonts w:ascii="Arial" w:eastAsiaTheme="majorEastAsia" w:hAnsi="Arial" w:cstheme="majorBidi"/>
      <w:b/>
      <w:sz w:val="28"/>
      <w:szCs w:val="24"/>
      <w:lang w:eastAsia="en-US"/>
    </w:rPr>
  </w:style>
  <w:style w:type="paragraph" w:customStyle="1" w:styleId="berschriftohneZahl">
    <w:name w:val="Überschrift ohne Zahl"/>
    <w:basedOn w:val="berschrift1"/>
    <w:next w:val="Standard"/>
    <w:qFormat/>
    <w:rsid w:val="00542074"/>
    <w:pPr>
      <w:numPr>
        <w:numId w:val="0"/>
      </w:numPr>
      <w:spacing w:before="0"/>
    </w:pPr>
    <w:rPr>
      <w:lang w:val="en-US"/>
    </w:rPr>
  </w:style>
  <w:style w:type="paragraph" w:styleId="Fuzeile">
    <w:name w:val="footer"/>
    <w:basedOn w:val="Standard"/>
    <w:link w:val="FuzeileZchn"/>
    <w:autoRedefine/>
    <w:uiPriority w:val="99"/>
    <w:unhideWhenUsed/>
    <w:qFormat/>
    <w:rsid w:val="00981F7F"/>
    <w:pPr>
      <w:tabs>
        <w:tab w:val="center" w:pos="4536"/>
        <w:tab w:val="right" w:pos="9072"/>
      </w:tabs>
    </w:pPr>
    <w:rPr>
      <w:sz w:val="20"/>
    </w:rPr>
  </w:style>
  <w:style w:type="character" w:customStyle="1" w:styleId="FuzeileZchn">
    <w:name w:val="Fußzeile Zchn"/>
    <w:basedOn w:val="Absatz-Standardschriftart"/>
    <w:link w:val="Fuzeile"/>
    <w:uiPriority w:val="99"/>
    <w:rsid w:val="00981F7F"/>
    <w:rPr>
      <w:rFonts w:ascii="Arial" w:hAnsi="Arial"/>
      <w:spacing w:val="16"/>
      <w:lang w:eastAsia="en-US"/>
    </w:rPr>
  </w:style>
  <w:style w:type="paragraph" w:styleId="Beschriftung">
    <w:name w:val="caption"/>
    <w:basedOn w:val="Standard"/>
    <w:next w:val="Standard"/>
    <w:uiPriority w:val="35"/>
    <w:unhideWhenUsed/>
    <w:qFormat/>
    <w:rsid w:val="004808A1"/>
    <w:pPr>
      <w:spacing w:after="200"/>
    </w:pPr>
    <w:rPr>
      <w:iCs/>
      <w:color w:val="000000" w:themeColor="text1"/>
      <w:sz w:val="20"/>
      <w:szCs w:val="18"/>
    </w:rPr>
  </w:style>
  <w:style w:type="character" w:styleId="Hyperlink">
    <w:name w:val="Hyperlink"/>
    <w:basedOn w:val="Absatz-Standardschriftart"/>
    <w:uiPriority w:val="99"/>
    <w:unhideWhenUsed/>
    <w:rsid w:val="00526920"/>
    <w:rPr>
      <w:color w:val="auto"/>
      <w:u w:val="none"/>
    </w:rPr>
  </w:style>
  <w:style w:type="paragraph" w:customStyle="1" w:styleId="Abbildungsberschrift">
    <w:name w:val="Abbildungsüberschrift"/>
    <w:basedOn w:val="Beschriftung"/>
    <w:qFormat/>
    <w:rsid w:val="006A7CEE"/>
    <w:pPr>
      <w:keepNext/>
      <w:spacing w:after="0" w:line="240" w:lineRule="auto"/>
    </w:pPr>
  </w:style>
  <w:style w:type="paragraph" w:customStyle="1" w:styleId="AbbildungQuelle">
    <w:name w:val="Abbildung Quelle"/>
    <w:basedOn w:val="Beschriftung"/>
    <w:next w:val="Standard"/>
    <w:qFormat/>
    <w:rsid w:val="00F72C39"/>
    <w:pPr>
      <w:spacing w:after="240" w:line="240" w:lineRule="auto"/>
    </w:pPr>
  </w:style>
  <w:style w:type="paragraph" w:customStyle="1" w:styleId="Entwurf">
    <w:name w:val="Entwurf"/>
    <w:basedOn w:val="Standard"/>
    <w:qFormat/>
    <w:rsid w:val="000F4316"/>
    <w:rPr>
      <w:color w:val="4F81BD" w:themeColor="accent1"/>
      <w:sz w:val="22"/>
    </w:rPr>
  </w:style>
  <w:style w:type="paragraph" w:styleId="Listenabsatz">
    <w:name w:val="List Paragraph"/>
    <w:basedOn w:val="Standard"/>
    <w:uiPriority w:val="34"/>
    <w:qFormat/>
    <w:rsid w:val="00791E27"/>
    <w:pPr>
      <w:spacing w:after="240"/>
      <w:ind w:left="284"/>
      <w:contextualSpacing/>
    </w:pPr>
  </w:style>
  <w:style w:type="paragraph" w:customStyle="1" w:styleId="CitaviBibliographyEntry">
    <w:name w:val="Citavi Bibliography Entry"/>
    <w:basedOn w:val="Standard"/>
    <w:link w:val="CitaviBibliographyEntryZchn"/>
    <w:uiPriority w:val="99"/>
    <w:rsid w:val="00EA7118"/>
    <w:pPr>
      <w:tabs>
        <w:tab w:val="left" w:pos="510"/>
      </w:tabs>
      <w:spacing w:after="180" w:line="240" w:lineRule="auto"/>
      <w:ind w:left="510" w:hanging="510"/>
      <w:jc w:val="left"/>
    </w:pPr>
  </w:style>
  <w:style w:type="character" w:customStyle="1" w:styleId="CitaviBibliographyEntryZchn">
    <w:name w:val="Citavi Bibliography Entry Zchn"/>
    <w:basedOn w:val="Absatz-Standardschriftart"/>
    <w:link w:val="CitaviBibliographyEntry"/>
    <w:uiPriority w:val="99"/>
    <w:rsid w:val="00EA7118"/>
    <w:rPr>
      <w:rFonts w:ascii="Arial" w:hAnsi="Arial"/>
      <w:sz w:val="24"/>
      <w:lang w:eastAsia="en-US"/>
    </w:rPr>
  </w:style>
  <w:style w:type="paragraph" w:customStyle="1" w:styleId="berschrift2ohneZahl">
    <w:name w:val="Überschrift 2 ohne Zahl"/>
    <w:basedOn w:val="berschrift2"/>
    <w:next w:val="Standard"/>
    <w:qFormat/>
    <w:rsid w:val="004F096F"/>
    <w:pPr>
      <w:pageBreakBefore/>
      <w:numPr>
        <w:ilvl w:val="0"/>
        <w:numId w:val="0"/>
      </w:numPr>
    </w:pPr>
  </w:style>
  <w:style w:type="paragraph" w:customStyle="1" w:styleId="berschrift3ohneZahl">
    <w:name w:val="Überschrift 3 ohne Zahl"/>
    <w:basedOn w:val="berschrift3"/>
    <w:next w:val="Standard"/>
    <w:qFormat/>
    <w:rsid w:val="004F096F"/>
    <w:pPr>
      <w:numPr>
        <w:ilvl w:val="0"/>
        <w:numId w:val="0"/>
      </w:numPr>
    </w:p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32FC6"/>
    <w:rPr>
      <w:rFonts w:asciiTheme="minorHAnsi" w:eastAsiaTheme="majorEastAsia" w:hAnsiTheme="minorHAnsi" w:cstheme="majorBidi"/>
      <w:i/>
      <w:iCs/>
      <w:color w:val="365F91" w:themeColor="accent1" w:themeShade="BF"/>
      <w:sz w:val="24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32FC6"/>
    <w:rPr>
      <w:rFonts w:asciiTheme="minorHAnsi" w:eastAsiaTheme="majorEastAsia" w:hAnsiTheme="minorHAnsi" w:cstheme="majorBidi"/>
      <w:color w:val="365F91" w:themeColor="accent1" w:themeShade="BF"/>
      <w:sz w:val="24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32FC6"/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32FC6"/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32FC6"/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32FC6"/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532F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32FC6"/>
    <w:rPr>
      <w:rFonts w:ascii="Arial" w:hAnsi="Arial"/>
      <w:i/>
      <w:iCs/>
      <w:color w:val="404040" w:themeColor="text1" w:themeTint="BF"/>
      <w:sz w:val="24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532FC6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32FC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32FC6"/>
    <w:rPr>
      <w:rFonts w:ascii="Arial" w:hAnsi="Arial"/>
      <w:i/>
      <w:iCs/>
      <w:color w:val="365F91" w:themeColor="accent1" w:themeShade="BF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EF034C-E67A-4A2E-94E0-972BDE1B9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 Klassen</dc:creator>
  <cp:keywords/>
  <dc:description/>
  <cp:lastModifiedBy>Bennet Klassen</cp:lastModifiedBy>
  <cp:revision>2</cp:revision>
  <dcterms:created xsi:type="dcterms:W3CDTF">2026-01-08T10:11:00Z</dcterms:created>
  <dcterms:modified xsi:type="dcterms:W3CDTF">2026-01-08T10:12:00Z</dcterms:modified>
</cp:coreProperties>
</file>