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F1DF9" w14:textId="77777777" w:rsidR="0099461B" w:rsidRDefault="0099461B" w:rsidP="0099461B">
      <w:pPr>
        <w:spacing w:line="480" w:lineRule="auto"/>
      </w:pPr>
      <w:bookmarkStart w:id="0" w:name="OLE_LINK1"/>
    </w:p>
    <w:p w14:paraId="31DD99BF" w14:textId="77777777" w:rsidR="0099461B" w:rsidRDefault="0099461B" w:rsidP="0099461B">
      <w:pPr>
        <w:spacing w:line="480" w:lineRule="auto"/>
        <w:jc w:val="center"/>
      </w:pPr>
    </w:p>
    <w:p w14:paraId="1D600862" w14:textId="77777777" w:rsidR="0099461B" w:rsidRDefault="0099461B" w:rsidP="0099461B">
      <w:pPr>
        <w:spacing w:line="480" w:lineRule="auto"/>
        <w:jc w:val="center"/>
      </w:pPr>
    </w:p>
    <w:p w14:paraId="082E62D5" w14:textId="77777777" w:rsidR="0099461B" w:rsidRDefault="0099461B" w:rsidP="0099461B">
      <w:pPr>
        <w:spacing w:line="480" w:lineRule="auto"/>
        <w:jc w:val="center"/>
      </w:pPr>
    </w:p>
    <w:p w14:paraId="769246F0" w14:textId="77777777" w:rsidR="0099461B" w:rsidRDefault="0099461B" w:rsidP="0099461B">
      <w:pPr>
        <w:spacing w:line="480" w:lineRule="auto"/>
        <w:jc w:val="center"/>
      </w:pPr>
    </w:p>
    <w:p w14:paraId="64B862EA" w14:textId="77777777" w:rsidR="0099461B" w:rsidRDefault="0099461B" w:rsidP="0099461B">
      <w:pPr>
        <w:spacing w:line="480" w:lineRule="auto"/>
        <w:jc w:val="center"/>
      </w:pPr>
    </w:p>
    <w:p w14:paraId="10B7A345" w14:textId="77777777" w:rsidR="0099461B" w:rsidRDefault="0099461B" w:rsidP="0099461B">
      <w:pPr>
        <w:spacing w:line="480" w:lineRule="auto"/>
        <w:jc w:val="center"/>
      </w:pPr>
    </w:p>
    <w:p w14:paraId="6FFF55FF" w14:textId="77777777" w:rsidR="0099461B" w:rsidRPr="00762E51" w:rsidRDefault="0099461B" w:rsidP="0099461B">
      <w:pPr>
        <w:spacing w:line="480" w:lineRule="auto"/>
        <w:jc w:val="center"/>
        <w:rPr>
          <w:b/>
          <w:bCs/>
          <w:i/>
          <w:iCs/>
        </w:rPr>
      </w:pPr>
      <w:r w:rsidRPr="00762E51">
        <w:rPr>
          <w:rStyle w:val="Emphasis"/>
          <w:rFonts w:eastAsiaTheme="majorEastAsia"/>
          <w:b/>
          <w:bCs/>
          <w:i w:val="0"/>
          <w:iCs w:val="0"/>
        </w:rPr>
        <w:t>Predicting Negative Affect from Sex, Conscientiousness, and Socially Prescribed Perfectionism: A Multiple Regression Analysis</w:t>
      </w:r>
    </w:p>
    <w:p w14:paraId="3192FFDD" w14:textId="77777777" w:rsidR="0099461B" w:rsidRDefault="0099461B" w:rsidP="0099461B">
      <w:pPr>
        <w:spacing w:line="480" w:lineRule="auto"/>
        <w:jc w:val="center"/>
      </w:pPr>
    </w:p>
    <w:p w14:paraId="6F6E8E3C" w14:textId="77777777" w:rsidR="0099461B" w:rsidRDefault="0099461B" w:rsidP="0099461B">
      <w:pPr>
        <w:spacing w:line="480" w:lineRule="auto"/>
        <w:jc w:val="center"/>
      </w:pPr>
    </w:p>
    <w:p w14:paraId="7F53828A" w14:textId="77777777" w:rsidR="0099461B" w:rsidRDefault="0099461B" w:rsidP="0099461B">
      <w:pPr>
        <w:spacing w:line="480" w:lineRule="auto"/>
        <w:jc w:val="center"/>
      </w:pPr>
    </w:p>
    <w:p w14:paraId="41C3D3CE" w14:textId="77777777" w:rsidR="0099461B" w:rsidRDefault="0099461B" w:rsidP="0099461B">
      <w:pPr>
        <w:spacing w:line="480" w:lineRule="auto"/>
        <w:jc w:val="center"/>
      </w:pPr>
    </w:p>
    <w:p w14:paraId="10A1606D" w14:textId="77777777" w:rsidR="0099461B" w:rsidRDefault="0099461B" w:rsidP="0099461B">
      <w:pPr>
        <w:spacing w:line="480" w:lineRule="auto"/>
        <w:jc w:val="center"/>
      </w:pPr>
      <w:r>
        <w:t>Tamar Gazit</w:t>
      </w:r>
    </w:p>
    <w:p w14:paraId="19FD003B" w14:textId="77777777" w:rsidR="0099461B" w:rsidRDefault="0099461B" w:rsidP="0099461B">
      <w:pPr>
        <w:spacing w:line="480" w:lineRule="auto"/>
        <w:jc w:val="center"/>
      </w:pPr>
      <w:r>
        <w:t>Department of Psychiatry, Dalhousie University</w:t>
      </w:r>
    </w:p>
    <w:p w14:paraId="19FE879D" w14:textId="77777777" w:rsidR="0099461B" w:rsidRDefault="0099461B" w:rsidP="0099461B">
      <w:pPr>
        <w:spacing w:line="480" w:lineRule="auto"/>
        <w:jc w:val="center"/>
      </w:pPr>
      <w:r>
        <w:t>PSYR 6003: Fundamentals of Applied Statistics and Research Design</w:t>
      </w:r>
    </w:p>
    <w:p w14:paraId="54A56401" w14:textId="77777777" w:rsidR="0099461B" w:rsidRDefault="0099461B" w:rsidP="0099461B">
      <w:pPr>
        <w:spacing w:line="480" w:lineRule="auto"/>
        <w:jc w:val="center"/>
      </w:pPr>
      <w:r>
        <w:t>Dr. Sandra Meier</w:t>
      </w:r>
    </w:p>
    <w:p w14:paraId="67FA6FA0" w14:textId="77777777" w:rsidR="0099461B" w:rsidRDefault="0099461B" w:rsidP="0099461B">
      <w:pPr>
        <w:spacing w:line="480" w:lineRule="auto"/>
        <w:jc w:val="center"/>
      </w:pPr>
      <w:r>
        <w:t>16 March 2025</w:t>
      </w:r>
    </w:p>
    <w:p w14:paraId="0D99313C" w14:textId="77777777" w:rsidR="0099461B" w:rsidRDefault="0099461B" w:rsidP="0099461B">
      <w:pPr>
        <w:spacing w:line="480" w:lineRule="auto"/>
        <w:jc w:val="center"/>
      </w:pPr>
    </w:p>
    <w:p w14:paraId="490271AF" w14:textId="77777777" w:rsidR="0099461B" w:rsidRPr="00762E51" w:rsidRDefault="0099461B" w:rsidP="0099461B">
      <w:pPr>
        <w:rPr>
          <w:rStyle w:val="Emphasis"/>
          <w:i w:val="0"/>
          <w:iCs w:val="0"/>
        </w:rPr>
      </w:pPr>
      <w:r>
        <w:rPr>
          <w:b/>
          <w:bCs/>
        </w:rPr>
        <w:br w:type="page"/>
      </w:r>
    </w:p>
    <w:p w14:paraId="7DD02AD3" w14:textId="77777777" w:rsidR="0099461B" w:rsidRPr="00762E51" w:rsidRDefault="0099461B" w:rsidP="0099461B">
      <w:pPr>
        <w:spacing w:line="480" w:lineRule="auto"/>
        <w:jc w:val="center"/>
        <w:rPr>
          <w:b/>
          <w:bCs/>
          <w:i/>
          <w:iCs/>
        </w:rPr>
      </w:pPr>
      <w:r w:rsidRPr="00762E51">
        <w:rPr>
          <w:rStyle w:val="Emphasis"/>
          <w:rFonts w:eastAsiaTheme="majorEastAsia"/>
          <w:b/>
          <w:bCs/>
          <w:i w:val="0"/>
          <w:iCs w:val="0"/>
        </w:rPr>
        <w:lastRenderedPageBreak/>
        <w:t>Predicting Negative Affect from Sex, Conscientiousness, and Socially Prescribed Perfectionism: A Multiple Regression Analysis</w:t>
      </w:r>
    </w:p>
    <w:p w14:paraId="1B856062" w14:textId="3B484FFC" w:rsidR="007F5DA3" w:rsidRPr="007F5DA3" w:rsidRDefault="0099461B" w:rsidP="007F5DA3">
      <w:pPr>
        <w:spacing w:line="480" w:lineRule="auto"/>
        <w:ind w:firstLine="720"/>
      </w:pPr>
      <w:r>
        <w:t>This study examined whether sex, conscientiousness, and socially prescribed perfectionism (SPP) predicted negative affect. Based on previous research, it was hypothesized that (H1) women would report more negative affect than men, higher conscientiousness would be associated with lower negative affect, and higher SPP would be associated with higher negative affect. A second hypothesis (H2) proposed that SPP would account for unique variance in negative affect above and beyond the effects of sex and conscientiousness. These hypotheses were tested using multiple linear regression and model comparison within the General Linear Model (GLM) framework.</w:t>
      </w:r>
      <w:r w:rsidR="007F5DA3">
        <w:rPr>
          <w:b/>
          <w:bCs/>
        </w:rPr>
        <w:tab/>
      </w:r>
    </w:p>
    <w:p w14:paraId="5E6119B9" w14:textId="00B7FB11" w:rsidR="0099461B" w:rsidRDefault="0099461B" w:rsidP="0099461B">
      <w:pPr>
        <w:spacing w:line="480" w:lineRule="auto"/>
        <w:jc w:val="center"/>
        <w:rPr>
          <w:b/>
          <w:bCs/>
        </w:rPr>
      </w:pPr>
      <w:r w:rsidRPr="001F160E">
        <w:rPr>
          <w:b/>
          <w:bCs/>
        </w:rPr>
        <w:t>Results</w:t>
      </w:r>
    </w:p>
    <w:p w14:paraId="14F95FD0" w14:textId="77777777" w:rsidR="007F5DA3" w:rsidRDefault="007F5DA3" w:rsidP="007F5DA3">
      <w:pPr>
        <w:spacing w:line="480" w:lineRule="auto"/>
        <w:rPr>
          <w:b/>
          <w:bCs/>
        </w:rPr>
      </w:pPr>
      <w:r>
        <w:rPr>
          <w:b/>
          <w:bCs/>
        </w:rPr>
        <w:t>Data Preparation</w:t>
      </w:r>
    </w:p>
    <w:p w14:paraId="5F69F1B0" w14:textId="3C387386" w:rsidR="007F5DA3" w:rsidRDefault="007F5DA3" w:rsidP="007F5DA3">
      <w:pPr>
        <w:spacing w:line="480" w:lineRule="auto"/>
        <w:rPr>
          <w:b/>
          <w:bCs/>
        </w:rPr>
      </w:pPr>
      <w:r>
        <w:rPr>
          <w:b/>
          <w:bCs/>
        </w:rPr>
        <w:tab/>
      </w:r>
      <w:r>
        <w:t>Prior to analysis, the</w:t>
      </w:r>
      <w:r>
        <w:t xml:space="preserve"> ‘sex’ v</w:t>
      </w:r>
      <w:r>
        <w:t>ariable was recoded as a binary factor (0 = female, 1 = male).</w:t>
      </w:r>
      <w:r w:rsidR="00391C17">
        <w:t xml:space="preserve"> </w:t>
      </w:r>
      <w:r w:rsidR="00391C17">
        <w:t>One participant who selected “Other (specify)” was removed due to the small number of responses in that category.</w:t>
      </w:r>
      <w:r>
        <w:t xml:space="preserve"> Composite scores for </w:t>
      </w:r>
      <w:r w:rsidR="00391C17">
        <w:t>SPP</w:t>
      </w:r>
      <w:r>
        <w:t xml:space="preserve"> (</w:t>
      </w:r>
      <w:proofErr w:type="spellStart"/>
      <w:r>
        <w:t>SPP_total</w:t>
      </w:r>
      <w:proofErr w:type="spellEnd"/>
      <w:r>
        <w:t>), conscientiousness (</w:t>
      </w:r>
      <w:proofErr w:type="spellStart"/>
      <w:r>
        <w:t>CONS_total</w:t>
      </w:r>
      <w:proofErr w:type="spellEnd"/>
      <w:r>
        <w:t>), and negative affect (</w:t>
      </w:r>
      <w:proofErr w:type="spellStart"/>
      <w:r>
        <w:t>NA_total</w:t>
      </w:r>
      <w:proofErr w:type="spellEnd"/>
      <w:r>
        <w:t>) were computed by taking the mean of the relevant scale items. The item</w:t>
      </w:r>
      <w:r>
        <w:t xml:space="preserve"> ‘</w:t>
      </w:r>
      <w:proofErr w:type="gramStart"/>
      <w:r>
        <w:t>tipm.CONS</w:t>
      </w:r>
      <w:proofErr w:type="gramEnd"/>
      <w:r>
        <w:t>2.3y’</w:t>
      </w:r>
      <w:r>
        <w:t xml:space="preserve"> was reverse-coded (i.e., 8 – item score) before inclusion in the conscientiousness composite. Missing data were handled using pairwise deletion when computing subscale means. All data cleaning steps were verified by inspecting value ranges, summary statistics, and select participant responses.</w:t>
      </w:r>
    </w:p>
    <w:bookmarkEnd w:id="0"/>
    <w:p w14:paraId="7370CDAD" w14:textId="77777777" w:rsidR="0099461B" w:rsidRDefault="0099461B" w:rsidP="0099461B">
      <w:pPr>
        <w:spacing w:line="480" w:lineRule="auto"/>
        <w:rPr>
          <w:b/>
          <w:bCs/>
        </w:rPr>
      </w:pPr>
      <w:r>
        <w:rPr>
          <w:b/>
          <w:bCs/>
        </w:rPr>
        <w:t xml:space="preserve">Descriptive Statistics </w:t>
      </w:r>
    </w:p>
    <w:p w14:paraId="1F2F6A61" w14:textId="1F9EA794" w:rsidR="007E154E" w:rsidRDefault="0099461B" w:rsidP="0099461B">
      <w:pPr>
        <w:spacing w:line="480" w:lineRule="auto"/>
        <w:ind w:firstLine="720"/>
      </w:pPr>
      <w:r>
        <w:t xml:space="preserve">Descriptive statistics </w:t>
      </w:r>
      <w:r>
        <w:t xml:space="preserve">and bivariate correlations for the continuous study variables are presented in Table 1. </w:t>
      </w:r>
      <w:r w:rsidR="007E154E">
        <w:t>Negative affect scores ranged from 1.00 to 4.83 (</w:t>
      </w:r>
      <w:r w:rsidR="007E154E">
        <w:rPr>
          <w:rStyle w:val="Emphasis"/>
          <w:rFonts w:eastAsiaTheme="majorEastAsia"/>
        </w:rPr>
        <w:t>M</w:t>
      </w:r>
      <w:r w:rsidR="007E154E">
        <w:t xml:space="preserve"> = 2.45, </w:t>
      </w:r>
      <w:r w:rsidR="007E154E">
        <w:rPr>
          <w:rStyle w:val="Emphasis"/>
          <w:rFonts w:eastAsiaTheme="majorEastAsia"/>
        </w:rPr>
        <w:t>SD</w:t>
      </w:r>
      <w:r w:rsidR="007E154E">
        <w:t xml:space="preserve"> = 0.99; </w:t>
      </w:r>
      <w:proofErr w:type="spellStart"/>
      <w:r w:rsidR="007E154E">
        <w:rPr>
          <w:rStyle w:val="Emphasis"/>
          <w:rFonts w:eastAsiaTheme="majorEastAsia"/>
        </w:rPr>
        <w:t>Mdn</w:t>
      </w:r>
      <w:proofErr w:type="spellEnd"/>
      <w:r w:rsidR="007E154E">
        <w:t xml:space="preserve"> </w:t>
      </w:r>
      <w:r w:rsidR="007E154E">
        <w:lastRenderedPageBreak/>
        <w:t>= 2.21), reflecting generally low to moderate levels of negative affect in the sample. The distribution was positively skewed, with a concentration of scores toward the lower end.</w:t>
      </w:r>
      <w:r w:rsidR="007E154E">
        <w:t xml:space="preserve"> </w:t>
      </w:r>
      <w:r w:rsidR="007E154E">
        <w:t>Conscientiousness scores ranged from 1.00 to 7.00 (</w:t>
      </w:r>
      <w:r w:rsidR="007E154E">
        <w:rPr>
          <w:rStyle w:val="Emphasis"/>
          <w:rFonts w:eastAsiaTheme="majorEastAsia"/>
        </w:rPr>
        <w:t>M</w:t>
      </w:r>
      <w:r w:rsidR="007E154E">
        <w:t xml:space="preserve"> = 5.05, </w:t>
      </w:r>
      <w:r w:rsidR="007E154E">
        <w:rPr>
          <w:rStyle w:val="Emphasis"/>
          <w:rFonts w:eastAsiaTheme="majorEastAsia"/>
        </w:rPr>
        <w:t>SD</w:t>
      </w:r>
      <w:r w:rsidR="007E154E">
        <w:t xml:space="preserve"> = 1.27; </w:t>
      </w:r>
      <w:proofErr w:type="spellStart"/>
      <w:r w:rsidR="007E154E">
        <w:rPr>
          <w:rStyle w:val="Emphasis"/>
          <w:rFonts w:eastAsiaTheme="majorEastAsia"/>
        </w:rPr>
        <w:t>Mdn</w:t>
      </w:r>
      <w:proofErr w:type="spellEnd"/>
      <w:r w:rsidR="007E154E">
        <w:t xml:space="preserve"> = 5.00) and exhibited a modest negative skew, indicating that participants generally rated themselves as relatively conscientious. SPP scores also ranged from 1.00 to 7.00 (</w:t>
      </w:r>
      <w:r w:rsidR="007E154E">
        <w:rPr>
          <w:rStyle w:val="Emphasis"/>
          <w:rFonts w:eastAsiaTheme="majorEastAsia"/>
        </w:rPr>
        <w:t>M</w:t>
      </w:r>
      <w:r w:rsidR="007E154E">
        <w:t xml:space="preserve"> = 4.42, </w:t>
      </w:r>
      <w:r w:rsidR="007E154E">
        <w:rPr>
          <w:rStyle w:val="Emphasis"/>
          <w:rFonts w:eastAsiaTheme="majorEastAsia"/>
        </w:rPr>
        <w:t>SD</w:t>
      </w:r>
      <w:r w:rsidR="007E154E">
        <w:t xml:space="preserve"> = 1.44; </w:t>
      </w:r>
      <w:proofErr w:type="spellStart"/>
      <w:r w:rsidR="007E154E">
        <w:rPr>
          <w:rStyle w:val="Emphasis"/>
          <w:rFonts w:eastAsiaTheme="majorEastAsia"/>
        </w:rPr>
        <w:t>Mdn</w:t>
      </w:r>
      <w:proofErr w:type="spellEnd"/>
      <w:r w:rsidR="007E154E">
        <w:t xml:space="preserve"> = 4.50) and were roughly symmetrically distributed, though slightly skewed right, with many participants reporting moderate to high levels of socially prescribed perfectionism.</w:t>
      </w:r>
    </w:p>
    <w:p w14:paraId="12F57E35" w14:textId="60BB221C" w:rsidR="007E154E" w:rsidRDefault="007E154E" w:rsidP="007E154E">
      <w:pPr>
        <w:spacing w:line="480" w:lineRule="auto"/>
        <w:ind w:firstLine="720"/>
      </w:pPr>
      <w:r>
        <w:t>Sex was coded as a binary variable, with 116 participants identifying as female (coded 0) and 20 as male (coded 1), creating a notably imbalanced sample. This imbalance should be considered when interpreting group comparisons.</w:t>
      </w:r>
    </w:p>
    <w:p w14:paraId="204ECA60" w14:textId="6FC4B09C" w:rsidR="00736709" w:rsidRDefault="00AA0245" w:rsidP="00736709">
      <w:pPr>
        <w:spacing w:line="480" w:lineRule="auto"/>
        <w:ind w:firstLine="720"/>
      </w:pPr>
      <w:r>
        <w:t xml:space="preserve">Bivariate Pearson correlations revealed significant associations among the continuous variables, all supported by 95% confidence intervals that did not </w:t>
      </w:r>
      <w:r w:rsidR="00462BFF">
        <w:t>cross</w:t>
      </w:r>
      <w:r>
        <w:t xml:space="preserve"> zero</w:t>
      </w:r>
      <w:r w:rsidR="00D81738">
        <w:t>, indicating that the effects were likely meaningful and not due to chance</w:t>
      </w:r>
      <w:r>
        <w:t xml:space="preserve">. Negative affect was significantly negatively correlated with conscientiousness, </w:t>
      </w:r>
      <w:r>
        <w:rPr>
          <w:rStyle w:val="Emphasis"/>
          <w:rFonts w:eastAsiaTheme="majorEastAsia"/>
        </w:rPr>
        <w:t>r</w:t>
      </w:r>
      <w:r>
        <w:t xml:space="preserve"> = –.37, 95% CI [–.50, –.21], suggesting that individuals who rated themselves as more conscientious tended to report lower levels of negative affect. </w:t>
      </w:r>
      <w:r>
        <w:t>SPP</w:t>
      </w:r>
      <w:r>
        <w:t xml:space="preserve"> was positively associated with negative affect, </w:t>
      </w:r>
      <w:r>
        <w:rPr>
          <w:rStyle w:val="Emphasis"/>
          <w:rFonts w:eastAsiaTheme="majorEastAsia"/>
        </w:rPr>
        <w:t>r</w:t>
      </w:r>
      <w:r>
        <w:t xml:space="preserve"> = .39, 95% CI [.24, .52], indicating that participants who perceived stronger external expectations to be perfect also reported more negative affect. Finally, conscientiousness and SPP were modestly but significantly negatively correlated, </w:t>
      </w:r>
      <w:r>
        <w:rPr>
          <w:rStyle w:val="Emphasis"/>
          <w:rFonts w:eastAsiaTheme="majorEastAsia"/>
        </w:rPr>
        <w:t>r</w:t>
      </w:r>
      <w:r>
        <w:t xml:space="preserve"> = –.20, 95% CI [–.36, –.04</w:t>
      </w:r>
      <w:r w:rsidR="005F4D0B">
        <w:t>], reflecting</w:t>
      </w:r>
      <w:r w:rsidR="0099461B">
        <w:t xml:space="preserve"> some conceptual overlap but also distinctiveness between these personality traits.</w:t>
      </w:r>
    </w:p>
    <w:p w14:paraId="4F7D3E8D" w14:textId="09B693A1" w:rsidR="00736709" w:rsidRPr="00736709" w:rsidRDefault="00736709" w:rsidP="00736709">
      <w:pPr>
        <w:spacing w:line="480" w:lineRule="auto"/>
        <w:rPr>
          <w:rFonts w:asciiTheme="majorBidi" w:hAnsiTheme="majorBidi" w:cstheme="majorBidi"/>
          <w:kern w:val="2"/>
        </w:rPr>
      </w:pPr>
      <w:r w:rsidRPr="00736709">
        <w:rPr>
          <w:b/>
          <w:bCs/>
          <w:lang w:val="en-US"/>
        </w:rPr>
        <w:t xml:space="preserve">Table </w:t>
      </w:r>
      <w:r w:rsidRPr="00736709">
        <w:rPr>
          <w:b/>
          <w:bCs/>
          <w:lang w:val="en-US"/>
        </w:rPr>
        <w:t>1</w:t>
      </w:r>
      <w:r>
        <w:rPr>
          <w:lang w:val="en-US"/>
        </w:rPr>
        <w:t xml:space="preserve"> </w:t>
      </w:r>
    </w:p>
    <w:p w14:paraId="12D58A0E" w14:textId="77777777" w:rsidR="00736709" w:rsidRDefault="00736709" w:rsidP="00736709">
      <w:pPr>
        <w:widowControl w:val="0"/>
        <w:autoSpaceDE w:val="0"/>
        <w:autoSpaceDN w:val="0"/>
        <w:adjustRightInd w:val="0"/>
        <w:rPr>
          <w:i/>
          <w:iCs/>
          <w:lang w:val="en-US"/>
        </w:rPr>
      </w:pPr>
      <w:r>
        <w:rPr>
          <w:i/>
          <w:iCs/>
          <w:lang w:val="en-US"/>
        </w:rPr>
        <w:t>Means, standard deviations, and correlations with confidence intervals</w:t>
      </w:r>
    </w:p>
    <w:p w14:paraId="251E04F8" w14:textId="77777777" w:rsidR="00736709" w:rsidRDefault="00736709" w:rsidP="00736709">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736709" w14:paraId="0FA0C27E" w14:textId="77777777" w:rsidTr="00706618">
        <w:tblPrEx>
          <w:tblCellMar>
            <w:top w:w="0" w:type="dxa"/>
            <w:bottom w:w="0" w:type="dxa"/>
          </w:tblCellMar>
        </w:tblPrEx>
        <w:tc>
          <w:tcPr>
            <w:tcW w:w="1835" w:type="dxa"/>
            <w:tcBorders>
              <w:top w:val="single" w:sz="6" w:space="0" w:color="auto"/>
              <w:left w:val="nil"/>
              <w:bottom w:val="nil"/>
              <w:right w:val="nil"/>
            </w:tcBorders>
            <w:vAlign w:val="center"/>
          </w:tcPr>
          <w:p w14:paraId="0BB15552" w14:textId="77777777" w:rsidR="00736709" w:rsidRDefault="00736709" w:rsidP="00706618">
            <w:pPr>
              <w:widowControl w:val="0"/>
              <w:autoSpaceDE w:val="0"/>
              <w:autoSpaceDN w:val="0"/>
              <w:adjustRightInd w:val="0"/>
              <w:rPr>
                <w:lang w:val="en-US"/>
              </w:rPr>
            </w:pPr>
            <w:r>
              <w:rPr>
                <w:lang w:val="en-US"/>
              </w:rPr>
              <w:t>Variable</w:t>
            </w:r>
          </w:p>
        </w:tc>
        <w:tc>
          <w:tcPr>
            <w:tcW w:w="1225" w:type="dxa"/>
            <w:tcBorders>
              <w:top w:val="single" w:sz="6" w:space="0" w:color="auto"/>
              <w:left w:val="nil"/>
              <w:bottom w:val="nil"/>
              <w:right w:val="nil"/>
            </w:tcBorders>
            <w:vAlign w:val="center"/>
          </w:tcPr>
          <w:p w14:paraId="2D22D93F" w14:textId="77777777" w:rsidR="00736709" w:rsidRDefault="00736709" w:rsidP="00706618">
            <w:pPr>
              <w:widowControl w:val="0"/>
              <w:autoSpaceDE w:val="0"/>
              <w:autoSpaceDN w:val="0"/>
              <w:adjustRightInd w:val="0"/>
              <w:jc w:val="center"/>
              <w:rPr>
                <w:lang w:val="en-US"/>
              </w:rPr>
            </w:pPr>
            <w:r>
              <w:rPr>
                <w:i/>
                <w:iCs/>
                <w:lang w:val="en-US"/>
              </w:rPr>
              <w:t>M</w:t>
            </w:r>
          </w:p>
        </w:tc>
        <w:tc>
          <w:tcPr>
            <w:tcW w:w="1224" w:type="dxa"/>
            <w:tcBorders>
              <w:top w:val="single" w:sz="6" w:space="0" w:color="auto"/>
              <w:left w:val="nil"/>
              <w:bottom w:val="nil"/>
              <w:right w:val="nil"/>
            </w:tcBorders>
            <w:vAlign w:val="center"/>
          </w:tcPr>
          <w:p w14:paraId="2CF5110B" w14:textId="77777777" w:rsidR="00736709" w:rsidRDefault="00736709" w:rsidP="00706618">
            <w:pPr>
              <w:widowControl w:val="0"/>
              <w:autoSpaceDE w:val="0"/>
              <w:autoSpaceDN w:val="0"/>
              <w:adjustRightInd w:val="0"/>
              <w:jc w:val="center"/>
              <w:rPr>
                <w:lang w:val="en-US"/>
              </w:rPr>
            </w:pPr>
            <w:r>
              <w:rPr>
                <w:i/>
                <w:iCs/>
                <w:lang w:val="en-US"/>
              </w:rPr>
              <w:t>SD</w:t>
            </w:r>
          </w:p>
        </w:tc>
        <w:tc>
          <w:tcPr>
            <w:tcW w:w="1224" w:type="dxa"/>
            <w:tcBorders>
              <w:top w:val="single" w:sz="6" w:space="0" w:color="auto"/>
              <w:left w:val="nil"/>
              <w:bottom w:val="nil"/>
              <w:right w:val="nil"/>
            </w:tcBorders>
            <w:vAlign w:val="center"/>
          </w:tcPr>
          <w:p w14:paraId="509B8D97" w14:textId="77777777" w:rsidR="00736709" w:rsidRDefault="00736709" w:rsidP="00706618">
            <w:pPr>
              <w:widowControl w:val="0"/>
              <w:autoSpaceDE w:val="0"/>
              <w:autoSpaceDN w:val="0"/>
              <w:adjustRightInd w:val="0"/>
              <w:jc w:val="center"/>
              <w:rPr>
                <w:lang w:val="en-US"/>
              </w:rPr>
            </w:pPr>
            <w:r>
              <w:rPr>
                <w:lang w:val="en-US"/>
              </w:rPr>
              <w:t>1</w:t>
            </w:r>
          </w:p>
        </w:tc>
        <w:tc>
          <w:tcPr>
            <w:tcW w:w="1224" w:type="dxa"/>
            <w:tcBorders>
              <w:top w:val="single" w:sz="6" w:space="0" w:color="auto"/>
              <w:left w:val="nil"/>
              <w:bottom w:val="nil"/>
              <w:right w:val="nil"/>
            </w:tcBorders>
            <w:vAlign w:val="center"/>
          </w:tcPr>
          <w:p w14:paraId="7A93B557" w14:textId="77777777" w:rsidR="00736709" w:rsidRDefault="00736709" w:rsidP="00706618">
            <w:pPr>
              <w:widowControl w:val="0"/>
              <w:autoSpaceDE w:val="0"/>
              <w:autoSpaceDN w:val="0"/>
              <w:adjustRightInd w:val="0"/>
              <w:jc w:val="center"/>
              <w:rPr>
                <w:lang w:val="en-US"/>
              </w:rPr>
            </w:pPr>
            <w:r>
              <w:rPr>
                <w:lang w:val="en-US"/>
              </w:rPr>
              <w:t>2</w:t>
            </w:r>
          </w:p>
        </w:tc>
      </w:tr>
      <w:tr w:rsidR="00736709" w14:paraId="4ADAB551" w14:textId="77777777" w:rsidTr="00706618">
        <w:tblPrEx>
          <w:tblCellMar>
            <w:top w:w="0" w:type="dxa"/>
            <w:bottom w:w="0" w:type="dxa"/>
          </w:tblCellMar>
        </w:tblPrEx>
        <w:tc>
          <w:tcPr>
            <w:tcW w:w="1835" w:type="dxa"/>
            <w:tcBorders>
              <w:top w:val="single" w:sz="6" w:space="0" w:color="auto"/>
              <w:left w:val="nil"/>
              <w:bottom w:val="nil"/>
              <w:right w:val="nil"/>
            </w:tcBorders>
            <w:vAlign w:val="center"/>
          </w:tcPr>
          <w:p w14:paraId="2552273A" w14:textId="77777777" w:rsidR="00736709" w:rsidRDefault="00736709" w:rsidP="00706618">
            <w:pPr>
              <w:widowControl w:val="0"/>
              <w:autoSpaceDE w:val="0"/>
              <w:autoSpaceDN w:val="0"/>
              <w:adjustRightInd w:val="0"/>
              <w:rPr>
                <w:lang w:val="en-US"/>
              </w:rPr>
            </w:pPr>
          </w:p>
        </w:tc>
        <w:tc>
          <w:tcPr>
            <w:tcW w:w="1225" w:type="dxa"/>
            <w:tcBorders>
              <w:top w:val="single" w:sz="6" w:space="0" w:color="auto"/>
              <w:left w:val="nil"/>
              <w:bottom w:val="nil"/>
              <w:right w:val="nil"/>
            </w:tcBorders>
            <w:vAlign w:val="center"/>
          </w:tcPr>
          <w:p w14:paraId="5BB7B289" w14:textId="77777777" w:rsidR="00736709" w:rsidRDefault="00736709" w:rsidP="0070661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31492323" w14:textId="77777777" w:rsidR="00736709" w:rsidRDefault="00736709" w:rsidP="0070661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5DD5C8BC" w14:textId="77777777" w:rsidR="00736709" w:rsidRDefault="00736709" w:rsidP="00706618">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6D82B806" w14:textId="77777777" w:rsidR="00736709" w:rsidRDefault="00736709" w:rsidP="00706618">
            <w:pPr>
              <w:widowControl w:val="0"/>
              <w:tabs>
                <w:tab w:val="decimal" w:leader="dot" w:pos="428"/>
              </w:tabs>
              <w:autoSpaceDE w:val="0"/>
              <w:autoSpaceDN w:val="0"/>
              <w:adjustRightInd w:val="0"/>
              <w:rPr>
                <w:lang w:val="en-US"/>
              </w:rPr>
            </w:pPr>
          </w:p>
        </w:tc>
      </w:tr>
      <w:tr w:rsidR="00736709" w14:paraId="7840D704" w14:textId="77777777" w:rsidTr="00706618">
        <w:tblPrEx>
          <w:tblCellMar>
            <w:top w:w="0" w:type="dxa"/>
            <w:bottom w:w="0" w:type="dxa"/>
          </w:tblCellMar>
        </w:tblPrEx>
        <w:tc>
          <w:tcPr>
            <w:tcW w:w="1835" w:type="dxa"/>
            <w:tcBorders>
              <w:top w:val="nil"/>
              <w:left w:val="nil"/>
              <w:bottom w:val="nil"/>
              <w:right w:val="nil"/>
            </w:tcBorders>
            <w:vAlign w:val="center"/>
          </w:tcPr>
          <w:p w14:paraId="436AB6EC" w14:textId="77777777" w:rsidR="00736709" w:rsidRDefault="00736709" w:rsidP="00706618">
            <w:pPr>
              <w:widowControl w:val="0"/>
              <w:autoSpaceDE w:val="0"/>
              <w:autoSpaceDN w:val="0"/>
              <w:adjustRightInd w:val="0"/>
              <w:rPr>
                <w:lang w:val="en-US"/>
              </w:rPr>
            </w:pPr>
            <w:r>
              <w:rPr>
                <w:lang w:val="en-US"/>
              </w:rPr>
              <w:lastRenderedPageBreak/>
              <w:t xml:space="preserve">1. </w:t>
            </w:r>
            <w:proofErr w:type="spellStart"/>
            <w:r>
              <w:rPr>
                <w:lang w:val="en-US"/>
              </w:rPr>
              <w:t>NA_total</w:t>
            </w:r>
            <w:proofErr w:type="spellEnd"/>
          </w:p>
        </w:tc>
        <w:tc>
          <w:tcPr>
            <w:tcW w:w="1225" w:type="dxa"/>
            <w:tcBorders>
              <w:top w:val="nil"/>
              <w:left w:val="nil"/>
              <w:bottom w:val="nil"/>
              <w:right w:val="nil"/>
            </w:tcBorders>
            <w:vAlign w:val="center"/>
          </w:tcPr>
          <w:p w14:paraId="6FF8550C" w14:textId="77777777" w:rsidR="00736709" w:rsidRDefault="00736709" w:rsidP="00706618">
            <w:pPr>
              <w:widowControl w:val="0"/>
              <w:tabs>
                <w:tab w:val="decimal" w:leader="dot" w:pos="428"/>
              </w:tabs>
              <w:autoSpaceDE w:val="0"/>
              <w:autoSpaceDN w:val="0"/>
              <w:adjustRightInd w:val="0"/>
              <w:rPr>
                <w:lang w:val="en-US"/>
              </w:rPr>
            </w:pPr>
            <w:r>
              <w:rPr>
                <w:lang w:val="en-US"/>
              </w:rPr>
              <w:t>2.45</w:t>
            </w:r>
          </w:p>
        </w:tc>
        <w:tc>
          <w:tcPr>
            <w:tcW w:w="1224" w:type="dxa"/>
            <w:tcBorders>
              <w:top w:val="nil"/>
              <w:left w:val="nil"/>
              <w:bottom w:val="nil"/>
              <w:right w:val="nil"/>
            </w:tcBorders>
            <w:vAlign w:val="center"/>
          </w:tcPr>
          <w:p w14:paraId="24E39AFB" w14:textId="77777777" w:rsidR="00736709" w:rsidRDefault="00736709" w:rsidP="00706618">
            <w:pPr>
              <w:widowControl w:val="0"/>
              <w:tabs>
                <w:tab w:val="decimal" w:leader="dot" w:pos="428"/>
              </w:tabs>
              <w:autoSpaceDE w:val="0"/>
              <w:autoSpaceDN w:val="0"/>
              <w:adjustRightInd w:val="0"/>
              <w:rPr>
                <w:lang w:val="en-US"/>
              </w:rPr>
            </w:pPr>
            <w:r>
              <w:rPr>
                <w:lang w:val="en-US"/>
              </w:rPr>
              <w:t>0.99</w:t>
            </w:r>
          </w:p>
        </w:tc>
        <w:tc>
          <w:tcPr>
            <w:tcW w:w="1224" w:type="dxa"/>
            <w:tcBorders>
              <w:top w:val="nil"/>
              <w:left w:val="nil"/>
              <w:bottom w:val="nil"/>
              <w:right w:val="nil"/>
            </w:tcBorders>
            <w:vAlign w:val="center"/>
          </w:tcPr>
          <w:p w14:paraId="4ABD5F22"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5DF76DEC"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6CF663E2" w14:textId="77777777" w:rsidTr="00706618">
        <w:tblPrEx>
          <w:tblCellMar>
            <w:top w:w="0" w:type="dxa"/>
            <w:bottom w:w="0" w:type="dxa"/>
          </w:tblCellMar>
        </w:tblPrEx>
        <w:tc>
          <w:tcPr>
            <w:tcW w:w="1835" w:type="dxa"/>
            <w:tcBorders>
              <w:top w:val="nil"/>
              <w:left w:val="nil"/>
              <w:bottom w:val="nil"/>
              <w:right w:val="nil"/>
            </w:tcBorders>
            <w:vAlign w:val="center"/>
          </w:tcPr>
          <w:p w14:paraId="6A859DF3"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230969E4"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B3017E9"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F121572"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3CD7B0D"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187CE881" w14:textId="77777777" w:rsidTr="00706618">
        <w:tblPrEx>
          <w:tblCellMar>
            <w:top w:w="0" w:type="dxa"/>
            <w:bottom w:w="0" w:type="dxa"/>
          </w:tblCellMar>
        </w:tblPrEx>
        <w:tc>
          <w:tcPr>
            <w:tcW w:w="1835" w:type="dxa"/>
            <w:tcBorders>
              <w:top w:val="nil"/>
              <w:left w:val="nil"/>
              <w:bottom w:val="nil"/>
              <w:right w:val="nil"/>
            </w:tcBorders>
            <w:vAlign w:val="center"/>
          </w:tcPr>
          <w:p w14:paraId="4362BDDA" w14:textId="77777777" w:rsidR="00736709" w:rsidRDefault="00736709" w:rsidP="00706618">
            <w:pPr>
              <w:widowControl w:val="0"/>
              <w:autoSpaceDE w:val="0"/>
              <w:autoSpaceDN w:val="0"/>
              <w:adjustRightInd w:val="0"/>
              <w:rPr>
                <w:lang w:val="en-US"/>
              </w:rPr>
            </w:pPr>
            <w:r>
              <w:rPr>
                <w:lang w:val="en-US"/>
              </w:rPr>
              <w:t xml:space="preserve">2. </w:t>
            </w:r>
            <w:proofErr w:type="spellStart"/>
            <w:r>
              <w:rPr>
                <w:lang w:val="en-US"/>
              </w:rPr>
              <w:t>CONS_total</w:t>
            </w:r>
            <w:proofErr w:type="spellEnd"/>
          </w:p>
        </w:tc>
        <w:tc>
          <w:tcPr>
            <w:tcW w:w="1225" w:type="dxa"/>
            <w:tcBorders>
              <w:top w:val="nil"/>
              <w:left w:val="nil"/>
              <w:bottom w:val="nil"/>
              <w:right w:val="nil"/>
            </w:tcBorders>
            <w:vAlign w:val="center"/>
          </w:tcPr>
          <w:p w14:paraId="3E1A2B7D" w14:textId="77777777" w:rsidR="00736709" w:rsidRDefault="00736709" w:rsidP="00706618">
            <w:pPr>
              <w:widowControl w:val="0"/>
              <w:tabs>
                <w:tab w:val="decimal" w:leader="dot" w:pos="428"/>
              </w:tabs>
              <w:autoSpaceDE w:val="0"/>
              <w:autoSpaceDN w:val="0"/>
              <w:adjustRightInd w:val="0"/>
              <w:rPr>
                <w:lang w:val="en-US"/>
              </w:rPr>
            </w:pPr>
            <w:r>
              <w:rPr>
                <w:lang w:val="en-US"/>
              </w:rPr>
              <w:t>5.05</w:t>
            </w:r>
          </w:p>
        </w:tc>
        <w:tc>
          <w:tcPr>
            <w:tcW w:w="1224" w:type="dxa"/>
            <w:tcBorders>
              <w:top w:val="nil"/>
              <w:left w:val="nil"/>
              <w:bottom w:val="nil"/>
              <w:right w:val="nil"/>
            </w:tcBorders>
            <w:vAlign w:val="center"/>
          </w:tcPr>
          <w:p w14:paraId="0D032558" w14:textId="77777777" w:rsidR="00736709" w:rsidRDefault="00736709" w:rsidP="00706618">
            <w:pPr>
              <w:widowControl w:val="0"/>
              <w:tabs>
                <w:tab w:val="decimal" w:leader="dot" w:pos="428"/>
              </w:tabs>
              <w:autoSpaceDE w:val="0"/>
              <w:autoSpaceDN w:val="0"/>
              <w:adjustRightInd w:val="0"/>
              <w:rPr>
                <w:lang w:val="en-US"/>
              </w:rPr>
            </w:pPr>
            <w:r>
              <w:rPr>
                <w:lang w:val="en-US"/>
              </w:rPr>
              <w:t>1.27</w:t>
            </w:r>
          </w:p>
        </w:tc>
        <w:tc>
          <w:tcPr>
            <w:tcW w:w="1224" w:type="dxa"/>
            <w:tcBorders>
              <w:top w:val="nil"/>
              <w:left w:val="nil"/>
              <w:bottom w:val="nil"/>
              <w:right w:val="nil"/>
            </w:tcBorders>
            <w:vAlign w:val="center"/>
          </w:tcPr>
          <w:p w14:paraId="4CBC46A8" w14:textId="77777777" w:rsidR="00736709" w:rsidRDefault="00736709" w:rsidP="00706618">
            <w:pPr>
              <w:widowControl w:val="0"/>
              <w:tabs>
                <w:tab w:val="decimal" w:leader="dot" w:pos="428"/>
              </w:tabs>
              <w:autoSpaceDE w:val="0"/>
              <w:autoSpaceDN w:val="0"/>
              <w:adjustRightInd w:val="0"/>
              <w:rPr>
                <w:lang w:val="en-US"/>
              </w:rPr>
            </w:pPr>
            <w:r>
              <w:rPr>
                <w:lang w:val="en-US"/>
              </w:rPr>
              <w:t>-.37**</w:t>
            </w:r>
          </w:p>
        </w:tc>
        <w:tc>
          <w:tcPr>
            <w:tcW w:w="1224" w:type="dxa"/>
            <w:tcBorders>
              <w:top w:val="nil"/>
              <w:left w:val="nil"/>
              <w:bottom w:val="nil"/>
              <w:right w:val="nil"/>
            </w:tcBorders>
            <w:vAlign w:val="center"/>
          </w:tcPr>
          <w:p w14:paraId="6DEF82E1"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06FF284E" w14:textId="77777777" w:rsidTr="00706618">
        <w:tblPrEx>
          <w:tblCellMar>
            <w:top w:w="0" w:type="dxa"/>
            <w:bottom w:w="0" w:type="dxa"/>
          </w:tblCellMar>
        </w:tblPrEx>
        <w:tc>
          <w:tcPr>
            <w:tcW w:w="1835" w:type="dxa"/>
            <w:tcBorders>
              <w:top w:val="nil"/>
              <w:left w:val="nil"/>
              <w:bottom w:val="nil"/>
              <w:right w:val="nil"/>
            </w:tcBorders>
            <w:vAlign w:val="center"/>
          </w:tcPr>
          <w:p w14:paraId="0AF04C99"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3FB731BE"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1FC2DA6"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2701B29" w14:textId="77777777" w:rsidR="00736709" w:rsidRDefault="00736709" w:rsidP="00706618">
            <w:pPr>
              <w:widowControl w:val="0"/>
              <w:tabs>
                <w:tab w:val="decimal" w:leader="dot" w:pos="428"/>
              </w:tabs>
              <w:autoSpaceDE w:val="0"/>
              <w:autoSpaceDN w:val="0"/>
              <w:adjustRightInd w:val="0"/>
              <w:rPr>
                <w:lang w:val="en-US"/>
              </w:rPr>
            </w:pPr>
            <w:r>
              <w:rPr>
                <w:sz w:val="20"/>
                <w:szCs w:val="20"/>
                <w:lang w:val="en-US"/>
              </w:rPr>
              <w:t>[-.50, -.21]</w:t>
            </w:r>
          </w:p>
        </w:tc>
        <w:tc>
          <w:tcPr>
            <w:tcW w:w="1224" w:type="dxa"/>
            <w:tcBorders>
              <w:top w:val="nil"/>
              <w:left w:val="nil"/>
              <w:bottom w:val="nil"/>
              <w:right w:val="nil"/>
            </w:tcBorders>
            <w:vAlign w:val="center"/>
          </w:tcPr>
          <w:p w14:paraId="51CED646"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4373D337" w14:textId="77777777" w:rsidTr="00706618">
        <w:tblPrEx>
          <w:tblCellMar>
            <w:top w:w="0" w:type="dxa"/>
            <w:bottom w:w="0" w:type="dxa"/>
          </w:tblCellMar>
        </w:tblPrEx>
        <w:tc>
          <w:tcPr>
            <w:tcW w:w="1835" w:type="dxa"/>
            <w:tcBorders>
              <w:top w:val="nil"/>
              <w:left w:val="nil"/>
              <w:bottom w:val="nil"/>
              <w:right w:val="nil"/>
            </w:tcBorders>
            <w:vAlign w:val="center"/>
          </w:tcPr>
          <w:p w14:paraId="05B9E8E5"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48284147"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B5D2173"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ED91EC1"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A7DB41E"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r w:rsidR="00736709" w14:paraId="68A8E1D6" w14:textId="77777777" w:rsidTr="00706618">
        <w:tblPrEx>
          <w:tblCellMar>
            <w:top w:w="0" w:type="dxa"/>
            <w:bottom w:w="0" w:type="dxa"/>
          </w:tblCellMar>
        </w:tblPrEx>
        <w:tc>
          <w:tcPr>
            <w:tcW w:w="1835" w:type="dxa"/>
            <w:tcBorders>
              <w:top w:val="nil"/>
              <w:left w:val="nil"/>
              <w:bottom w:val="nil"/>
              <w:right w:val="nil"/>
            </w:tcBorders>
            <w:vAlign w:val="center"/>
          </w:tcPr>
          <w:p w14:paraId="4D7AC99C" w14:textId="77777777" w:rsidR="00736709" w:rsidRDefault="00736709" w:rsidP="00706618">
            <w:pPr>
              <w:widowControl w:val="0"/>
              <w:autoSpaceDE w:val="0"/>
              <w:autoSpaceDN w:val="0"/>
              <w:adjustRightInd w:val="0"/>
              <w:rPr>
                <w:lang w:val="en-US"/>
              </w:rPr>
            </w:pPr>
            <w:r>
              <w:rPr>
                <w:lang w:val="en-US"/>
              </w:rPr>
              <w:t xml:space="preserve">3. </w:t>
            </w:r>
            <w:proofErr w:type="spellStart"/>
            <w:r>
              <w:rPr>
                <w:lang w:val="en-US"/>
              </w:rPr>
              <w:t>SPP_total</w:t>
            </w:r>
            <w:proofErr w:type="spellEnd"/>
          </w:p>
        </w:tc>
        <w:tc>
          <w:tcPr>
            <w:tcW w:w="1225" w:type="dxa"/>
            <w:tcBorders>
              <w:top w:val="nil"/>
              <w:left w:val="nil"/>
              <w:bottom w:val="nil"/>
              <w:right w:val="nil"/>
            </w:tcBorders>
            <w:vAlign w:val="center"/>
          </w:tcPr>
          <w:p w14:paraId="7A953D56" w14:textId="77777777" w:rsidR="00736709" w:rsidRDefault="00736709" w:rsidP="00706618">
            <w:pPr>
              <w:widowControl w:val="0"/>
              <w:tabs>
                <w:tab w:val="decimal" w:leader="dot" w:pos="428"/>
              </w:tabs>
              <w:autoSpaceDE w:val="0"/>
              <w:autoSpaceDN w:val="0"/>
              <w:adjustRightInd w:val="0"/>
              <w:rPr>
                <w:lang w:val="en-US"/>
              </w:rPr>
            </w:pPr>
            <w:r>
              <w:rPr>
                <w:lang w:val="en-US"/>
              </w:rPr>
              <w:t>4.42</w:t>
            </w:r>
          </w:p>
        </w:tc>
        <w:tc>
          <w:tcPr>
            <w:tcW w:w="1224" w:type="dxa"/>
            <w:tcBorders>
              <w:top w:val="nil"/>
              <w:left w:val="nil"/>
              <w:bottom w:val="nil"/>
              <w:right w:val="nil"/>
            </w:tcBorders>
            <w:vAlign w:val="center"/>
          </w:tcPr>
          <w:p w14:paraId="4A5EFA03" w14:textId="77777777" w:rsidR="00736709" w:rsidRDefault="00736709" w:rsidP="00706618">
            <w:pPr>
              <w:widowControl w:val="0"/>
              <w:tabs>
                <w:tab w:val="decimal" w:leader="dot" w:pos="428"/>
              </w:tabs>
              <w:autoSpaceDE w:val="0"/>
              <w:autoSpaceDN w:val="0"/>
              <w:adjustRightInd w:val="0"/>
              <w:rPr>
                <w:lang w:val="en-US"/>
              </w:rPr>
            </w:pPr>
            <w:r>
              <w:rPr>
                <w:lang w:val="en-US"/>
              </w:rPr>
              <w:t>1.44</w:t>
            </w:r>
          </w:p>
        </w:tc>
        <w:tc>
          <w:tcPr>
            <w:tcW w:w="1224" w:type="dxa"/>
            <w:tcBorders>
              <w:top w:val="nil"/>
              <w:left w:val="nil"/>
              <w:bottom w:val="nil"/>
              <w:right w:val="nil"/>
            </w:tcBorders>
            <w:vAlign w:val="center"/>
          </w:tcPr>
          <w:p w14:paraId="38AA22FA" w14:textId="77777777" w:rsidR="00736709" w:rsidRDefault="00736709" w:rsidP="00706618">
            <w:pPr>
              <w:widowControl w:val="0"/>
              <w:tabs>
                <w:tab w:val="decimal" w:leader="dot" w:pos="428"/>
              </w:tabs>
              <w:autoSpaceDE w:val="0"/>
              <w:autoSpaceDN w:val="0"/>
              <w:adjustRightInd w:val="0"/>
              <w:rPr>
                <w:lang w:val="en-US"/>
              </w:rPr>
            </w:pPr>
            <w:r>
              <w:rPr>
                <w:lang w:val="en-US"/>
              </w:rPr>
              <w:t>.39**</w:t>
            </w:r>
          </w:p>
        </w:tc>
        <w:tc>
          <w:tcPr>
            <w:tcW w:w="1224" w:type="dxa"/>
            <w:tcBorders>
              <w:top w:val="nil"/>
              <w:left w:val="nil"/>
              <w:bottom w:val="nil"/>
              <w:right w:val="nil"/>
            </w:tcBorders>
            <w:vAlign w:val="center"/>
          </w:tcPr>
          <w:p w14:paraId="720C9B25" w14:textId="77777777" w:rsidR="00736709" w:rsidRDefault="00736709" w:rsidP="00706618">
            <w:pPr>
              <w:widowControl w:val="0"/>
              <w:tabs>
                <w:tab w:val="decimal" w:leader="dot" w:pos="428"/>
              </w:tabs>
              <w:autoSpaceDE w:val="0"/>
              <w:autoSpaceDN w:val="0"/>
              <w:adjustRightInd w:val="0"/>
              <w:rPr>
                <w:lang w:val="en-US"/>
              </w:rPr>
            </w:pPr>
            <w:r>
              <w:rPr>
                <w:lang w:val="en-US"/>
              </w:rPr>
              <w:t>-.20*</w:t>
            </w:r>
          </w:p>
        </w:tc>
      </w:tr>
      <w:tr w:rsidR="00736709" w14:paraId="19DDC419" w14:textId="77777777" w:rsidTr="00706618">
        <w:tblPrEx>
          <w:tblCellMar>
            <w:top w:w="0" w:type="dxa"/>
            <w:bottom w:w="0" w:type="dxa"/>
          </w:tblCellMar>
        </w:tblPrEx>
        <w:tc>
          <w:tcPr>
            <w:tcW w:w="1835" w:type="dxa"/>
            <w:tcBorders>
              <w:top w:val="nil"/>
              <w:left w:val="nil"/>
              <w:bottom w:val="nil"/>
              <w:right w:val="nil"/>
            </w:tcBorders>
            <w:vAlign w:val="center"/>
          </w:tcPr>
          <w:p w14:paraId="31ECB146"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60599ECC"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692DE62D"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20E44609" w14:textId="77777777" w:rsidR="00736709" w:rsidRDefault="00736709" w:rsidP="00706618">
            <w:pPr>
              <w:widowControl w:val="0"/>
              <w:tabs>
                <w:tab w:val="decimal" w:leader="dot" w:pos="428"/>
              </w:tabs>
              <w:autoSpaceDE w:val="0"/>
              <w:autoSpaceDN w:val="0"/>
              <w:adjustRightInd w:val="0"/>
              <w:rPr>
                <w:lang w:val="en-US"/>
              </w:rPr>
            </w:pPr>
            <w:r>
              <w:rPr>
                <w:sz w:val="20"/>
                <w:szCs w:val="20"/>
                <w:lang w:val="en-US"/>
              </w:rPr>
              <w:t>[.24, .52]</w:t>
            </w:r>
          </w:p>
        </w:tc>
        <w:tc>
          <w:tcPr>
            <w:tcW w:w="1224" w:type="dxa"/>
            <w:tcBorders>
              <w:top w:val="nil"/>
              <w:left w:val="nil"/>
              <w:bottom w:val="nil"/>
              <w:right w:val="nil"/>
            </w:tcBorders>
            <w:vAlign w:val="center"/>
          </w:tcPr>
          <w:p w14:paraId="705F7A25" w14:textId="77777777" w:rsidR="00736709" w:rsidRDefault="00736709" w:rsidP="00706618">
            <w:pPr>
              <w:widowControl w:val="0"/>
              <w:tabs>
                <w:tab w:val="decimal" w:leader="dot" w:pos="428"/>
              </w:tabs>
              <w:autoSpaceDE w:val="0"/>
              <w:autoSpaceDN w:val="0"/>
              <w:adjustRightInd w:val="0"/>
              <w:rPr>
                <w:lang w:val="en-US"/>
              </w:rPr>
            </w:pPr>
            <w:r>
              <w:rPr>
                <w:sz w:val="20"/>
                <w:szCs w:val="20"/>
                <w:lang w:val="en-US"/>
              </w:rPr>
              <w:t>[-.36, -.04]</w:t>
            </w:r>
          </w:p>
        </w:tc>
      </w:tr>
      <w:tr w:rsidR="00736709" w14:paraId="26A8C8B1" w14:textId="77777777" w:rsidTr="00706618">
        <w:tblPrEx>
          <w:tblCellMar>
            <w:top w:w="0" w:type="dxa"/>
            <w:bottom w:w="0" w:type="dxa"/>
          </w:tblCellMar>
        </w:tblPrEx>
        <w:tc>
          <w:tcPr>
            <w:tcW w:w="1835" w:type="dxa"/>
            <w:tcBorders>
              <w:top w:val="nil"/>
              <w:left w:val="nil"/>
              <w:bottom w:val="single" w:sz="6" w:space="0" w:color="auto"/>
              <w:right w:val="nil"/>
            </w:tcBorders>
            <w:vAlign w:val="center"/>
          </w:tcPr>
          <w:p w14:paraId="6BB8A0B6" w14:textId="77777777" w:rsidR="00736709" w:rsidRDefault="00736709" w:rsidP="00706618">
            <w:pPr>
              <w:widowControl w:val="0"/>
              <w:autoSpaceDE w:val="0"/>
              <w:autoSpaceDN w:val="0"/>
              <w:adjustRightInd w:val="0"/>
              <w:rPr>
                <w:lang w:val="en-US"/>
              </w:rPr>
            </w:pPr>
            <w:r>
              <w:rPr>
                <w:lang w:val="en-US"/>
              </w:rPr>
              <w:t xml:space="preserve"> </w:t>
            </w:r>
          </w:p>
        </w:tc>
        <w:tc>
          <w:tcPr>
            <w:tcW w:w="1225" w:type="dxa"/>
            <w:tcBorders>
              <w:top w:val="nil"/>
              <w:left w:val="nil"/>
              <w:bottom w:val="single" w:sz="6" w:space="0" w:color="auto"/>
              <w:right w:val="nil"/>
            </w:tcBorders>
            <w:vAlign w:val="center"/>
          </w:tcPr>
          <w:p w14:paraId="24FA57B6"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3303A2AE"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2D84C494"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597633A9" w14:textId="77777777" w:rsidR="00736709" w:rsidRDefault="00736709" w:rsidP="00706618">
            <w:pPr>
              <w:widowControl w:val="0"/>
              <w:tabs>
                <w:tab w:val="decimal" w:leader="dot" w:pos="428"/>
              </w:tabs>
              <w:autoSpaceDE w:val="0"/>
              <w:autoSpaceDN w:val="0"/>
              <w:adjustRightInd w:val="0"/>
              <w:rPr>
                <w:lang w:val="en-US"/>
              </w:rPr>
            </w:pPr>
            <w:r>
              <w:rPr>
                <w:lang w:val="en-US"/>
              </w:rPr>
              <w:t xml:space="preserve"> </w:t>
            </w:r>
          </w:p>
        </w:tc>
      </w:tr>
    </w:tbl>
    <w:p w14:paraId="3427F02A" w14:textId="77777777" w:rsidR="00736709" w:rsidRDefault="00736709" w:rsidP="00736709">
      <w:pPr>
        <w:widowControl w:val="0"/>
        <w:autoSpaceDE w:val="0"/>
        <w:autoSpaceDN w:val="0"/>
        <w:adjustRightInd w:val="0"/>
        <w:rPr>
          <w:lang w:val="en-US"/>
        </w:rPr>
      </w:pPr>
    </w:p>
    <w:p w14:paraId="7B354822" w14:textId="77777777" w:rsidR="00736709" w:rsidRDefault="00736709" w:rsidP="00736709">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2CDA4E5E" w14:textId="77777777" w:rsidR="000B684E" w:rsidRPr="000B684E" w:rsidRDefault="000B684E" w:rsidP="00381582">
      <w:pPr>
        <w:widowControl w:val="0"/>
        <w:autoSpaceDE w:val="0"/>
        <w:autoSpaceDN w:val="0"/>
        <w:adjustRightInd w:val="0"/>
        <w:spacing w:line="480" w:lineRule="auto"/>
        <w:rPr>
          <w:lang w:val="en-US"/>
        </w:rPr>
      </w:pPr>
    </w:p>
    <w:p w14:paraId="4889576D" w14:textId="763E6DB9" w:rsidR="0099461B" w:rsidRDefault="0099461B" w:rsidP="000B684E">
      <w:pPr>
        <w:spacing w:line="480" w:lineRule="auto"/>
        <w:rPr>
          <w:b/>
          <w:bCs/>
        </w:rPr>
      </w:pPr>
      <w:r>
        <w:rPr>
          <w:b/>
          <w:bCs/>
        </w:rPr>
        <w:t xml:space="preserve">Univariate and Bivariate Visualizations </w:t>
      </w:r>
    </w:p>
    <w:p w14:paraId="0A091CF9" w14:textId="77777777" w:rsidR="000B684E" w:rsidRDefault="0099461B" w:rsidP="000B684E">
      <w:pPr>
        <w:spacing w:line="480" w:lineRule="auto"/>
      </w:pPr>
      <w:r>
        <w:rPr>
          <w:b/>
          <w:bCs/>
        </w:rPr>
        <w:tab/>
      </w:r>
      <w:r>
        <w:t xml:space="preserve">Univariate visualizations were used to examine the distribution of each key variable prior to hypothesis testing. </w:t>
      </w:r>
      <w:r w:rsidR="000B684E">
        <w:t xml:space="preserve">Univariate visualizations showed that </w:t>
      </w:r>
      <w:proofErr w:type="spellStart"/>
      <w:r w:rsidR="000B684E">
        <w:t>NA_total</w:t>
      </w:r>
      <w:proofErr w:type="spellEnd"/>
      <w:r w:rsidR="000B684E">
        <w:t xml:space="preserve"> was positively skewed, with most participants reporting lower levels of negative affect. </w:t>
      </w:r>
      <w:proofErr w:type="spellStart"/>
      <w:r w:rsidR="000B684E">
        <w:t>CONS_total</w:t>
      </w:r>
      <w:proofErr w:type="spellEnd"/>
      <w:r w:rsidR="000B684E">
        <w:t xml:space="preserve"> was negatively skewed, with scores clustering at the higher end, suggesting participants generally rated themselves as highly conscientious. </w:t>
      </w:r>
      <w:proofErr w:type="spellStart"/>
      <w:r w:rsidR="000B684E">
        <w:t>SPP_total</w:t>
      </w:r>
      <w:proofErr w:type="spellEnd"/>
      <w:r w:rsidR="000B684E">
        <w:t xml:space="preserve"> was roughly symmetric, with a slight right skew and more participants endorsing mid-to-high levels of socially prescribed perfectionism. The distribution of sex was highly imbalanced, with most identifying as female (coded 0). Overall, these patterns supported the use of linear modeling but flagged minor non-normality in </w:t>
      </w:r>
      <w:proofErr w:type="spellStart"/>
      <w:r w:rsidR="000B684E">
        <w:t>NA_total</w:t>
      </w:r>
      <w:proofErr w:type="spellEnd"/>
      <w:r w:rsidR="000B684E">
        <w:t xml:space="preserve"> and </w:t>
      </w:r>
      <w:proofErr w:type="spellStart"/>
      <w:r w:rsidR="000B684E">
        <w:t>CONS_total</w:t>
      </w:r>
      <w:proofErr w:type="spellEnd"/>
      <w:r w:rsidR="000B684E">
        <w:t xml:space="preserve"> for further evaluation in assumption testing.</w:t>
      </w:r>
    </w:p>
    <w:p w14:paraId="676FD7B1" w14:textId="3A23E962" w:rsidR="000B684E" w:rsidRDefault="0099461B" w:rsidP="000B684E">
      <w:pPr>
        <w:spacing w:line="480" w:lineRule="auto"/>
        <w:ind w:firstLine="720"/>
      </w:pPr>
      <w:r>
        <w:t>Bivariate visualizations were then used to assess the form and strength of relationships between each predictor and negative affect.</w:t>
      </w:r>
      <w:r>
        <w:t xml:space="preserve"> </w:t>
      </w:r>
      <w:r w:rsidR="000B684E">
        <w:t>Bivariate plots revealed a strong curvilinear negative relationship between conscientiousness and negative affect: lower conscientiousness was associated with higher negative affect, but this association weakened at higher levels of conscientiousness. In other words, increases in conscientiousness predicted notable reductions in negative affect at the low end of the scale, but had less impact as scores became higher</w:t>
      </w:r>
      <w:r w:rsidR="000B684E">
        <w:t xml:space="preserve">. </w:t>
      </w:r>
      <w:r w:rsidR="000B684E">
        <w:t xml:space="preserve">In </w:t>
      </w:r>
      <w:r w:rsidR="000B684E">
        <w:lastRenderedPageBreak/>
        <w:t xml:space="preserve">contrast, SPP showed a curvilinear positive association, with negative affect remaining stable at low-to-moderate SPP levels but increasing sharply beyond a threshold of about 4.5. A group mean difference also emerged for sex, with females (coded 0) reporting higher negative affect than males (coded 1). These patterns aligned with theoretical expectations and provided visual support for </w:t>
      </w:r>
      <w:r w:rsidR="000B684E">
        <w:t>H</w:t>
      </w:r>
      <w:r w:rsidR="000B684E">
        <w:t>1, justifying formal hypothesis testing using multiple linear regression.</w:t>
      </w:r>
    </w:p>
    <w:p w14:paraId="43C6A55A" w14:textId="77777777" w:rsidR="00447AD0" w:rsidRDefault="00447AD0" w:rsidP="00447AD0">
      <w:pPr>
        <w:spacing w:line="480" w:lineRule="auto"/>
        <w:rPr>
          <w:b/>
          <w:bCs/>
        </w:rPr>
      </w:pPr>
      <w:r>
        <w:rPr>
          <w:b/>
          <w:bCs/>
        </w:rPr>
        <w:t>Assumption Testing</w:t>
      </w:r>
    </w:p>
    <w:p w14:paraId="2AB31748" w14:textId="77777777" w:rsidR="00314EBB" w:rsidRDefault="00447AD0" w:rsidP="00447AD0">
      <w:pPr>
        <w:spacing w:line="480" w:lineRule="auto"/>
        <w:ind w:firstLine="720"/>
      </w:pPr>
      <w:r>
        <w:t xml:space="preserve">Before interpreting the multiple linear regression model predicting negative affect from sex, conscientiousness, and SPP, the key assumptions of the </w:t>
      </w:r>
      <w:r>
        <w:t>GLM</w:t>
      </w:r>
      <w:r>
        <w:t xml:space="preserve"> were evaluated using diagnostic plots</w:t>
      </w:r>
      <w:r>
        <w:t xml:space="preserve">. </w:t>
      </w:r>
      <w:r w:rsidRPr="00447AD0">
        <w:rPr>
          <w:rStyle w:val="Strong"/>
          <w:rFonts w:eastAsiaTheme="majorEastAsia"/>
          <w:b w:val="0"/>
          <w:bCs w:val="0"/>
        </w:rPr>
        <w:t>Linearity</w:t>
      </w:r>
      <w:r>
        <w:t xml:space="preserve"> was assessed using the residual dependence plot. The loess line displayed a slight curve, suggesting a minor deviation from perfect linearity; however, the pattern remained sufficiently linear to justify model interpretation.</w:t>
      </w:r>
      <w:r>
        <w:t xml:space="preserve"> </w:t>
      </w:r>
      <w:r w:rsidRPr="00447AD0">
        <w:rPr>
          <w:rStyle w:val="Strong"/>
          <w:rFonts w:eastAsiaTheme="majorEastAsia"/>
          <w:b w:val="0"/>
          <w:bCs w:val="0"/>
        </w:rPr>
        <w:t>Normality of residuals</w:t>
      </w:r>
      <w:r>
        <w:t xml:space="preserve"> was examined using a histogram, which showed an approximately normal distribution with a slight negative skew. This mild departure was not considered problematic given the sample size (N = 136), as regression is robust to minor violations of normality in larger samples.</w:t>
      </w:r>
      <w:r>
        <w:t xml:space="preserve"> </w:t>
      </w:r>
      <w:r w:rsidRPr="00447AD0">
        <w:rPr>
          <w:rStyle w:val="Strong"/>
          <w:rFonts w:eastAsiaTheme="majorEastAsia"/>
          <w:b w:val="0"/>
          <w:bCs w:val="0"/>
        </w:rPr>
        <w:t>Homoscedasticity</w:t>
      </w:r>
      <w:r w:rsidRPr="00447AD0">
        <w:rPr>
          <w:b/>
          <w:bCs/>
        </w:rPr>
        <w:t xml:space="preserve"> </w:t>
      </w:r>
      <w:r>
        <w:t>was assessed with a spread-location (S-L) plot. Although residuals showed somewhat greater spread at higher fitted values—indicating mild heteroskedasticity—this pattern was limited and unlikely to meaningfully bias parameter estimates.</w:t>
      </w:r>
      <w:r>
        <w:t xml:space="preserve"> </w:t>
      </w:r>
      <w:r w:rsidRPr="00447AD0">
        <w:rPr>
          <w:rStyle w:val="Strong"/>
          <w:rFonts w:eastAsiaTheme="majorEastAsia"/>
          <w:b w:val="0"/>
          <w:bCs w:val="0"/>
        </w:rPr>
        <w:t>Multicollinearity</w:t>
      </w:r>
      <w:r>
        <w:t xml:space="preserve"> was tested using variance inflation factors (VIFs). All VIFs were below 1.10, well under the conventional threshold of 5, indicating no evidence of problematic multicollinearity.</w:t>
      </w:r>
      <w:r w:rsidR="00314EBB">
        <w:t xml:space="preserve"> </w:t>
      </w:r>
      <w:r w:rsidR="00314EBB" w:rsidRPr="00314EBB">
        <w:rPr>
          <w:rStyle w:val="Strong"/>
          <w:rFonts w:eastAsiaTheme="majorEastAsia"/>
          <w:b w:val="0"/>
          <w:bCs w:val="0"/>
        </w:rPr>
        <w:t>Independence of observations</w:t>
      </w:r>
      <w:r w:rsidR="00314EBB">
        <w:t xml:space="preserve"> was assumed to be met based on the study’s cross-sectional design, which involved one-time survey responses from independent participants.</w:t>
      </w:r>
      <w:r w:rsidR="00314EBB">
        <w:t xml:space="preserve"> </w:t>
      </w:r>
    </w:p>
    <w:p w14:paraId="02116153" w14:textId="36DF2C4B" w:rsidR="000B684E" w:rsidRDefault="00314EBB" w:rsidP="00447AD0">
      <w:pPr>
        <w:spacing w:line="480" w:lineRule="auto"/>
        <w:ind w:firstLine="720"/>
      </w:pPr>
      <w:r>
        <w:t xml:space="preserve">In sum, minor deviations from linearity, normality, and homoscedasticity were noted, but none were severe. The regression model was retained without transformation and deemed </w:t>
      </w:r>
      <w:r>
        <w:lastRenderedPageBreak/>
        <w:t>appropriate for interpretation.</w:t>
      </w:r>
      <w:r>
        <w:t xml:space="preserve"> </w:t>
      </w:r>
      <w:r>
        <w:t>Although not implemented in the current analysis, potential remedies could include applying log or square root transformations to address skew or heteroskedasticity, or using robust regression techniques to reduce the influence of non-normal residuals.</w:t>
      </w:r>
    </w:p>
    <w:p w14:paraId="5C56F106" w14:textId="7C1934BF" w:rsidR="00314EBB" w:rsidRDefault="00314EBB" w:rsidP="00314EBB">
      <w:pPr>
        <w:spacing w:line="480" w:lineRule="auto"/>
        <w:rPr>
          <w:b/>
          <w:bCs/>
        </w:rPr>
      </w:pPr>
      <w:r>
        <w:rPr>
          <w:b/>
          <w:bCs/>
        </w:rPr>
        <w:t>Hypothesis Testing</w:t>
      </w:r>
    </w:p>
    <w:p w14:paraId="5DB921AC" w14:textId="03DE8637" w:rsidR="00C0082B" w:rsidRDefault="00314EBB" w:rsidP="00314EBB">
      <w:pPr>
        <w:spacing w:line="480" w:lineRule="auto"/>
      </w:pPr>
      <w:r>
        <w:tab/>
      </w:r>
      <w:r w:rsidR="00C0082B">
        <w:t>T</w:t>
      </w:r>
      <w:r w:rsidR="00C0082B">
        <w:t xml:space="preserve">o test H1, a multiple linear regression was conducted to examine whether sex, conscientiousness, and socially prescribed perfectionism (SPP) significantly predicted negative affect. The overall model was statistically significant, </w:t>
      </w:r>
      <w:proofErr w:type="gramStart"/>
      <w:r w:rsidR="00C0082B">
        <w:rPr>
          <w:rStyle w:val="Emphasis"/>
          <w:rFonts w:eastAsiaTheme="majorEastAsia"/>
        </w:rPr>
        <w:t>F</w:t>
      </w:r>
      <w:r w:rsidR="00C0082B">
        <w:t>(</w:t>
      </w:r>
      <w:proofErr w:type="gramEnd"/>
      <w:r w:rsidR="00C0082B">
        <w:t xml:space="preserve">3, 132) = 17.62, </w:t>
      </w:r>
      <w:r w:rsidR="00C0082B">
        <w:rPr>
          <w:rStyle w:val="Emphasis"/>
          <w:rFonts w:eastAsiaTheme="majorEastAsia"/>
        </w:rPr>
        <w:t>p</w:t>
      </w:r>
      <w:r w:rsidR="00C0082B">
        <w:t xml:space="preserve"> &lt; .001, and accounted for 28.6% of the variance in negative affect, </w:t>
      </w:r>
      <w:r w:rsidR="00C0082B">
        <w:rPr>
          <w:rStyle w:val="Emphasis"/>
          <w:rFonts w:eastAsiaTheme="majorEastAsia"/>
        </w:rPr>
        <w:t>R</w:t>
      </w:r>
      <w:r w:rsidR="00C0082B">
        <w:t>² = .29, 95% CI [.16, .41], indicating a moderate effect size and good model fit.</w:t>
      </w:r>
    </w:p>
    <w:p w14:paraId="731B1A0B" w14:textId="6632FD0D" w:rsidR="0067294E" w:rsidRDefault="00C0082B" w:rsidP="0067294E">
      <w:pPr>
        <w:spacing w:line="480" w:lineRule="auto"/>
      </w:pPr>
      <w:r>
        <w:tab/>
      </w:r>
      <w:r>
        <w:t xml:space="preserve">All three predictors contributed significantly to the model in the hypothesized directions. Sex significantly predicted negative affect, </w:t>
      </w:r>
      <w:r>
        <w:rPr>
          <w:rStyle w:val="Emphasis"/>
          <w:rFonts w:eastAsiaTheme="majorEastAsia"/>
        </w:rPr>
        <w:t>b</w:t>
      </w:r>
      <w:r>
        <w:t xml:space="preserve"> = –0.61, </w:t>
      </w:r>
      <w:r>
        <w:rPr>
          <w:rStyle w:val="Emphasis"/>
          <w:rFonts w:eastAsiaTheme="majorEastAsia"/>
        </w:rPr>
        <w:t>SE</w:t>
      </w:r>
      <w:r>
        <w:t xml:space="preserve"> = 0.21, </w:t>
      </w:r>
      <w:r>
        <w:rPr>
          <w:rStyle w:val="Emphasis"/>
          <w:rFonts w:eastAsiaTheme="majorEastAsia"/>
        </w:rPr>
        <w:t>t</w:t>
      </w:r>
      <w:r>
        <w:t xml:space="preserve"> = –2.96, </w:t>
      </w:r>
      <w:r>
        <w:rPr>
          <w:rStyle w:val="Emphasis"/>
          <w:rFonts w:eastAsiaTheme="majorEastAsia"/>
        </w:rPr>
        <w:t>p</w:t>
      </w:r>
      <w:r>
        <w:t xml:space="preserve"> = .004, such that males (coded 1) reported lower negative affect than females (coded 0). </w:t>
      </w:r>
      <w:r w:rsidR="0067294E">
        <w:t>This means that, on average, males scored 0.61 points lower on negative affect than females, controlling for the other predictors in the model.</w:t>
      </w:r>
    </w:p>
    <w:p w14:paraId="4B22BE60" w14:textId="2B125082" w:rsidR="0067294E" w:rsidRDefault="00C0082B" w:rsidP="0067294E">
      <w:pPr>
        <w:spacing w:line="480" w:lineRule="auto"/>
        <w:ind w:firstLine="720"/>
      </w:pPr>
      <w:r>
        <w:t xml:space="preserve">Conscientiousness was a significant negative predictor, </w:t>
      </w:r>
      <w:r>
        <w:rPr>
          <w:rStyle w:val="Emphasis"/>
          <w:rFonts w:eastAsiaTheme="majorEastAsia"/>
        </w:rPr>
        <w:t>b</w:t>
      </w:r>
      <w:r>
        <w:t xml:space="preserve"> = –0.26, </w:t>
      </w:r>
      <w:r>
        <w:rPr>
          <w:rStyle w:val="Emphasis"/>
          <w:rFonts w:eastAsiaTheme="majorEastAsia"/>
        </w:rPr>
        <w:t>SE</w:t>
      </w:r>
      <w:r>
        <w:t xml:space="preserve"> = 0.06, </w:t>
      </w:r>
      <w:r>
        <w:rPr>
          <w:rStyle w:val="Emphasis"/>
          <w:rFonts w:eastAsiaTheme="majorEastAsia"/>
        </w:rPr>
        <w:t>t</w:t>
      </w:r>
      <w:r>
        <w:t xml:space="preserve"> = –4.35, </w:t>
      </w:r>
      <w:r>
        <w:rPr>
          <w:rStyle w:val="Emphasis"/>
          <w:rFonts w:eastAsiaTheme="majorEastAsia"/>
        </w:rPr>
        <w:t>p</w:t>
      </w:r>
      <w:r>
        <w:t xml:space="preserve"> &lt; .001, indicating that participants who rated themselves as more conscientious tended to report lower levels of negative affect. </w:t>
      </w:r>
      <w:r w:rsidR="0067294E">
        <w:t>Specifically, for every one-point increase in conscientiousness, negative affect decreased by approximately 0.26 points, holding other variables constant.</w:t>
      </w:r>
    </w:p>
    <w:p w14:paraId="5902CA3D" w14:textId="02CB2653" w:rsidR="00C0082B" w:rsidRDefault="00C0082B" w:rsidP="0067294E">
      <w:pPr>
        <w:spacing w:line="480" w:lineRule="auto"/>
        <w:ind w:firstLine="720"/>
      </w:pPr>
      <w:r>
        <w:t xml:space="preserve">In contrast, SPP significantly positively predicted negative affect, </w:t>
      </w:r>
      <w:r>
        <w:rPr>
          <w:rStyle w:val="Emphasis"/>
          <w:rFonts w:eastAsiaTheme="majorEastAsia"/>
        </w:rPr>
        <w:t>b</w:t>
      </w:r>
      <w:r>
        <w:t xml:space="preserve"> = 0.22, </w:t>
      </w:r>
      <w:r>
        <w:rPr>
          <w:rStyle w:val="Emphasis"/>
          <w:rFonts w:eastAsiaTheme="majorEastAsia"/>
        </w:rPr>
        <w:t>SE</w:t>
      </w:r>
      <w:r>
        <w:t xml:space="preserve"> = 0.05, </w:t>
      </w:r>
      <w:r>
        <w:rPr>
          <w:rStyle w:val="Emphasis"/>
          <w:rFonts w:eastAsiaTheme="majorEastAsia"/>
        </w:rPr>
        <w:t>t</w:t>
      </w:r>
      <w:r>
        <w:t xml:space="preserve"> = 4.23, </w:t>
      </w:r>
      <w:r>
        <w:rPr>
          <w:rStyle w:val="Emphasis"/>
          <w:rFonts w:eastAsiaTheme="majorEastAsia"/>
        </w:rPr>
        <w:t>p</w:t>
      </w:r>
      <w:r>
        <w:t xml:space="preserve"> &lt; .001, suggesting that participants who perceived greater external expectations for perfection reported higher levels of negative affect.</w:t>
      </w:r>
      <w:r w:rsidR="0067294E">
        <w:t xml:space="preserve"> This means that </w:t>
      </w:r>
      <w:r w:rsidR="0067294E">
        <w:t>for every one-point increase in SPP, negative affect increased by about 0.22 points, controlling for sex and conscientiousness.</w:t>
      </w:r>
    </w:p>
    <w:p w14:paraId="06CDCCE4" w14:textId="77777777" w:rsidR="00332DF1" w:rsidRDefault="00C0082B" w:rsidP="00332DF1">
      <w:pPr>
        <w:spacing w:line="480" w:lineRule="auto"/>
      </w:pPr>
      <w:r>
        <w:lastRenderedPageBreak/>
        <w:tab/>
      </w:r>
      <w:r w:rsidR="00332DF1">
        <w:t xml:space="preserve">Semi-partial </w:t>
      </w:r>
      <w:r w:rsidR="00332DF1">
        <w:rPr>
          <w:rStyle w:val="Emphasis"/>
          <w:rFonts w:eastAsiaTheme="majorEastAsia"/>
        </w:rPr>
        <w:t>R²</w:t>
      </w:r>
      <w:r w:rsidR="00332DF1">
        <w:t xml:space="preserve"> values indicated that conscientiousness accounted for the largest proportion of unique variance in negative affect (</w:t>
      </w:r>
      <w:r w:rsidR="00332DF1">
        <w:rPr>
          <w:rStyle w:val="Emphasis"/>
          <w:rFonts w:eastAsiaTheme="majorEastAsia"/>
        </w:rPr>
        <w:t>sr²</w:t>
      </w:r>
      <w:r w:rsidR="00332DF1">
        <w:t xml:space="preserve"> = .16), followed by SPP (</w:t>
      </w:r>
      <w:r w:rsidR="00332DF1">
        <w:rPr>
          <w:rStyle w:val="Emphasis"/>
          <w:rFonts w:eastAsiaTheme="majorEastAsia"/>
        </w:rPr>
        <w:t>sr²</w:t>
      </w:r>
      <w:r w:rsidR="00332DF1">
        <w:t xml:space="preserve"> = .10) and sex (</w:t>
      </w:r>
      <w:r w:rsidR="00332DF1">
        <w:rPr>
          <w:rStyle w:val="Emphasis"/>
          <w:rFonts w:eastAsiaTheme="majorEastAsia"/>
        </w:rPr>
        <w:t>sr²</w:t>
      </w:r>
      <w:r w:rsidR="00332DF1">
        <w:t xml:space="preserve"> = .04). These effect sizes suggest that personality traits, particularly conscientiousness and SPP, play an important role in explaining individual differences in negative affect, above and beyond sex differences. Taken together, these results provide strong support for H1, confirming that sex, conscientiousness, and SPP each significantly and uniquely contribute to the prediction of negative affect in theoretically consistent directions.</w:t>
      </w:r>
    </w:p>
    <w:p w14:paraId="7FD2C79E" w14:textId="77777777" w:rsidR="002A3546" w:rsidRDefault="002A3546" w:rsidP="002A3546">
      <w:pPr>
        <w:spacing w:line="480" w:lineRule="auto"/>
        <w:ind w:firstLine="720"/>
      </w:pPr>
      <w:r>
        <w:t xml:space="preserve">To test H2, a model comparison was conducted to determine whether SPP explained unique variance in negative affect beyond the contributions of sex and conscientiousness. The reduced model, which included only sex and conscientiousness as predictors, accounted for 18.9% of the variance in negative affect, </w:t>
      </w:r>
      <w:r>
        <w:rPr>
          <w:rStyle w:val="Emphasis"/>
          <w:rFonts w:eastAsiaTheme="majorEastAsia"/>
        </w:rPr>
        <w:t>R²</w:t>
      </w:r>
      <w:r>
        <w:t xml:space="preserve"> = .189, 95% CI [.07, .31], </w:t>
      </w:r>
      <w:proofErr w:type="gramStart"/>
      <w:r>
        <w:rPr>
          <w:rStyle w:val="Emphasis"/>
          <w:rFonts w:eastAsiaTheme="majorEastAsia"/>
        </w:rPr>
        <w:t>F</w:t>
      </w:r>
      <w:r>
        <w:t>(</w:t>
      </w:r>
      <w:proofErr w:type="gramEnd"/>
      <w:r>
        <w:t xml:space="preserve">2, 133) = 15.54, </w:t>
      </w:r>
      <w:r>
        <w:rPr>
          <w:rStyle w:val="Emphasis"/>
          <w:rFonts w:eastAsiaTheme="majorEastAsia"/>
        </w:rPr>
        <w:t>p</w:t>
      </w:r>
      <w:r>
        <w:t xml:space="preserve"> &lt; .001. In contrast, the full model, which added SPP, explained 28.6% of the variance, </w:t>
      </w:r>
      <w:r>
        <w:rPr>
          <w:rStyle w:val="Emphasis"/>
          <w:rFonts w:eastAsiaTheme="majorEastAsia"/>
        </w:rPr>
        <w:t>R²</w:t>
      </w:r>
      <w:r>
        <w:t xml:space="preserve"> = .286, 95% CI [.16, .41], </w:t>
      </w:r>
      <w:proofErr w:type="gramStart"/>
      <w:r>
        <w:rPr>
          <w:rStyle w:val="Emphasis"/>
          <w:rFonts w:eastAsiaTheme="majorEastAsia"/>
        </w:rPr>
        <w:t>F</w:t>
      </w:r>
      <w:r>
        <w:t>(</w:t>
      </w:r>
      <w:proofErr w:type="gramEnd"/>
      <w:r>
        <w:t xml:space="preserve">3, 132) = 17.62, </w:t>
      </w:r>
      <w:r>
        <w:rPr>
          <w:rStyle w:val="Emphasis"/>
          <w:rFonts w:eastAsiaTheme="majorEastAsia"/>
        </w:rPr>
        <w:t>p</w:t>
      </w:r>
      <w:r>
        <w:t xml:space="preserve"> &lt; .001. This represents an increase of approximately 9.7% in explained variance (Δ</w:t>
      </w:r>
      <w:r>
        <w:rPr>
          <w:rStyle w:val="Emphasis"/>
          <w:rFonts w:eastAsiaTheme="majorEastAsia"/>
        </w:rPr>
        <w:t>R²</w:t>
      </w:r>
      <w:r>
        <w:t xml:space="preserve"> = .097), indicating that SPP accounted for meaningful incremental variance in negative affect.</w:t>
      </w:r>
    </w:p>
    <w:p w14:paraId="22620011" w14:textId="77777777" w:rsidR="002A3546" w:rsidRDefault="009B1BB8" w:rsidP="002A3546">
      <w:pPr>
        <w:spacing w:line="480" w:lineRule="auto"/>
      </w:pPr>
      <w:r>
        <w:tab/>
      </w:r>
      <w:r w:rsidR="002A3546">
        <w:t>This conclusion was further supported by model fit indices. The full model yielded lower Akaike Information Criterion (AIC = 345.97</w:t>
      </w:r>
      <w:proofErr w:type="gramStart"/>
      <w:r w:rsidR="002A3546">
        <w:t>)</w:t>
      </w:r>
      <w:proofErr w:type="gramEnd"/>
      <w:r w:rsidR="002A3546">
        <w:t xml:space="preserve"> and Bayesian Information Criterion (BIC = 360.53) values compared to the reduced model (AIC = 361.22; BIC = 372.87), indicating improved model fit. The Bayes Factor (BF = 478.88) provided strong evidence in favor of the full model relative to the reduced model (BF = 0.002), suggesting that the data were approximately 479 times more likely under the model that included SPP.</w:t>
      </w:r>
    </w:p>
    <w:p w14:paraId="7A71FCC8" w14:textId="28D9FE3A" w:rsidR="009B1BB8" w:rsidRDefault="009B1BB8" w:rsidP="002A3546">
      <w:pPr>
        <w:spacing w:line="480" w:lineRule="auto"/>
      </w:pPr>
      <w:r>
        <w:tab/>
      </w:r>
      <w:r w:rsidR="002A3546">
        <w:t xml:space="preserve">In the full model, SPP remained a statistically significant positive predictor of negative affect, </w:t>
      </w:r>
      <w:r w:rsidR="002A3546">
        <w:rPr>
          <w:rStyle w:val="Emphasis"/>
          <w:rFonts w:eastAsiaTheme="majorEastAsia"/>
        </w:rPr>
        <w:t>b</w:t>
      </w:r>
      <w:r w:rsidR="002A3546">
        <w:t xml:space="preserve"> = 0.22, </w:t>
      </w:r>
      <w:r w:rsidR="002A3546">
        <w:rPr>
          <w:rStyle w:val="Emphasis"/>
          <w:rFonts w:eastAsiaTheme="majorEastAsia"/>
        </w:rPr>
        <w:t>SE</w:t>
      </w:r>
      <w:r w:rsidR="002A3546">
        <w:t xml:space="preserve"> = 0.05, </w:t>
      </w:r>
      <w:r w:rsidR="002A3546">
        <w:rPr>
          <w:rStyle w:val="Emphasis"/>
          <w:rFonts w:eastAsiaTheme="majorEastAsia"/>
        </w:rPr>
        <w:t>p</w:t>
      </w:r>
      <w:r w:rsidR="002A3546">
        <w:t xml:space="preserve"> &lt; .001, after controlling for sex and conscientiousness. The semi-</w:t>
      </w:r>
      <w:r w:rsidR="002A3546">
        <w:lastRenderedPageBreak/>
        <w:t xml:space="preserve">partial </w:t>
      </w:r>
      <w:r w:rsidR="002A3546">
        <w:rPr>
          <w:rStyle w:val="Emphasis"/>
          <w:rFonts w:eastAsiaTheme="majorEastAsia"/>
        </w:rPr>
        <w:t>R²</w:t>
      </w:r>
      <w:r w:rsidR="002A3546">
        <w:t xml:space="preserve"> for SPP was .097, meaning it uniquely explained approximately 9.7% of the variance in negative affect, which is considered a moderate effect in psychological research. These findings provide strong support for H2 and demonstrate that SPP contributes uniquely and meaningfully to the prediction of negative affect. That is, even after accounting for sex and conscientiousness, each one-point increase in SPP still predicted a 0.22-point increase in negative affect.</w:t>
      </w:r>
    </w:p>
    <w:p w14:paraId="55AFFB6F" w14:textId="77777777" w:rsidR="00903145" w:rsidRPr="00903145" w:rsidRDefault="00903145" w:rsidP="00903145">
      <w:pPr>
        <w:widowControl w:val="0"/>
        <w:autoSpaceDE w:val="0"/>
        <w:autoSpaceDN w:val="0"/>
        <w:adjustRightInd w:val="0"/>
        <w:rPr>
          <w:b/>
          <w:bCs/>
          <w:lang w:val="en-US"/>
        </w:rPr>
      </w:pPr>
      <w:r w:rsidRPr="00903145">
        <w:rPr>
          <w:b/>
          <w:bCs/>
          <w:lang w:val="en-US"/>
        </w:rPr>
        <w:t xml:space="preserve">Table 2 </w:t>
      </w:r>
    </w:p>
    <w:p w14:paraId="5B4DB042" w14:textId="77777777" w:rsidR="00903145" w:rsidRDefault="00903145" w:rsidP="00903145">
      <w:pPr>
        <w:widowControl w:val="0"/>
        <w:autoSpaceDE w:val="0"/>
        <w:autoSpaceDN w:val="0"/>
        <w:adjustRightInd w:val="0"/>
        <w:rPr>
          <w:lang w:val="en-US"/>
        </w:rPr>
      </w:pPr>
      <w:r>
        <w:rPr>
          <w:lang w:val="en-US"/>
        </w:rPr>
        <w:t xml:space="preserve"> </w:t>
      </w:r>
    </w:p>
    <w:p w14:paraId="4E6FB323" w14:textId="77777777" w:rsidR="00903145" w:rsidRDefault="00903145" w:rsidP="00903145">
      <w:pPr>
        <w:widowControl w:val="0"/>
        <w:autoSpaceDE w:val="0"/>
        <w:autoSpaceDN w:val="0"/>
        <w:adjustRightInd w:val="0"/>
        <w:rPr>
          <w:i/>
          <w:iCs/>
          <w:lang w:val="en-US"/>
        </w:rPr>
      </w:pPr>
      <w:r>
        <w:rPr>
          <w:i/>
          <w:iCs/>
          <w:lang w:val="en-US"/>
        </w:rPr>
        <w:t xml:space="preserve">Regression results using </w:t>
      </w:r>
      <w:proofErr w:type="spellStart"/>
      <w:r>
        <w:rPr>
          <w:i/>
          <w:iCs/>
          <w:lang w:val="en-US"/>
        </w:rPr>
        <w:t>NA_total</w:t>
      </w:r>
      <w:proofErr w:type="spellEnd"/>
      <w:r>
        <w:rPr>
          <w:i/>
          <w:iCs/>
          <w:lang w:val="en-US"/>
        </w:rPr>
        <w:t xml:space="preserve"> as the criterion</w:t>
      </w:r>
    </w:p>
    <w:p w14:paraId="2E38136B" w14:textId="77777777" w:rsidR="00903145" w:rsidRDefault="00903145" w:rsidP="00903145">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176"/>
        <w:gridCol w:w="1846"/>
        <w:gridCol w:w="864"/>
        <w:gridCol w:w="1368"/>
        <w:gridCol w:w="1779"/>
      </w:tblGrid>
      <w:tr w:rsidR="00903145" w14:paraId="04C2815F" w14:textId="77777777" w:rsidTr="00706618">
        <w:tblPrEx>
          <w:tblCellMar>
            <w:top w:w="0" w:type="dxa"/>
            <w:bottom w:w="0" w:type="dxa"/>
          </w:tblCellMar>
        </w:tblPrEx>
        <w:tc>
          <w:tcPr>
            <w:tcW w:w="1560" w:type="dxa"/>
            <w:tcBorders>
              <w:top w:val="single" w:sz="6" w:space="0" w:color="auto"/>
              <w:left w:val="nil"/>
              <w:bottom w:val="nil"/>
              <w:right w:val="nil"/>
            </w:tcBorders>
            <w:vAlign w:val="center"/>
          </w:tcPr>
          <w:p w14:paraId="384DB136" w14:textId="77777777" w:rsidR="00903145" w:rsidRDefault="00903145" w:rsidP="00706618">
            <w:pPr>
              <w:widowControl w:val="0"/>
              <w:autoSpaceDE w:val="0"/>
              <w:autoSpaceDN w:val="0"/>
              <w:adjustRightInd w:val="0"/>
              <w:jc w:val="right"/>
              <w:rPr>
                <w:lang w:val="en-US"/>
              </w:rPr>
            </w:pPr>
            <w:r>
              <w:rPr>
                <w:lang w:val="en-US"/>
              </w:rPr>
              <w:t>Predictor</w:t>
            </w:r>
          </w:p>
        </w:tc>
        <w:tc>
          <w:tcPr>
            <w:tcW w:w="1176" w:type="dxa"/>
            <w:tcBorders>
              <w:top w:val="single" w:sz="6" w:space="0" w:color="auto"/>
              <w:left w:val="nil"/>
              <w:bottom w:val="nil"/>
              <w:right w:val="nil"/>
            </w:tcBorders>
            <w:vAlign w:val="center"/>
          </w:tcPr>
          <w:p w14:paraId="17942715" w14:textId="77777777" w:rsidR="00903145" w:rsidRDefault="00903145" w:rsidP="00706618">
            <w:pPr>
              <w:widowControl w:val="0"/>
              <w:autoSpaceDE w:val="0"/>
              <w:autoSpaceDN w:val="0"/>
              <w:adjustRightInd w:val="0"/>
              <w:jc w:val="center"/>
              <w:rPr>
                <w:lang w:val="en-US"/>
              </w:rPr>
            </w:pPr>
            <w:r>
              <w:rPr>
                <w:i/>
                <w:iCs/>
                <w:lang w:val="en-US"/>
              </w:rPr>
              <w:t>b</w:t>
            </w:r>
          </w:p>
        </w:tc>
        <w:tc>
          <w:tcPr>
            <w:tcW w:w="1846" w:type="dxa"/>
            <w:tcBorders>
              <w:top w:val="single" w:sz="6" w:space="0" w:color="auto"/>
              <w:left w:val="nil"/>
              <w:bottom w:val="nil"/>
              <w:right w:val="nil"/>
            </w:tcBorders>
            <w:vAlign w:val="center"/>
          </w:tcPr>
          <w:p w14:paraId="29AC0887" w14:textId="77777777" w:rsidR="00903145" w:rsidRDefault="00903145" w:rsidP="00706618">
            <w:pPr>
              <w:widowControl w:val="0"/>
              <w:autoSpaceDE w:val="0"/>
              <w:autoSpaceDN w:val="0"/>
              <w:adjustRightInd w:val="0"/>
              <w:jc w:val="center"/>
              <w:rPr>
                <w:lang w:val="en-US"/>
              </w:rPr>
            </w:pPr>
            <w:r>
              <w:rPr>
                <w:i/>
                <w:iCs/>
                <w:lang w:val="en-US"/>
              </w:rPr>
              <w:t>b</w:t>
            </w:r>
          </w:p>
          <w:p w14:paraId="47CFE9DA" w14:textId="77777777" w:rsidR="00903145" w:rsidRDefault="00903145" w:rsidP="00706618">
            <w:pPr>
              <w:widowControl w:val="0"/>
              <w:autoSpaceDE w:val="0"/>
              <w:autoSpaceDN w:val="0"/>
              <w:adjustRightInd w:val="0"/>
              <w:jc w:val="center"/>
              <w:rPr>
                <w:lang w:val="en-US"/>
              </w:rPr>
            </w:pPr>
            <w:r>
              <w:rPr>
                <w:lang w:val="en-US"/>
              </w:rPr>
              <w:t>95% CI</w:t>
            </w:r>
          </w:p>
          <w:p w14:paraId="0E4B1CA0" w14:textId="77777777" w:rsidR="00903145" w:rsidRDefault="00903145" w:rsidP="00706618">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7295E417" w14:textId="77777777" w:rsidR="00903145" w:rsidRDefault="00903145" w:rsidP="00706618">
            <w:pPr>
              <w:widowControl w:val="0"/>
              <w:autoSpaceDE w:val="0"/>
              <w:autoSpaceDN w:val="0"/>
              <w:adjustRightInd w:val="0"/>
              <w:jc w:val="center"/>
              <w:rPr>
                <w:lang w:val="en-US"/>
              </w:rPr>
            </w:pPr>
            <w:r>
              <w:rPr>
                <w:i/>
                <w:iCs/>
                <w:lang w:val="en-US"/>
              </w:rPr>
              <w:t>sr</w:t>
            </w:r>
            <w:r>
              <w:rPr>
                <w:i/>
                <w:iCs/>
                <w:vertAlign w:val="superscript"/>
                <w:lang w:val="en-US"/>
              </w:rPr>
              <w:t xml:space="preserve">2 </w:t>
            </w:r>
          </w:p>
        </w:tc>
        <w:tc>
          <w:tcPr>
            <w:tcW w:w="1368" w:type="dxa"/>
            <w:tcBorders>
              <w:top w:val="single" w:sz="6" w:space="0" w:color="auto"/>
              <w:left w:val="nil"/>
              <w:bottom w:val="nil"/>
              <w:right w:val="nil"/>
            </w:tcBorders>
            <w:vAlign w:val="center"/>
          </w:tcPr>
          <w:p w14:paraId="7B5C2882" w14:textId="77777777" w:rsidR="00903145" w:rsidRDefault="00903145" w:rsidP="00706618">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198B017C" w14:textId="77777777" w:rsidR="00903145" w:rsidRDefault="00903145" w:rsidP="00706618">
            <w:pPr>
              <w:widowControl w:val="0"/>
              <w:autoSpaceDE w:val="0"/>
              <w:autoSpaceDN w:val="0"/>
              <w:adjustRightInd w:val="0"/>
              <w:jc w:val="center"/>
              <w:rPr>
                <w:lang w:val="en-US"/>
              </w:rPr>
            </w:pPr>
            <w:r>
              <w:rPr>
                <w:lang w:val="en-US"/>
              </w:rPr>
              <w:t>95% CI</w:t>
            </w:r>
          </w:p>
          <w:p w14:paraId="04C4A813" w14:textId="77777777" w:rsidR="00903145" w:rsidRDefault="00903145" w:rsidP="00706618">
            <w:pPr>
              <w:widowControl w:val="0"/>
              <w:autoSpaceDE w:val="0"/>
              <w:autoSpaceDN w:val="0"/>
              <w:adjustRightInd w:val="0"/>
              <w:jc w:val="center"/>
              <w:rPr>
                <w:lang w:val="en-US"/>
              </w:rPr>
            </w:pPr>
            <w:r>
              <w:rPr>
                <w:lang w:val="en-US"/>
              </w:rPr>
              <w:t>[LL, UL]</w:t>
            </w:r>
          </w:p>
        </w:tc>
        <w:tc>
          <w:tcPr>
            <w:tcW w:w="1779" w:type="dxa"/>
            <w:tcBorders>
              <w:top w:val="single" w:sz="6" w:space="0" w:color="auto"/>
              <w:left w:val="nil"/>
              <w:bottom w:val="nil"/>
              <w:right w:val="nil"/>
            </w:tcBorders>
            <w:vAlign w:val="center"/>
          </w:tcPr>
          <w:p w14:paraId="077092F5" w14:textId="77777777" w:rsidR="00903145" w:rsidRDefault="00903145" w:rsidP="00706618">
            <w:pPr>
              <w:widowControl w:val="0"/>
              <w:autoSpaceDE w:val="0"/>
              <w:autoSpaceDN w:val="0"/>
              <w:adjustRightInd w:val="0"/>
              <w:jc w:val="center"/>
              <w:rPr>
                <w:lang w:val="en-US"/>
              </w:rPr>
            </w:pPr>
            <w:r>
              <w:rPr>
                <w:lang w:val="en-US"/>
              </w:rPr>
              <w:t>Fit</w:t>
            </w:r>
          </w:p>
        </w:tc>
      </w:tr>
      <w:tr w:rsidR="00903145" w14:paraId="1EDDDF46" w14:textId="77777777" w:rsidTr="00706618">
        <w:tblPrEx>
          <w:tblCellMar>
            <w:top w:w="0" w:type="dxa"/>
            <w:bottom w:w="0" w:type="dxa"/>
          </w:tblCellMar>
        </w:tblPrEx>
        <w:tc>
          <w:tcPr>
            <w:tcW w:w="1560" w:type="dxa"/>
            <w:tcBorders>
              <w:top w:val="single" w:sz="6" w:space="0" w:color="auto"/>
              <w:left w:val="nil"/>
              <w:bottom w:val="nil"/>
              <w:right w:val="nil"/>
            </w:tcBorders>
            <w:vAlign w:val="center"/>
          </w:tcPr>
          <w:p w14:paraId="34E9CE1D" w14:textId="77777777" w:rsidR="00903145" w:rsidRDefault="00903145" w:rsidP="00706618">
            <w:pPr>
              <w:widowControl w:val="0"/>
              <w:autoSpaceDE w:val="0"/>
              <w:autoSpaceDN w:val="0"/>
              <w:adjustRightInd w:val="0"/>
              <w:jc w:val="right"/>
              <w:rPr>
                <w:lang w:val="en-US"/>
              </w:rPr>
            </w:pPr>
            <w:r>
              <w:rPr>
                <w:lang w:val="en-US"/>
              </w:rPr>
              <w:t>(Intercept)</w:t>
            </w:r>
          </w:p>
        </w:tc>
        <w:tc>
          <w:tcPr>
            <w:tcW w:w="1176" w:type="dxa"/>
            <w:tcBorders>
              <w:top w:val="single" w:sz="6" w:space="0" w:color="auto"/>
              <w:left w:val="nil"/>
              <w:bottom w:val="nil"/>
              <w:right w:val="nil"/>
            </w:tcBorders>
            <w:vAlign w:val="center"/>
          </w:tcPr>
          <w:p w14:paraId="0894F5A5" w14:textId="77777777" w:rsidR="00903145" w:rsidRDefault="00903145" w:rsidP="00706618">
            <w:pPr>
              <w:widowControl w:val="0"/>
              <w:tabs>
                <w:tab w:val="decimal" w:leader="dot" w:pos="547"/>
              </w:tabs>
              <w:autoSpaceDE w:val="0"/>
              <w:autoSpaceDN w:val="0"/>
              <w:adjustRightInd w:val="0"/>
              <w:rPr>
                <w:lang w:val="en-US"/>
              </w:rPr>
            </w:pPr>
            <w:r>
              <w:rPr>
                <w:lang w:val="en-US"/>
              </w:rPr>
              <w:t>2.87**</w:t>
            </w:r>
          </w:p>
        </w:tc>
        <w:tc>
          <w:tcPr>
            <w:tcW w:w="1846" w:type="dxa"/>
            <w:tcBorders>
              <w:top w:val="single" w:sz="6" w:space="0" w:color="auto"/>
              <w:left w:val="nil"/>
              <w:bottom w:val="nil"/>
              <w:right w:val="nil"/>
            </w:tcBorders>
            <w:vAlign w:val="center"/>
          </w:tcPr>
          <w:p w14:paraId="55A07CE1" w14:textId="77777777" w:rsidR="00903145" w:rsidRDefault="00903145" w:rsidP="00706618">
            <w:pPr>
              <w:widowControl w:val="0"/>
              <w:tabs>
                <w:tab w:val="decimal" w:leader="dot" w:pos="277"/>
              </w:tabs>
              <w:autoSpaceDE w:val="0"/>
              <w:autoSpaceDN w:val="0"/>
              <w:adjustRightInd w:val="0"/>
              <w:rPr>
                <w:lang w:val="en-US"/>
              </w:rPr>
            </w:pPr>
            <w:r>
              <w:rPr>
                <w:lang w:val="en-US"/>
              </w:rPr>
              <w:t>[2.04, 3.71]</w:t>
            </w:r>
          </w:p>
        </w:tc>
        <w:tc>
          <w:tcPr>
            <w:tcW w:w="864" w:type="dxa"/>
            <w:tcBorders>
              <w:top w:val="single" w:sz="6" w:space="0" w:color="auto"/>
              <w:left w:val="nil"/>
              <w:bottom w:val="nil"/>
              <w:right w:val="nil"/>
            </w:tcBorders>
            <w:vAlign w:val="center"/>
          </w:tcPr>
          <w:p w14:paraId="08E39796"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1E3B12C9"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single" w:sz="6" w:space="0" w:color="auto"/>
              <w:left w:val="nil"/>
              <w:bottom w:val="nil"/>
              <w:right w:val="nil"/>
            </w:tcBorders>
            <w:vAlign w:val="center"/>
          </w:tcPr>
          <w:p w14:paraId="5B4C72D3" w14:textId="77777777" w:rsidR="00903145" w:rsidRDefault="00903145" w:rsidP="00706618">
            <w:pPr>
              <w:widowControl w:val="0"/>
              <w:tabs>
                <w:tab w:val="decimal" w:leader="dot" w:pos="267"/>
              </w:tabs>
              <w:autoSpaceDE w:val="0"/>
              <w:autoSpaceDN w:val="0"/>
              <w:adjustRightInd w:val="0"/>
              <w:rPr>
                <w:lang w:val="en-US"/>
              </w:rPr>
            </w:pPr>
          </w:p>
        </w:tc>
      </w:tr>
      <w:tr w:rsidR="00903145" w14:paraId="2C66980D" w14:textId="77777777" w:rsidTr="00706618">
        <w:tblPrEx>
          <w:tblCellMar>
            <w:top w:w="0" w:type="dxa"/>
            <w:bottom w:w="0" w:type="dxa"/>
          </w:tblCellMar>
        </w:tblPrEx>
        <w:tc>
          <w:tcPr>
            <w:tcW w:w="1560" w:type="dxa"/>
            <w:tcBorders>
              <w:top w:val="nil"/>
              <w:left w:val="nil"/>
              <w:bottom w:val="nil"/>
              <w:right w:val="nil"/>
            </w:tcBorders>
            <w:vAlign w:val="center"/>
          </w:tcPr>
          <w:p w14:paraId="40CB3302" w14:textId="77777777" w:rsidR="00903145" w:rsidRDefault="00903145" w:rsidP="00706618">
            <w:pPr>
              <w:widowControl w:val="0"/>
              <w:autoSpaceDE w:val="0"/>
              <w:autoSpaceDN w:val="0"/>
              <w:adjustRightInd w:val="0"/>
              <w:jc w:val="right"/>
              <w:rPr>
                <w:lang w:val="en-US"/>
              </w:rPr>
            </w:pPr>
            <w:r>
              <w:rPr>
                <w:lang w:val="en-US"/>
              </w:rPr>
              <w:t>sex1</w:t>
            </w:r>
          </w:p>
        </w:tc>
        <w:tc>
          <w:tcPr>
            <w:tcW w:w="1176" w:type="dxa"/>
            <w:tcBorders>
              <w:top w:val="nil"/>
              <w:left w:val="nil"/>
              <w:bottom w:val="nil"/>
              <w:right w:val="nil"/>
            </w:tcBorders>
            <w:vAlign w:val="center"/>
          </w:tcPr>
          <w:p w14:paraId="4E709E81" w14:textId="77777777" w:rsidR="00903145" w:rsidRDefault="00903145" w:rsidP="00706618">
            <w:pPr>
              <w:widowControl w:val="0"/>
              <w:tabs>
                <w:tab w:val="decimal" w:leader="dot" w:pos="547"/>
              </w:tabs>
              <w:autoSpaceDE w:val="0"/>
              <w:autoSpaceDN w:val="0"/>
              <w:adjustRightInd w:val="0"/>
              <w:rPr>
                <w:lang w:val="en-US"/>
              </w:rPr>
            </w:pPr>
            <w:r>
              <w:rPr>
                <w:lang w:val="en-US"/>
              </w:rPr>
              <w:t>-0.61**</w:t>
            </w:r>
          </w:p>
        </w:tc>
        <w:tc>
          <w:tcPr>
            <w:tcW w:w="1846" w:type="dxa"/>
            <w:tcBorders>
              <w:top w:val="nil"/>
              <w:left w:val="nil"/>
              <w:bottom w:val="nil"/>
              <w:right w:val="nil"/>
            </w:tcBorders>
            <w:vAlign w:val="center"/>
          </w:tcPr>
          <w:p w14:paraId="517D9F57" w14:textId="77777777" w:rsidR="00903145" w:rsidRDefault="00903145" w:rsidP="00706618">
            <w:pPr>
              <w:widowControl w:val="0"/>
              <w:tabs>
                <w:tab w:val="decimal" w:leader="dot" w:pos="277"/>
              </w:tabs>
              <w:autoSpaceDE w:val="0"/>
              <w:autoSpaceDN w:val="0"/>
              <w:adjustRightInd w:val="0"/>
              <w:rPr>
                <w:lang w:val="en-US"/>
              </w:rPr>
            </w:pPr>
            <w:r>
              <w:rPr>
                <w:lang w:val="en-US"/>
              </w:rPr>
              <w:t>[-1.02, -0.20]</w:t>
            </w:r>
          </w:p>
        </w:tc>
        <w:tc>
          <w:tcPr>
            <w:tcW w:w="864" w:type="dxa"/>
            <w:tcBorders>
              <w:top w:val="nil"/>
              <w:left w:val="nil"/>
              <w:bottom w:val="nil"/>
              <w:right w:val="nil"/>
            </w:tcBorders>
            <w:vAlign w:val="center"/>
          </w:tcPr>
          <w:p w14:paraId="5B56BCB2" w14:textId="77777777" w:rsidR="00903145" w:rsidRDefault="00903145" w:rsidP="00706618">
            <w:pPr>
              <w:widowControl w:val="0"/>
              <w:tabs>
                <w:tab w:val="decimal" w:leader="dot" w:pos="130"/>
              </w:tabs>
              <w:autoSpaceDE w:val="0"/>
              <w:autoSpaceDN w:val="0"/>
              <w:adjustRightInd w:val="0"/>
              <w:rPr>
                <w:lang w:val="en-US"/>
              </w:rPr>
            </w:pPr>
            <w:r>
              <w:rPr>
                <w:lang w:val="en-US"/>
              </w:rPr>
              <w:t>.05</w:t>
            </w:r>
          </w:p>
        </w:tc>
        <w:tc>
          <w:tcPr>
            <w:tcW w:w="1368" w:type="dxa"/>
            <w:tcBorders>
              <w:top w:val="nil"/>
              <w:left w:val="nil"/>
              <w:bottom w:val="nil"/>
              <w:right w:val="nil"/>
            </w:tcBorders>
            <w:vAlign w:val="center"/>
          </w:tcPr>
          <w:p w14:paraId="2991EEAE" w14:textId="77777777" w:rsidR="00903145" w:rsidRDefault="00903145" w:rsidP="00706618">
            <w:pPr>
              <w:widowControl w:val="0"/>
              <w:tabs>
                <w:tab w:val="decimal" w:leader="dot" w:pos="205"/>
              </w:tabs>
              <w:autoSpaceDE w:val="0"/>
              <w:autoSpaceDN w:val="0"/>
              <w:adjustRightInd w:val="0"/>
              <w:rPr>
                <w:lang w:val="en-US"/>
              </w:rPr>
            </w:pPr>
            <w:r>
              <w:rPr>
                <w:lang w:val="en-US"/>
              </w:rPr>
              <w:t>[-.01, .11]</w:t>
            </w:r>
          </w:p>
        </w:tc>
        <w:tc>
          <w:tcPr>
            <w:tcW w:w="1779" w:type="dxa"/>
            <w:tcBorders>
              <w:top w:val="nil"/>
              <w:left w:val="nil"/>
              <w:bottom w:val="nil"/>
              <w:right w:val="nil"/>
            </w:tcBorders>
            <w:vAlign w:val="center"/>
          </w:tcPr>
          <w:p w14:paraId="5E7E3FE8" w14:textId="77777777" w:rsidR="00903145" w:rsidRDefault="00903145" w:rsidP="00706618">
            <w:pPr>
              <w:widowControl w:val="0"/>
              <w:tabs>
                <w:tab w:val="decimal" w:leader="dot" w:pos="267"/>
              </w:tabs>
              <w:autoSpaceDE w:val="0"/>
              <w:autoSpaceDN w:val="0"/>
              <w:adjustRightInd w:val="0"/>
              <w:rPr>
                <w:lang w:val="en-US"/>
              </w:rPr>
            </w:pPr>
          </w:p>
        </w:tc>
      </w:tr>
      <w:tr w:rsidR="00903145" w14:paraId="660EDFC9" w14:textId="77777777" w:rsidTr="00706618">
        <w:tblPrEx>
          <w:tblCellMar>
            <w:top w:w="0" w:type="dxa"/>
            <w:bottom w:w="0" w:type="dxa"/>
          </w:tblCellMar>
        </w:tblPrEx>
        <w:tc>
          <w:tcPr>
            <w:tcW w:w="1560" w:type="dxa"/>
            <w:tcBorders>
              <w:top w:val="nil"/>
              <w:left w:val="nil"/>
              <w:bottom w:val="nil"/>
              <w:right w:val="nil"/>
            </w:tcBorders>
            <w:vAlign w:val="center"/>
          </w:tcPr>
          <w:p w14:paraId="76E3EC5B" w14:textId="77777777" w:rsidR="00903145" w:rsidRDefault="00903145" w:rsidP="00706618">
            <w:pPr>
              <w:widowControl w:val="0"/>
              <w:autoSpaceDE w:val="0"/>
              <w:autoSpaceDN w:val="0"/>
              <w:adjustRightInd w:val="0"/>
              <w:jc w:val="right"/>
              <w:rPr>
                <w:lang w:val="en-US"/>
              </w:rPr>
            </w:pPr>
            <w:proofErr w:type="spellStart"/>
            <w:r>
              <w:rPr>
                <w:lang w:val="en-US"/>
              </w:rPr>
              <w:t>CONS_total</w:t>
            </w:r>
            <w:proofErr w:type="spellEnd"/>
          </w:p>
        </w:tc>
        <w:tc>
          <w:tcPr>
            <w:tcW w:w="1176" w:type="dxa"/>
            <w:tcBorders>
              <w:top w:val="nil"/>
              <w:left w:val="nil"/>
              <w:bottom w:val="nil"/>
              <w:right w:val="nil"/>
            </w:tcBorders>
            <w:vAlign w:val="center"/>
          </w:tcPr>
          <w:p w14:paraId="20EF63C2" w14:textId="77777777" w:rsidR="00903145" w:rsidRDefault="00903145" w:rsidP="00706618">
            <w:pPr>
              <w:widowControl w:val="0"/>
              <w:tabs>
                <w:tab w:val="decimal" w:leader="dot" w:pos="547"/>
              </w:tabs>
              <w:autoSpaceDE w:val="0"/>
              <w:autoSpaceDN w:val="0"/>
              <w:adjustRightInd w:val="0"/>
              <w:rPr>
                <w:lang w:val="en-US"/>
              </w:rPr>
            </w:pPr>
            <w:r>
              <w:rPr>
                <w:lang w:val="en-US"/>
              </w:rPr>
              <w:t>-0.26**</w:t>
            </w:r>
          </w:p>
        </w:tc>
        <w:tc>
          <w:tcPr>
            <w:tcW w:w="1846" w:type="dxa"/>
            <w:tcBorders>
              <w:top w:val="nil"/>
              <w:left w:val="nil"/>
              <w:bottom w:val="nil"/>
              <w:right w:val="nil"/>
            </w:tcBorders>
            <w:vAlign w:val="center"/>
          </w:tcPr>
          <w:p w14:paraId="1AD2D754" w14:textId="77777777" w:rsidR="00903145" w:rsidRDefault="00903145" w:rsidP="00706618">
            <w:pPr>
              <w:widowControl w:val="0"/>
              <w:tabs>
                <w:tab w:val="decimal" w:leader="dot" w:pos="277"/>
              </w:tabs>
              <w:autoSpaceDE w:val="0"/>
              <w:autoSpaceDN w:val="0"/>
              <w:adjustRightInd w:val="0"/>
              <w:rPr>
                <w:lang w:val="en-US"/>
              </w:rPr>
            </w:pPr>
            <w:r>
              <w:rPr>
                <w:lang w:val="en-US"/>
              </w:rPr>
              <w:t>[-0.37, -0.14]</w:t>
            </w:r>
          </w:p>
        </w:tc>
        <w:tc>
          <w:tcPr>
            <w:tcW w:w="864" w:type="dxa"/>
            <w:tcBorders>
              <w:top w:val="nil"/>
              <w:left w:val="nil"/>
              <w:bottom w:val="nil"/>
              <w:right w:val="nil"/>
            </w:tcBorders>
            <w:vAlign w:val="center"/>
          </w:tcPr>
          <w:p w14:paraId="259B80CB" w14:textId="77777777" w:rsidR="00903145" w:rsidRDefault="00903145" w:rsidP="00706618">
            <w:pPr>
              <w:widowControl w:val="0"/>
              <w:tabs>
                <w:tab w:val="decimal" w:leader="dot" w:pos="130"/>
              </w:tabs>
              <w:autoSpaceDE w:val="0"/>
              <w:autoSpaceDN w:val="0"/>
              <w:adjustRightInd w:val="0"/>
              <w:rPr>
                <w:lang w:val="en-US"/>
              </w:rPr>
            </w:pPr>
            <w:r>
              <w:rPr>
                <w:lang w:val="en-US"/>
              </w:rPr>
              <w:t>.10</w:t>
            </w:r>
          </w:p>
        </w:tc>
        <w:tc>
          <w:tcPr>
            <w:tcW w:w="1368" w:type="dxa"/>
            <w:tcBorders>
              <w:top w:val="nil"/>
              <w:left w:val="nil"/>
              <w:bottom w:val="nil"/>
              <w:right w:val="nil"/>
            </w:tcBorders>
            <w:vAlign w:val="center"/>
          </w:tcPr>
          <w:p w14:paraId="59A8A5F7" w14:textId="77777777" w:rsidR="00903145" w:rsidRDefault="00903145" w:rsidP="00706618">
            <w:pPr>
              <w:widowControl w:val="0"/>
              <w:tabs>
                <w:tab w:val="decimal" w:leader="dot" w:pos="205"/>
              </w:tabs>
              <w:autoSpaceDE w:val="0"/>
              <w:autoSpaceDN w:val="0"/>
              <w:adjustRightInd w:val="0"/>
              <w:rPr>
                <w:lang w:val="en-US"/>
              </w:rPr>
            </w:pPr>
            <w:r>
              <w:rPr>
                <w:lang w:val="en-US"/>
              </w:rPr>
              <w:t>[.02, .19]</w:t>
            </w:r>
          </w:p>
        </w:tc>
        <w:tc>
          <w:tcPr>
            <w:tcW w:w="1779" w:type="dxa"/>
            <w:tcBorders>
              <w:top w:val="nil"/>
              <w:left w:val="nil"/>
              <w:bottom w:val="nil"/>
              <w:right w:val="nil"/>
            </w:tcBorders>
            <w:vAlign w:val="center"/>
          </w:tcPr>
          <w:p w14:paraId="35F3D3BE" w14:textId="77777777" w:rsidR="00903145" w:rsidRDefault="00903145" w:rsidP="00706618">
            <w:pPr>
              <w:widowControl w:val="0"/>
              <w:tabs>
                <w:tab w:val="decimal" w:leader="dot" w:pos="267"/>
              </w:tabs>
              <w:autoSpaceDE w:val="0"/>
              <w:autoSpaceDN w:val="0"/>
              <w:adjustRightInd w:val="0"/>
              <w:rPr>
                <w:lang w:val="en-US"/>
              </w:rPr>
            </w:pPr>
          </w:p>
        </w:tc>
      </w:tr>
      <w:tr w:rsidR="00903145" w14:paraId="2276CE4C" w14:textId="77777777" w:rsidTr="00706618">
        <w:tblPrEx>
          <w:tblCellMar>
            <w:top w:w="0" w:type="dxa"/>
            <w:bottom w:w="0" w:type="dxa"/>
          </w:tblCellMar>
        </w:tblPrEx>
        <w:tc>
          <w:tcPr>
            <w:tcW w:w="1560" w:type="dxa"/>
            <w:tcBorders>
              <w:top w:val="nil"/>
              <w:left w:val="nil"/>
              <w:bottom w:val="nil"/>
              <w:right w:val="nil"/>
            </w:tcBorders>
            <w:vAlign w:val="center"/>
          </w:tcPr>
          <w:p w14:paraId="63AC11F6" w14:textId="77777777" w:rsidR="00903145" w:rsidRDefault="00903145" w:rsidP="00706618">
            <w:pPr>
              <w:widowControl w:val="0"/>
              <w:autoSpaceDE w:val="0"/>
              <w:autoSpaceDN w:val="0"/>
              <w:adjustRightInd w:val="0"/>
              <w:jc w:val="right"/>
              <w:rPr>
                <w:lang w:val="en-US"/>
              </w:rPr>
            </w:pPr>
            <w:proofErr w:type="spellStart"/>
            <w:r>
              <w:rPr>
                <w:lang w:val="en-US"/>
              </w:rPr>
              <w:t>SPP_total</w:t>
            </w:r>
            <w:proofErr w:type="spellEnd"/>
          </w:p>
        </w:tc>
        <w:tc>
          <w:tcPr>
            <w:tcW w:w="1176" w:type="dxa"/>
            <w:tcBorders>
              <w:top w:val="nil"/>
              <w:left w:val="nil"/>
              <w:bottom w:val="nil"/>
              <w:right w:val="nil"/>
            </w:tcBorders>
            <w:vAlign w:val="center"/>
          </w:tcPr>
          <w:p w14:paraId="5B39F271" w14:textId="77777777" w:rsidR="00903145" w:rsidRDefault="00903145" w:rsidP="00706618">
            <w:pPr>
              <w:widowControl w:val="0"/>
              <w:tabs>
                <w:tab w:val="decimal" w:leader="dot" w:pos="547"/>
              </w:tabs>
              <w:autoSpaceDE w:val="0"/>
              <w:autoSpaceDN w:val="0"/>
              <w:adjustRightInd w:val="0"/>
              <w:rPr>
                <w:lang w:val="en-US"/>
              </w:rPr>
            </w:pPr>
            <w:r>
              <w:rPr>
                <w:lang w:val="en-US"/>
              </w:rPr>
              <w:t>0.22**</w:t>
            </w:r>
          </w:p>
        </w:tc>
        <w:tc>
          <w:tcPr>
            <w:tcW w:w="1846" w:type="dxa"/>
            <w:tcBorders>
              <w:top w:val="nil"/>
              <w:left w:val="nil"/>
              <w:bottom w:val="nil"/>
              <w:right w:val="nil"/>
            </w:tcBorders>
            <w:vAlign w:val="center"/>
          </w:tcPr>
          <w:p w14:paraId="5916BE5A" w14:textId="77777777" w:rsidR="00903145" w:rsidRDefault="00903145" w:rsidP="00706618">
            <w:pPr>
              <w:widowControl w:val="0"/>
              <w:tabs>
                <w:tab w:val="decimal" w:leader="dot" w:pos="277"/>
              </w:tabs>
              <w:autoSpaceDE w:val="0"/>
              <w:autoSpaceDN w:val="0"/>
              <w:adjustRightInd w:val="0"/>
              <w:rPr>
                <w:lang w:val="en-US"/>
              </w:rPr>
            </w:pPr>
            <w:r>
              <w:rPr>
                <w:lang w:val="en-US"/>
              </w:rPr>
              <w:t>[0.12, 0.32]</w:t>
            </w:r>
          </w:p>
        </w:tc>
        <w:tc>
          <w:tcPr>
            <w:tcW w:w="864" w:type="dxa"/>
            <w:tcBorders>
              <w:top w:val="nil"/>
              <w:left w:val="nil"/>
              <w:bottom w:val="nil"/>
              <w:right w:val="nil"/>
            </w:tcBorders>
            <w:vAlign w:val="center"/>
          </w:tcPr>
          <w:p w14:paraId="589172B6" w14:textId="77777777" w:rsidR="00903145" w:rsidRDefault="00903145" w:rsidP="00706618">
            <w:pPr>
              <w:widowControl w:val="0"/>
              <w:tabs>
                <w:tab w:val="decimal" w:leader="dot" w:pos="130"/>
              </w:tabs>
              <w:autoSpaceDE w:val="0"/>
              <w:autoSpaceDN w:val="0"/>
              <w:adjustRightInd w:val="0"/>
              <w:rPr>
                <w:lang w:val="en-US"/>
              </w:rPr>
            </w:pPr>
            <w:r>
              <w:rPr>
                <w:lang w:val="en-US"/>
              </w:rPr>
              <w:t>.10</w:t>
            </w:r>
          </w:p>
        </w:tc>
        <w:tc>
          <w:tcPr>
            <w:tcW w:w="1368" w:type="dxa"/>
            <w:tcBorders>
              <w:top w:val="nil"/>
              <w:left w:val="nil"/>
              <w:bottom w:val="nil"/>
              <w:right w:val="nil"/>
            </w:tcBorders>
            <w:vAlign w:val="center"/>
          </w:tcPr>
          <w:p w14:paraId="5EEA9F29" w14:textId="77777777" w:rsidR="00903145" w:rsidRDefault="00903145" w:rsidP="00706618">
            <w:pPr>
              <w:widowControl w:val="0"/>
              <w:tabs>
                <w:tab w:val="decimal" w:leader="dot" w:pos="205"/>
              </w:tabs>
              <w:autoSpaceDE w:val="0"/>
              <w:autoSpaceDN w:val="0"/>
              <w:adjustRightInd w:val="0"/>
              <w:rPr>
                <w:lang w:val="en-US"/>
              </w:rPr>
            </w:pPr>
            <w:r>
              <w:rPr>
                <w:lang w:val="en-US"/>
              </w:rPr>
              <w:t>[.01, .18]</w:t>
            </w:r>
          </w:p>
        </w:tc>
        <w:tc>
          <w:tcPr>
            <w:tcW w:w="1779" w:type="dxa"/>
            <w:tcBorders>
              <w:top w:val="nil"/>
              <w:left w:val="nil"/>
              <w:bottom w:val="nil"/>
              <w:right w:val="nil"/>
            </w:tcBorders>
            <w:vAlign w:val="center"/>
          </w:tcPr>
          <w:p w14:paraId="69E8C913" w14:textId="77777777" w:rsidR="00903145" w:rsidRDefault="00903145" w:rsidP="00706618">
            <w:pPr>
              <w:widowControl w:val="0"/>
              <w:tabs>
                <w:tab w:val="decimal" w:leader="dot" w:pos="267"/>
              </w:tabs>
              <w:autoSpaceDE w:val="0"/>
              <w:autoSpaceDN w:val="0"/>
              <w:adjustRightInd w:val="0"/>
              <w:rPr>
                <w:lang w:val="en-US"/>
              </w:rPr>
            </w:pPr>
          </w:p>
        </w:tc>
      </w:tr>
      <w:tr w:rsidR="00903145" w14:paraId="13A17EBA" w14:textId="77777777" w:rsidTr="00706618">
        <w:tblPrEx>
          <w:tblCellMar>
            <w:top w:w="0" w:type="dxa"/>
            <w:bottom w:w="0" w:type="dxa"/>
          </w:tblCellMar>
        </w:tblPrEx>
        <w:tc>
          <w:tcPr>
            <w:tcW w:w="1560" w:type="dxa"/>
            <w:tcBorders>
              <w:top w:val="nil"/>
              <w:left w:val="nil"/>
              <w:bottom w:val="nil"/>
              <w:right w:val="nil"/>
            </w:tcBorders>
            <w:vAlign w:val="center"/>
          </w:tcPr>
          <w:p w14:paraId="42D4FEC5" w14:textId="77777777" w:rsidR="00903145" w:rsidRDefault="00903145" w:rsidP="00706618">
            <w:pPr>
              <w:widowControl w:val="0"/>
              <w:autoSpaceDE w:val="0"/>
              <w:autoSpaceDN w:val="0"/>
              <w:adjustRightInd w:val="0"/>
              <w:jc w:val="right"/>
              <w:rPr>
                <w:lang w:val="en-US"/>
              </w:rPr>
            </w:pPr>
          </w:p>
        </w:tc>
        <w:tc>
          <w:tcPr>
            <w:tcW w:w="1176" w:type="dxa"/>
            <w:tcBorders>
              <w:top w:val="nil"/>
              <w:left w:val="nil"/>
              <w:bottom w:val="nil"/>
              <w:right w:val="nil"/>
            </w:tcBorders>
            <w:vAlign w:val="center"/>
          </w:tcPr>
          <w:p w14:paraId="003E9826" w14:textId="77777777" w:rsidR="00903145" w:rsidRDefault="00903145" w:rsidP="00706618">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7C5F8F57" w14:textId="77777777" w:rsidR="00903145" w:rsidRDefault="00903145" w:rsidP="00706618">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790AFCE2"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35945121"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nil"/>
              <w:left w:val="nil"/>
              <w:bottom w:val="nil"/>
              <w:right w:val="nil"/>
            </w:tcBorders>
            <w:vAlign w:val="center"/>
          </w:tcPr>
          <w:p w14:paraId="15F92F8A" w14:textId="77777777" w:rsidR="00903145" w:rsidRDefault="00903145" w:rsidP="00706618">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.286**</w:t>
            </w:r>
          </w:p>
        </w:tc>
      </w:tr>
      <w:tr w:rsidR="00903145" w14:paraId="286F12D3" w14:textId="77777777" w:rsidTr="00706618">
        <w:tblPrEx>
          <w:tblCellMar>
            <w:top w:w="0" w:type="dxa"/>
            <w:bottom w:w="0" w:type="dxa"/>
          </w:tblCellMar>
        </w:tblPrEx>
        <w:tc>
          <w:tcPr>
            <w:tcW w:w="1560" w:type="dxa"/>
            <w:tcBorders>
              <w:top w:val="nil"/>
              <w:left w:val="nil"/>
              <w:bottom w:val="nil"/>
              <w:right w:val="nil"/>
            </w:tcBorders>
            <w:vAlign w:val="center"/>
          </w:tcPr>
          <w:p w14:paraId="358764E3" w14:textId="77777777" w:rsidR="00903145" w:rsidRDefault="00903145" w:rsidP="00706618">
            <w:pPr>
              <w:widowControl w:val="0"/>
              <w:autoSpaceDE w:val="0"/>
              <w:autoSpaceDN w:val="0"/>
              <w:adjustRightInd w:val="0"/>
              <w:jc w:val="right"/>
              <w:rPr>
                <w:lang w:val="en-US"/>
              </w:rPr>
            </w:pPr>
          </w:p>
        </w:tc>
        <w:tc>
          <w:tcPr>
            <w:tcW w:w="1176" w:type="dxa"/>
            <w:tcBorders>
              <w:top w:val="nil"/>
              <w:left w:val="nil"/>
              <w:bottom w:val="nil"/>
              <w:right w:val="nil"/>
            </w:tcBorders>
            <w:vAlign w:val="center"/>
          </w:tcPr>
          <w:p w14:paraId="26361E9A" w14:textId="77777777" w:rsidR="00903145" w:rsidRDefault="00903145" w:rsidP="00706618">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0540AE06" w14:textId="77777777" w:rsidR="00903145" w:rsidRDefault="00903145" w:rsidP="00706618">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1D60D8E0"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276CC1CC"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nil"/>
              <w:left w:val="nil"/>
              <w:bottom w:val="nil"/>
              <w:right w:val="nil"/>
            </w:tcBorders>
            <w:vAlign w:val="center"/>
          </w:tcPr>
          <w:p w14:paraId="12538056" w14:textId="77777777" w:rsidR="00903145" w:rsidRDefault="00903145" w:rsidP="00706618">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.15,.39]</w:t>
            </w:r>
          </w:p>
        </w:tc>
      </w:tr>
      <w:tr w:rsidR="00903145" w14:paraId="07E0B281" w14:textId="77777777" w:rsidTr="00706618">
        <w:tblPrEx>
          <w:tblCellMar>
            <w:top w:w="0" w:type="dxa"/>
            <w:bottom w:w="0" w:type="dxa"/>
          </w:tblCellMar>
        </w:tblPrEx>
        <w:tc>
          <w:tcPr>
            <w:tcW w:w="1560" w:type="dxa"/>
            <w:tcBorders>
              <w:top w:val="nil"/>
              <w:left w:val="nil"/>
              <w:bottom w:val="single" w:sz="6" w:space="0" w:color="auto"/>
              <w:right w:val="nil"/>
            </w:tcBorders>
            <w:vAlign w:val="center"/>
          </w:tcPr>
          <w:p w14:paraId="4831E93E" w14:textId="77777777" w:rsidR="00903145" w:rsidRDefault="00903145" w:rsidP="00706618">
            <w:pPr>
              <w:widowControl w:val="0"/>
              <w:autoSpaceDE w:val="0"/>
              <w:autoSpaceDN w:val="0"/>
              <w:adjustRightInd w:val="0"/>
              <w:jc w:val="right"/>
              <w:rPr>
                <w:lang w:val="en-US"/>
              </w:rPr>
            </w:pPr>
          </w:p>
        </w:tc>
        <w:tc>
          <w:tcPr>
            <w:tcW w:w="1176" w:type="dxa"/>
            <w:tcBorders>
              <w:top w:val="nil"/>
              <w:left w:val="nil"/>
              <w:bottom w:val="single" w:sz="6" w:space="0" w:color="auto"/>
              <w:right w:val="nil"/>
            </w:tcBorders>
            <w:vAlign w:val="center"/>
          </w:tcPr>
          <w:p w14:paraId="3DCDB907" w14:textId="77777777" w:rsidR="00903145" w:rsidRDefault="00903145" w:rsidP="00706618">
            <w:pPr>
              <w:widowControl w:val="0"/>
              <w:tabs>
                <w:tab w:val="decimal" w:leader="dot" w:pos="547"/>
              </w:tabs>
              <w:autoSpaceDE w:val="0"/>
              <w:autoSpaceDN w:val="0"/>
              <w:adjustRightInd w:val="0"/>
              <w:rPr>
                <w:lang w:val="en-US"/>
              </w:rPr>
            </w:pPr>
          </w:p>
        </w:tc>
        <w:tc>
          <w:tcPr>
            <w:tcW w:w="1846" w:type="dxa"/>
            <w:tcBorders>
              <w:top w:val="nil"/>
              <w:left w:val="nil"/>
              <w:bottom w:val="single" w:sz="6" w:space="0" w:color="auto"/>
              <w:right w:val="nil"/>
            </w:tcBorders>
            <w:vAlign w:val="center"/>
          </w:tcPr>
          <w:p w14:paraId="184022A7" w14:textId="77777777" w:rsidR="00903145" w:rsidRDefault="00903145" w:rsidP="00706618">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6F7E23BA" w14:textId="77777777" w:rsidR="00903145" w:rsidRDefault="00903145" w:rsidP="00706618">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52D8636" w14:textId="77777777" w:rsidR="00903145" w:rsidRDefault="00903145" w:rsidP="00706618">
            <w:pPr>
              <w:widowControl w:val="0"/>
              <w:tabs>
                <w:tab w:val="decimal" w:leader="dot" w:pos="205"/>
              </w:tabs>
              <w:autoSpaceDE w:val="0"/>
              <w:autoSpaceDN w:val="0"/>
              <w:adjustRightInd w:val="0"/>
              <w:rPr>
                <w:lang w:val="en-US"/>
              </w:rPr>
            </w:pPr>
          </w:p>
        </w:tc>
        <w:tc>
          <w:tcPr>
            <w:tcW w:w="1779" w:type="dxa"/>
            <w:tcBorders>
              <w:top w:val="nil"/>
              <w:left w:val="nil"/>
              <w:bottom w:val="single" w:sz="6" w:space="0" w:color="auto"/>
              <w:right w:val="nil"/>
            </w:tcBorders>
            <w:vAlign w:val="center"/>
          </w:tcPr>
          <w:p w14:paraId="4E82B82F" w14:textId="77777777" w:rsidR="00903145" w:rsidRDefault="00903145" w:rsidP="00706618">
            <w:pPr>
              <w:widowControl w:val="0"/>
              <w:tabs>
                <w:tab w:val="decimal" w:leader="dot" w:pos="267"/>
              </w:tabs>
              <w:autoSpaceDE w:val="0"/>
              <w:autoSpaceDN w:val="0"/>
              <w:adjustRightInd w:val="0"/>
              <w:rPr>
                <w:lang w:val="en-US"/>
              </w:rPr>
            </w:pPr>
          </w:p>
        </w:tc>
      </w:tr>
    </w:tbl>
    <w:p w14:paraId="522CA0A8" w14:textId="77777777" w:rsidR="00903145" w:rsidRDefault="00903145" w:rsidP="00903145">
      <w:pPr>
        <w:widowControl w:val="0"/>
        <w:autoSpaceDE w:val="0"/>
        <w:autoSpaceDN w:val="0"/>
        <w:adjustRightInd w:val="0"/>
        <w:rPr>
          <w:lang w:val="en-US"/>
        </w:rPr>
      </w:pPr>
    </w:p>
    <w:p w14:paraId="151C23CD" w14:textId="77777777" w:rsidR="00903145" w:rsidRDefault="00903145" w:rsidP="00903145">
      <w:pPr>
        <w:widowControl w:val="0"/>
        <w:autoSpaceDE w:val="0"/>
        <w:autoSpaceDN w:val="0"/>
        <w:adjustRightInd w:val="0"/>
        <w:rPr>
          <w:lang w:val="en-US"/>
        </w:rPr>
      </w:pPr>
      <w:r>
        <w:rPr>
          <w:i/>
          <w:iCs/>
          <w:lang w:val="en-US"/>
        </w:rPr>
        <w:t>Note.</w:t>
      </w:r>
      <w:r>
        <w:rPr>
          <w:lang w:val="en-US"/>
        </w:rPr>
        <w:t xml:space="preserve"> A significant </w:t>
      </w:r>
      <w:r>
        <w:rPr>
          <w:i/>
          <w:iCs/>
          <w:lang w:val="en-US"/>
        </w:rPr>
        <w:t>b</w:t>
      </w:r>
      <w:r>
        <w:rPr>
          <w:lang w:val="en-US"/>
        </w:rPr>
        <w:t xml:space="preserve">-weight indicates the semi-partial correlation is also significant. </w:t>
      </w:r>
      <w:r>
        <w:rPr>
          <w:i/>
          <w:iCs/>
          <w:lang w:val="en-US"/>
        </w:rPr>
        <w:t>b</w:t>
      </w:r>
      <w:r>
        <w:rPr>
          <w:lang w:val="en-US"/>
        </w:rPr>
        <w:t xml:space="preserve"> represents unstandardized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indicates p &lt; .05. ** indicates p &lt; .01.</w:t>
      </w:r>
    </w:p>
    <w:p w14:paraId="521454A5" w14:textId="77777777" w:rsidR="009B1BB8" w:rsidRDefault="009B1BB8" w:rsidP="00314EBB">
      <w:pPr>
        <w:spacing w:line="480" w:lineRule="auto"/>
      </w:pPr>
    </w:p>
    <w:p w14:paraId="15BDC744" w14:textId="77777777" w:rsidR="006D331D" w:rsidRDefault="006D331D" w:rsidP="006D331D">
      <w:pPr>
        <w:spacing w:line="480" w:lineRule="auto"/>
        <w:rPr>
          <w:b/>
          <w:bCs/>
        </w:rPr>
      </w:pPr>
      <w:r>
        <w:rPr>
          <w:b/>
          <w:bCs/>
        </w:rPr>
        <w:t>Limitations</w:t>
      </w:r>
    </w:p>
    <w:p w14:paraId="29B0CEAB" w14:textId="2460C4F5" w:rsidR="006D331D" w:rsidRDefault="006D331D" w:rsidP="006D331D">
      <w:pPr>
        <w:spacing w:line="480" w:lineRule="auto"/>
        <w:ind w:firstLine="720"/>
        <w:rPr>
          <w:b/>
          <w:bCs/>
        </w:rPr>
      </w:pPr>
      <w:r>
        <w:t>Several</w:t>
      </w:r>
      <w:r>
        <w:t xml:space="preserve"> limitations of the current analysis should be noted. First, </w:t>
      </w:r>
      <w:r>
        <w:t>m</w:t>
      </w:r>
      <w:r>
        <w:t>inor violations of linearity, normality, and homoscedasticity were observed in diagnostic plots, which could introduce some bias into parameter estimates</w:t>
      </w:r>
      <w:r>
        <w:t xml:space="preserve">. Though these violations were judged to be minimal and not severe enough to invalidate the model, </w:t>
      </w:r>
      <w:r>
        <w:t>researchers could consider using robust regression techniques or transforming variables (e.g., log or square root transformations) to better meet model assumptions</w:t>
      </w:r>
      <w:r>
        <w:t xml:space="preserve"> </w:t>
      </w:r>
      <w:r>
        <w:t>in future studies.</w:t>
      </w:r>
      <w:r>
        <w:t xml:space="preserve"> </w:t>
      </w:r>
      <w:r>
        <w:t xml:space="preserve">Second, the sample had a large imbalance in </w:t>
      </w:r>
      <w:r>
        <w:lastRenderedPageBreak/>
        <w:t>sex, with most participants identifying as female. This could reduce the reliability of comparisons between males and females. A more balanced sample or statistical methods like bootstrapping could improve group comparisons in future analyses.</w:t>
      </w:r>
      <w:r>
        <w:rPr>
          <w:b/>
          <w:bCs/>
        </w:rPr>
        <w:t xml:space="preserve"> </w:t>
      </w:r>
      <w:r w:rsidRPr="006D331D">
        <w:t>Third,</w:t>
      </w:r>
      <w:r>
        <w:rPr>
          <w:b/>
          <w:bCs/>
        </w:rPr>
        <w:t xml:space="preserve"> </w:t>
      </w:r>
      <w:r>
        <w:t>Third, the regression model used unstandardized coefficients, which reflect raw units of measurement. While these are useful for interpretation, they make it difficult to compare which predictors have the strongest effect when variables are measured on different scales. Including standardized coefficients</w:t>
      </w:r>
      <w:r>
        <w:t xml:space="preserve"> </w:t>
      </w:r>
      <w:r>
        <w:t>could help address this.</w:t>
      </w:r>
    </w:p>
    <w:p w14:paraId="7D942ED4" w14:textId="683A8FF0" w:rsidR="00314EBB" w:rsidRDefault="006D331D" w:rsidP="00314EBB">
      <w:pPr>
        <w:spacing w:line="480" w:lineRule="auto"/>
        <w:rPr>
          <w:b/>
          <w:bCs/>
        </w:rPr>
      </w:pPr>
      <w:r>
        <w:rPr>
          <w:b/>
          <w:bCs/>
        </w:rPr>
        <w:t>Conclusion</w:t>
      </w:r>
    </w:p>
    <w:p w14:paraId="070C2DA3" w14:textId="675CDBA7" w:rsidR="006D331D" w:rsidRPr="006D331D" w:rsidRDefault="006D331D" w:rsidP="00314EBB">
      <w:pPr>
        <w:spacing w:line="480" w:lineRule="auto"/>
      </w:pPr>
      <w:r>
        <w:rPr>
          <w:b/>
          <w:bCs/>
        </w:rPr>
        <w:tab/>
      </w:r>
      <w:r>
        <w:t xml:space="preserve">The findings of this study provide strong support for both hypotheses. Consistent with </w:t>
      </w:r>
      <w:r>
        <w:rPr>
          <w:rStyle w:val="Strong"/>
          <w:b w:val="0"/>
          <w:bCs w:val="0"/>
        </w:rPr>
        <w:t>H1</w:t>
      </w:r>
      <w:r>
        <w:t xml:space="preserve">, sex, conscientiousness, and </w:t>
      </w:r>
      <w:r>
        <w:t xml:space="preserve">SPP </w:t>
      </w:r>
      <w:r>
        <w:t xml:space="preserve">each significantly and uniquely predicted negative affect. As expected, women reported higher negative affect than men, higher conscientiousness was associated with lower negative affect, and higher SPP was linked to greater negative affect. </w:t>
      </w:r>
      <w:r>
        <w:rPr>
          <w:rStyle w:val="Strong"/>
          <w:b w:val="0"/>
          <w:bCs w:val="0"/>
        </w:rPr>
        <w:t>H2</w:t>
      </w:r>
      <w:r>
        <w:t xml:space="preserve"> was also supported: SPP accounted for a significant amount of unique variance in negative affect beyond the effects of sex and conscientiousness, and its inclusion improved model fit based on both variance explained and information-theoretic indices (AIC, BIC, Bayes Factor). Together, these results suggest that both personality traits and socially imposed perfectionistic standards are important predictors of emotional well-being.</w:t>
      </w:r>
    </w:p>
    <w:p w14:paraId="37DCF973" w14:textId="5B4FE7AC" w:rsidR="0099461B" w:rsidRPr="0099461B" w:rsidRDefault="0099461B" w:rsidP="0099461B">
      <w:pPr>
        <w:spacing w:line="480" w:lineRule="auto"/>
        <w:rPr>
          <w:b/>
          <w:bCs/>
        </w:rPr>
      </w:pPr>
      <w:r>
        <w:rPr>
          <w:b/>
          <w:bCs/>
        </w:rPr>
        <w:tab/>
      </w:r>
    </w:p>
    <w:sectPr w:rsidR="0099461B" w:rsidRPr="0099461B">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2EF7A" w14:textId="77777777" w:rsidR="00C2457B" w:rsidRDefault="00C2457B" w:rsidP="0099461B">
      <w:r>
        <w:separator/>
      </w:r>
    </w:p>
  </w:endnote>
  <w:endnote w:type="continuationSeparator" w:id="0">
    <w:p w14:paraId="23CAED47" w14:textId="77777777" w:rsidR="00C2457B" w:rsidRDefault="00C2457B" w:rsidP="0099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40E48" w14:textId="77777777" w:rsidR="00C2457B" w:rsidRDefault="00C2457B" w:rsidP="0099461B">
      <w:r>
        <w:separator/>
      </w:r>
    </w:p>
  </w:footnote>
  <w:footnote w:type="continuationSeparator" w:id="0">
    <w:p w14:paraId="72D6EB67" w14:textId="77777777" w:rsidR="00C2457B" w:rsidRDefault="00C2457B" w:rsidP="00994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242615"/>
      <w:docPartObj>
        <w:docPartGallery w:val="Page Numbers (Top of Page)"/>
        <w:docPartUnique/>
      </w:docPartObj>
    </w:sdtPr>
    <w:sdtContent>
      <w:p w14:paraId="009DDA82" w14:textId="689A2A8B" w:rsidR="0099461B" w:rsidRDefault="0099461B" w:rsidP="008C3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BCD3F" w14:textId="77777777" w:rsidR="0099461B" w:rsidRDefault="0099461B" w:rsidP="009946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460549"/>
      <w:docPartObj>
        <w:docPartGallery w:val="Page Numbers (Top of Page)"/>
        <w:docPartUnique/>
      </w:docPartObj>
    </w:sdtPr>
    <w:sdtContent>
      <w:p w14:paraId="75B85478" w14:textId="1BD162E8" w:rsidR="0099461B" w:rsidRDefault="0099461B" w:rsidP="008C3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85848B" w14:textId="6D211001" w:rsidR="0099461B" w:rsidRDefault="0099461B" w:rsidP="0099461B">
    <w:pPr>
      <w:pStyle w:val="Header"/>
      <w:ind w:right="360"/>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1B"/>
    <w:rsid w:val="000729D5"/>
    <w:rsid w:val="000B684E"/>
    <w:rsid w:val="002A3546"/>
    <w:rsid w:val="00314EBB"/>
    <w:rsid w:val="00332DF1"/>
    <w:rsid w:val="00381582"/>
    <w:rsid w:val="00391C17"/>
    <w:rsid w:val="00447AD0"/>
    <w:rsid w:val="00462BFF"/>
    <w:rsid w:val="005F4D0B"/>
    <w:rsid w:val="006510DB"/>
    <w:rsid w:val="0067294E"/>
    <w:rsid w:val="006D331D"/>
    <w:rsid w:val="00736709"/>
    <w:rsid w:val="007E154E"/>
    <w:rsid w:val="007F5DA3"/>
    <w:rsid w:val="008148F9"/>
    <w:rsid w:val="00903145"/>
    <w:rsid w:val="0097148D"/>
    <w:rsid w:val="0099461B"/>
    <w:rsid w:val="009A619A"/>
    <w:rsid w:val="009B1BB8"/>
    <w:rsid w:val="009D44BA"/>
    <w:rsid w:val="00A22766"/>
    <w:rsid w:val="00AA0245"/>
    <w:rsid w:val="00C0082B"/>
    <w:rsid w:val="00C2457B"/>
    <w:rsid w:val="00CC2CCB"/>
    <w:rsid w:val="00CC4215"/>
    <w:rsid w:val="00D81738"/>
    <w:rsid w:val="00E237FA"/>
    <w:rsid w:val="00E71F6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1359"/>
  <w15:chartTrackingRefBased/>
  <w15:docId w15:val="{B90B4DEF-259C-A84E-A896-A8628747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1D"/>
    <w:rPr>
      <w:rFonts w:ascii="Times New Roman" w:eastAsia="Times New Roman" w:hAnsi="Times New Roman" w:cs="Times New Roman"/>
      <w:kern w:val="0"/>
      <w:lang w:bidi="he-IL"/>
      <w14:ligatures w14:val="none"/>
    </w:rPr>
  </w:style>
  <w:style w:type="paragraph" w:styleId="Heading1">
    <w:name w:val="heading 1"/>
    <w:basedOn w:val="Normal"/>
    <w:next w:val="Normal"/>
    <w:link w:val="Heading1Char"/>
    <w:uiPriority w:val="9"/>
    <w:qFormat/>
    <w:rsid w:val="0099461B"/>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iPriority w:val="9"/>
    <w:semiHidden/>
    <w:unhideWhenUsed/>
    <w:qFormat/>
    <w:rsid w:val="0099461B"/>
    <w:pPr>
      <w:keepNext/>
      <w:keepLines/>
      <w:spacing w:before="160" w:after="80"/>
      <w:outlineLvl w:val="1"/>
    </w:pPr>
    <w:rPr>
      <w:rFonts w:asciiTheme="majorHAnsi" w:eastAsiaTheme="majorEastAsia" w:hAnsiTheme="majorHAnsi" w:cstheme="majorBidi"/>
      <w:color w:val="2F5496" w:themeColor="accent1" w:themeShade="BF"/>
      <w:kern w:val="2"/>
      <w:sz w:val="32"/>
      <w:szCs w:val="32"/>
      <w:lang w:bidi="ar-SA"/>
      <w14:ligatures w14:val="standardContextual"/>
    </w:rPr>
  </w:style>
  <w:style w:type="paragraph" w:styleId="Heading3">
    <w:name w:val="heading 3"/>
    <w:basedOn w:val="Normal"/>
    <w:next w:val="Normal"/>
    <w:link w:val="Heading3Char"/>
    <w:uiPriority w:val="9"/>
    <w:semiHidden/>
    <w:unhideWhenUsed/>
    <w:qFormat/>
    <w:rsid w:val="0099461B"/>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99461B"/>
    <w:pPr>
      <w:keepNext/>
      <w:keepLines/>
      <w:spacing w:before="80" w:after="40"/>
      <w:outlineLvl w:val="3"/>
    </w:pPr>
    <w:rPr>
      <w:rFonts w:asciiTheme="minorHAnsi" w:eastAsiaTheme="majorEastAsia" w:hAnsiTheme="minorHAnsi" w:cstheme="majorBidi"/>
      <w:i/>
      <w:iCs/>
      <w:color w:val="2F5496" w:themeColor="accent1" w:themeShade="BF"/>
      <w:kern w:val="2"/>
      <w:lang w:bidi="ar-SA"/>
      <w14:ligatures w14:val="standardContextual"/>
    </w:rPr>
  </w:style>
  <w:style w:type="paragraph" w:styleId="Heading5">
    <w:name w:val="heading 5"/>
    <w:basedOn w:val="Normal"/>
    <w:next w:val="Normal"/>
    <w:link w:val="Heading5Char"/>
    <w:uiPriority w:val="9"/>
    <w:semiHidden/>
    <w:unhideWhenUsed/>
    <w:qFormat/>
    <w:rsid w:val="0099461B"/>
    <w:pPr>
      <w:keepNext/>
      <w:keepLines/>
      <w:spacing w:before="80" w:after="40"/>
      <w:outlineLvl w:val="4"/>
    </w:pPr>
    <w:rPr>
      <w:rFonts w:asciiTheme="minorHAnsi" w:eastAsiaTheme="majorEastAsia" w:hAnsiTheme="minorHAnsi" w:cstheme="majorBidi"/>
      <w:color w:val="2F5496" w:themeColor="accent1" w:themeShade="BF"/>
      <w:kern w:val="2"/>
      <w:lang w:bidi="ar-SA"/>
      <w14:ligatures w14:val="standardContextual"/>
    </w:rPr>
  </w:style>
  <w:style w:type="paragraph" w:styleId="Heading6">
    <w:name w:val="heading 6"/>
    <w:basedOn w:val="Normal"/>
    <w:next w:val="Normal"/>
    <w:link w:val="Heading6Char"/>
    <w:uiPriority w:val="9"/>
    <w:semiHidden/>
    <w:unhideWhenUsed/>
    <w:qFormat/>
    <w:rsid w:val="0099461B"/>
    <w:pPr>
      <w:keepNext/>
      <w:keepLines/>
      <w:spacing w:before="40"/>
      <w:outlineLvl w:val="5"/>
    </w:pPr>
    <w:rPr>
      <w:rFonts w:asciiTheme="minorHAnsi" w:eastAsiaTheme="majorEastAsia" w:hAnsiTheme="minorHAnsi" w:cstheme="majorBidi"/>
      <w:i/>
      <w:iCs/>
      <w:color w:val="595959" w:themeColor="text1" w:themeTint="A6"/>
      <w:kern w:val="2"/>
      <w:lang w:bidi="ar-SA"/>
      <w14:ligatures w14:val="standardContextual"/>
    </w:rPr>
  </w:style>
  <w:style w:type="paragraph" w:styleId="Heading7">
    <w:name w:val="heading 7"/>
    <w:basedOn w:val="Normal"/>
    <w:next w:val="Normal"/>
    <w:link w:val="Heading7Char"/>
    <w:uiPriority w:val="9"/>
    <w:semiHidden/>
    <w:unhideWhenUsed/>
    <w:qFormat/>
    <w:rsid w:val="0099461B"/>
    <w:pPr>
      <w:keepNext/>
      <w:keepLines/>
      <w:spacing w:before="40"/>
      <w:outlineLvl w:val="6"/>
    </w:pPr>
    <w:rPr>
      <w:rFonts w:asciiTheme="minorHAnsi" w:eastAsiaTheme="majorEastAsia" w:hAnsiTheme="minorHAnsi" w:cstheme="majorBidi"/>
      <w:color w:val="595959" w:themeColor="text1" w:themeTint="A6"/>
      <w:kern w:val="2"/>
      <w:lang w:bidi="ar-SA"/>
      <w14:ligatures w14:val="standardContextual"/>
    </w:rPr>
  </w:style>
  <w:style w:type="paragraph" w:styleId="Heading8">
    <w:name w:val="heading 8"/>
    <w:basedOn w:val="Normal"/>
    <w:next w:val="Normal"/>
    <w:link w:val="Heading8Char"/>
    <w:uiPriority w:val="9"/>
    <w:semiHidden/>
    <w:unhideWhenUsed/>
    <w:qFormat/>
    <w:rsid w:val="0099461B"/>
    <w:pPr>
      <w:keepNext/>
      <w:keepLines/>
      <w:outlineLvl w:val="7"/>
    </w:pPr>
    <w:rPr>
      <w:rFonts w:asciiTheme="minorHAnsi" w:eastAsiaTheme="majorEastAsia" w:hAnsiTheme="minorHAnsi" w:cstheme="majorBidi"/>
      <w:i/>
      <w:iCs/>
      <w:color w:val="272727" w:themeColor="text1" w:themeTint="D8"/>
      <w:kern w:val="2"/>
      <w:lang w:bidi="ar-SA"/>
      <w14:ligatures w14:val="standardContextual"/>
    </w:rPr>
  </w:style>
  <w:style w:type="paragraph" w:styleId="Heading9">
    <w:name w:val="heading 9"/>
    <w:basedOn w:val="Normal"/>
    <w:next w:val="Normal"/>
    <w:link w:val="Heading9Char"/>
    <w:uiPriority w:val="9"/>
    <w:semiHidden/>
    <w:unhideWhenUsed/>
    <w:qFormat/>
    <w:rsid w:val="0099461B"/>
    <w:pPr>
      <w:keepNext/>
      <w:keepLines/>
      <w:outlineLvl w:val="8"/>
    </w:pPr>
    <w:rPr>
      <w:rFonts w:asciiTheme="minorHAnsi" w:eastAsiaTheme="majorEastAsia" w:hAnsiTheme="minorHAnsi" w:cstheme="majorBidi"/>
      <w:color w:val="272727" w:themeColor="text1" w:themeTint="D8"/>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1B"/>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99461B"/>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99461B"/>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99461B"/>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99461B"/>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99461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99461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99461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99461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99461B"/>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99461B"/>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99461B"/>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99461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99461B"/>
    <w:pPr>
      <w:spacing w:before="160" w:after="160"/>
      <w:jc w:val="center"/>
    </w:pPr>
    <w:rPr>
      <w:rFonts w:asciiTheme="majorBidi" w:eastAsiaTheme="minorHAnsi" w:hAnsiTheme="majorBidi" w:cstheme="majorBid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99461B"/>
    <w:rPr>
      <w:i/>
      <w:iCs/>
      <w:color w:val="404040" w:themeColor="text1" w:themeTint="BF"/>
    </w:rPr>
  </w:style>
  <w:style w:type="paragraph" w:styleId="ListParagraph">
    <w:name w:val="List Paragraph"/>
    <w:basedOn w:val="Normal"/>
    <w:uiPriority w:val="34"/>
    <w:qFormat/>
    <w:rsid w:val="0099461B"/>
    <w:pPr>
      <w:ind w:left="720"/>
      <w:contextualSpacing/>
    </w:pPr>
    <w:rPr>
      <w:rFonts w:asciiTheme="majorBidi" w:eastAsiaTheme="minorHAnsi" w:hAnsiTheme="majorBidi" w:cstheme="majorBidi"/>
      <w:kern w:val="2"/>
      <w:lang w:bidi="ar-SA"/>
      <w14:ligatures w14:val="standardContextual"/>
    </w:rPr>
  </w:style>
  <w:style w:type="character" w:styleId="IntenseEmphasis">
    <w:name w:val="Intense Emphasis"/>
    <w:basedOn w:val="DefaultParagraphFont"/>
    <w:uiPriority w:val="21"/>
    <w:qFormat/>
    <w:rsid w:val="0099461B"/>
    <w:rPr>
      <w:i/>
      <w:iCs/>
      <w:color w:val="2F5496" w:themeColor="accent1" w:themeShade="BF"/>
    </w:rPr>
  </w:style>
  <w:style w:type="paragraph" w:styleId="IntenseQuote">
    <w:name w:val="Intense Quote"/>
    <w:basedOn w:val="Normal"/>
    <w:next w:val="Normal"/>
    <w:link w:val="IntenseQuoteChar"/>
    <w:uiPriority w:val="30"/>
    <w:qFormat/>
    <w:rsid w:val="0099461B"/>
    <w:pPr>
      <w:pBdr>
        <w:top w:val="single" w:sz="4" w:space="10" w:color="2F5496" w:themeColor="accent1" w:themeShade="BF"/>
        <w:bottom w:val="single" w:sz="4" w:space="10" w:color="2F5496" w:themeColor="accent1" w:themeShade="BF"/>
      </w:pBdr>
      <w:spacing w:before="360" w:after="360"/>
      <w:ind w:left="864" w:right="864"/>
      <w:jc w:val="center"/>
    </w:pPr>
    <w:rPr>
      <w:rFonts w:asciiTheme="majorBidi" w:eastAsiaTheme="minorHAnsi" w:hAnsiTheme="majorBidi" w:cstheme="majorBid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99461B"/>
    <w:rPr>
      <w:i/>
      <w:iCs/>
      <w:color w:val="2F5496" w:themeColor="accent1" w:themeShade="BF"/>
    </w:rPr>
  </w:style>
  <w:style w:type="character" w:styleId="IntenseReference">
    <w:name w:val="Intense Reference"/>
    <w:basedOn w:val="DefaultParagraphFont"/>
    <w:uiPriority w:val="32"/>
    <w:qFormat/>
    <w:rsid w:val="0099461B"/>
    <w:rPr>
      <w:b/>
      <w:bCs/>
      <w:smallCaps/>
      <w:color w:val="2F5496" w:themeColor="accent1" w:themeShade="BF"/>
      <w:spacing w:val="5"/>
    </w:rPr>
  </w:style>
  <w:style w:type="character" w:styleId="Emphasis">
    <w:name w:val="Emphasis"/>
    <w:basedOn w:val="DefaultParagraphFont"/>
    <w:uiPriority w:val="20"/>
    <w:qFormat/>
    <w:rsid w:val="0099461B"/>
    <w:rPr>
      <w:i/>
      <w:iCs/>
    </w:rPr>
  </w:style>
  <w:style w:type="paragraph" w:styleId="Header">
    <w:name w:val="header"/>
    <w:basedOn w:val="Normal"/>
    <w:link w:val="HeaderChar"/>
    <w:uiPriority w:val="99"/>
    <w:unhideWhenUsed/>
    <w:rsid w:val="0099461B"/>
    <w:pPr>
      <w:tabs>
        <w:tab w:val="center" w:pos="4680"/>
        <w:tab w:val="right" w:pos="9360"/>
      </w:tabs>
    </w:pPr>
    <w:rPr>
      <w:rFonts w:asciiTheme="majorBidi" w:eastAsiaTheme="minorHAnsi" w:hAnsiTheme="majorBidi" w:cstheme="majorBidi"/>
      <w:kern w:val="2"/>
      <w:lang w:bidi="ar-SA"/>
      <w14:ligatures w14:val="standardContextual"/>
    </w:rPr>
  </w:style>
  <w:style w:type="character" w:customStyle="1" w:styleId="HeaderChar">
    <w:name w:val="Header Char"/>
    <w:basedOn w:val="DefaultParagraphFont"/>
    <w:link w:val="Header"/>
    <w:uiPriority w:val="99"/>
    <w:rsid w:val="0099461B"/>
  </w:style>
  <w:style w:type="paragraph" w:styleId="Footer">
    <w:name w:val="footer"/>
    <w:basedOn w:val="Normal"/>
    <w:link w:val="FooterChar"/>
    <w:uiPriority w:val="99"/>
    <w:unhideWhenUsed/>
    <w:rsid w:val="0099461B"/>
    <w:pPr>
      <w:tabs>
        <w:tab w:val="center" w:pos="4680"/>
        <w:tab w:val="right" w:pos="9360"/>
      </w:tabs>
    </w:pPr>
    <w:rPr>
      <w:rFonts w:asciiTheme="majorBidi" w:eastAsiaTheme="minorHAnsi" w:hAnsiTheme="majorBidi" w:cstheme="majorBidi"/>
      <w:kern w:val="2"/>
      <w:lang w:bidi="ar-SA"/>
      <w14:ligatures w14:val="standardContextual"/>
    </w:rPr>
  </w:style>
  <w:style w:type="character" w:customStyle="1" w:styleId="FooterChar">
    <w:name w:val="Footer Char"/>
    <w:basedOn w:val="DefaultParagraphFont"/>
    <w:link w:val="Footer"/>
    <w:uiPriority w:val="99"/>
    <w:rsid w:val="0099461B"/>
  </w:style>
  <w:style w:type="character" w:styleId="PageNumber">
    <w:name w:val="page number"/>
    <w:basedOn w:val="DefaultParagraphFont"/>
    <w:uiPriority w:val="99"/>
    <w:semiHidden/>
    <w:unhideWhenUsed/>
    <w:rsid w:val="0099461B"/>
  </w:style>
  <w:style w:type="character" w:styleId="HTMLCode">
    <w:name w:val="HTML Code"/>
    <w:basedOn w:val="DefaultParagraphFont"/>
    <w:uiPriority w:val="99"/>
    <w:semiHidden/>
    <w:unhideWhenUsed/>
    <w:rsid w:val="00447AD0"/>
    <w:rPr>
      <w:rFonts w:ascii="Courier New" w:eastAsia="Times New Roman" w:hAnsi="Courier New" w:cs="Courier New"/>
      <w:sz w:val="20"/>
      <w:szCs w:val="20"/>
    </w:rPr>
  </w:style>
  <w:style w:type="character" w:styleId="Strong">
    <w:name w:val="Strong"/>
    <w:basedOn w:val="DefaultParagraphFont"/>
    <w:uiPriority w:val="22"/>
    <w:qFormat/>
    <w:rsid w:val="00447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8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2205</Words>
  <Characters>12574</Characters>
  <Application>Microsoft Office Word</Application>
  <DocSecurity>0</DocSecurity>
  <Lines>104</Lines>
  <Paragraphs>29</Paragraphs>
  <ScaleCrop>false</ScaleCrop>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Gazit</dc:creator>
  <cp:keywords/>
  <dc:description/>
  <cp:lastModifiedBy>Tamar Gazit</cp:lastModifiedBy>
  <cp:revision>22</cp:revision>
  <dcterms:created xsi:type="dcterms:W3CDTF">2025-03-16T13:31:00Z</dcterms:created>
  <dcterms:modified xsi:type="dcterms:W3CDTF">2025-03-16T15:16:00Z</dcterms:modified>
</cp:coreProperties>
</file>