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39139" w14:textId="77777777" w:rsidR="00D5611B" w:rsidRDefault="00D5611B" w:rsidP="00D5611B">
      <w:pPr>
        <w:spacing w:line="480" w:lineRule="auto"/>
        <w:jc w:val="center"/>
      </w:pPr>
    </w:p>
    <w:p w14:paraId="4696F60C" w14:textId="77777777" w:rsidR="00D5611B" w:rsidRDefault="00D5611B" w:rsidP="00D5611B">
      <w:pPr>
        <w:spacing w:line="480" w:lineRule="auto"/>
        <w:jc w:val="center"/>
      </w:pPr>
    </w:p>
    <w:p w14:paraId="286A08FF" w14:textId="77777777" w:rsidR="00D5611B" w:rsidRDefault="00D5611B" w:rsidP="00D5611B">
      <w:pPr>
        <w:spacing w:line="480" w:lineRule="auto"/>
        <w:jc w:val="center"/>
      </w:pPr>
    </w:p>
    <w:p w14:paraId="06E7E1ED" w14:textId="77777777" w:rsidR="00D5611B" w:rsidRDefault="00D5611B" w:rsidP="00D5611B">
      <w:pPr>
        <w:spacing w:line="480" w:lineRule="auto"/>
        <w:jc w:val="center"/>
      </w:pPr>
    </w:p>
    <w:p w14:paraId="08D2F8EC" w14:textId="77777777" w:rsidR="00D5611B" w:rsidRDefault="00D5611B" w:rsidP="00D5611B">
      <w:pPr>
        <w:spacing w:line="480" w:lineRule="auto"/>
        <w:jc w:val="center"/>
      </w:pPr>
    </w:p>
    <w:p w14:paraId="20A43593" w14:textId="77777777" w:rsidR="00D5611B" w:rsidRDefault="00D5611B" w:rsidP="00D5611B">
      <w:pPr>
        <w:spacing w:line="480" w:lineRule="auto"/>
        <w:jc w:val="center"/>
      </w:pPr>
    </w:p>
    <w:p w14:paraId="56A818F3" w14:textId="77777777" w:rsidR="00D5611B" w:rsidRDefault="00D5611B" w:rsidP="00D5611B">
      <w:pPr>
        <w:spacing w:line="480" w:lineRule="auto"/>
        <w:jc w:val="center"/>
      </w:pPr>
    </w:p>
    <w:p w14:paraId="09D2063C" w14:textId="77777777" w:rsidR="00D5611B" w:rsidRDefault="00D5611B" w:rsidP="00D5611B">
      <w:pPr>
        <w:spacing w:line="480" w:lineRule="auto"/>
        <w:jc w:val="center"/>
        <w:rPr>
          <w:b/>
          <w:bCs/>
        </w:rPr>
      </w:pPr>
      <w:r>
        <w:rPr>
          <w:b/>
          <w:bCs/>
        </w:rPr>
        <w:t>Predicting Life Satisfaction from the Personality Traits Extraversion and Neuroticism: A Linear Mixed Effects Modeling Approach</w:t>
      </w:r>
    </w:p>
    <w:p w14:paraId="5945EB1C" w14:textId="77777777" w:rsidR="00D5611B" w:rsidRDefault="00D5611B" w:rsidP="00D5611B">
      <w:pPr>
        <w:spacing w:line="480" w:lineRule="auto"/>
        <w:jc w:val="center"/>
      </w:pPr>
    </w:p>
    <w:p w14:paraId="6A597DAA" w14:textId="77777777" w:rsidR="00D5611B" w:rsidRDefault="00D5611B" w:rsidP="00D5611B">
      <w:pPr>
        <w:spacing w:line="480" w:lineRule="auto"/>
        <w:jc w:val="center"/>
      </w:pPr>
    </w:p>
    <w:p w14:paraId="0636E390" w14:textId="77777777" w:rsidR="00D5611B" w:rsidRDefault="00D5611B" w:rsidP="00D5611B">
      <w:pPr>
        <w:spacing w:line="480" w:lineRule="auto"/>
        <w:jc w:val="center"/>
      </w:pPr>
    </w:p>
    <w:p w14:paraId="02C4C802" w14:textId="77777777" w:rsidR="00D5611B" w:rsidRDefault="00D5611B" w:rsidP="00D5611B">
      <w:pPr>
        <w:spacing w:line="480" w:lineRule="auto"/>
        <w:jc w:val="center"/>
      </w:pPr>
    </w:p>
    <w:p w14:paraId="5239AD26" w14:textId="77777777" w:rsidR="00D5611B" w:rsidRDefault="00D5611B" w:rsidP="00D5611B">
      <w:pPr>
        <w:spacing w:line="480" w:lineRule="auto"/>
        <w:jc w:val="center"/>
      </w:pPr>
      <w:r>
        <w:t>Tamar Gazit</w:t>
      </w:r>
    </w:p>
    <w:p w14:paraId="09B45C08" w14:textId="77777777" w:rsidR="00D5611B" w:rsidRDefault="00D5611B" w:rsidP="00D5611B">
      <w:pPr>
        <w:spacing w:line="480" w:lineRule="auto"/>
        <w:jc w:val="center"/>
      </w:pPr>
      <w:r>
        <w:t>Department of Psychiatry, Dalhousie University</w:t>
      </w:r>
    </w:p>
    <w:p w14:paraId="673B657D" w14:textId="77777777" w:rsidR="00D5611B" w:rsidRDefault="00D5611B" w:rsidP="00D5611B">
      <w:pPr>
        <w:spacing w:line="480" w:lineRule="auto"/>
        <w:jc w:val="center"/>
      </w:pPr>
      <w:r>
        <w:t>PSYR 6003: Fundamentals of Applied Statistics and Research Design</w:t>
      </w:r>
    </w:p>
    <w:p w14:paraId="6CB14A4B" w14:textId="77777777" w:rsidR="00D5611B" w:rsidRDefault="00D5611B" w:rsidP="00D5611B">
      <w:pPr>
        <w:spacing w:line="480" w:lineRule="auto"/>
        <w:jc w:val="center"/>
      </w:pPr>
      <w:r>
        <w:t>Dr. Sandra Meier</w:t>
      </w:r>
    </w:p>
    <w:p w14:paraId="687C0FF0" w14:textId="77777777" w:rsidR="00D5611B" w:rsidRDefault="00D5611B" w:rsidP="00D5611B">
      <w:pPr>
        <w:spacing w:line="480" w:lineRule="auto"/>
        <w:jc w:val="center"/>
      </w:pPr>
      <w:r>
        <w:t>13 April 2025</w:t>
      </w:r>
    </w:p>
    <w:p w14:paraId="7A7C4B37" w14:textId="77777777" w:rsidR="00D5611B" w:rsidRDefault="00D5611B" w:rsidP="00D5611B">
      <w:pPr>
        <w:spacing w:line="480" w:lineRule="auto"/>
        <w:jc w:val="center"/>
      </w:pPr>
    </w:p>
    <w:p w14:paraId="447A49F2" w14:textId="2E772A94" w:rsidR="00D5611B" w:rsidRPr="00D5611B" w:rsidRDefault="00D5611B" w:rsidP="00D5611B">
      <w:r>
        <w:rPr>
          <w:b/>
          <w:bCs/>
        </w:rPr>
        <w:br w:type="page"/>
      </w:r>
    </w:p>
    <w:p w14:paraId="75C72D7C" w14:textId="77777777" w:rsidR="00D5611B" w:rsidRDefault="00D5611B" w:rsidP="00D5611B">
      <w:pPr>
        <w:spacing w:line="480" w:lineRule="auto"/>
        <w:jc w:val="center"/>
        <w:rPr>
          <w:b/>
          <w:bCs/>
        </w:rPr>
      </w:pPr>
      <w:r>
        <w:rPr>
          <w:b/>
          <w:bCs/>
        </w:rPr>
        <w:lastRenderedPageBreak/>
        <w:t>Predicting Life Satisfaction from the Personality Traits Extraversion and Neuroticism: A Linear Mixed Effects Modeling Approach</w:t>
      </w:r>
    </w:p>
    <w:p w14:paraId="50CC9016" w14:textId="578A253C" w:rsidR="00EB6B4A" w:rsidRPr="00EB6B4A" w:rsidRDefault="00EB6B4A" w:rsidP="00EB6B4A">
      <w:pPr>
        <w:spacing w:line="480" w:lineRule="auto"/>
      </w:pPr>
      <w:r>
        <w:tab/>
        <w:t>This study examined how extraversion and neuroticism predict satisfaction with life using a linear mixed effects models framework. This modeling approach was selected because the dataset consisted of repeated daily assessments (Level 1) nested within individual participants (Level 2), and linear mixed effects models account for the non-independence of observations within individuals. The study tested three hypotheses: (H1) Extraversion will be positively associated with satisfaction with life; (H2) Neuroticism will be negatively associated with satisfaction with life; (H3) The effects of extraversion and neuroticism will be similar at Level 1 (within participants over time) and Level 2 (between participants).</w:t>
      </w:r>
    </w:p>
    <w:p w14:paraId="15A9752B" w14:textId="3C0FBC83" w:rsidR="00EB6B4A" w:rsidRDefault="00EB6B4A" w:rsidP="00EB6B4A">
      <w:pPr>
        <w:spacing w:line="480" w:lineRule="auto"/>
        <w:jc w:val="center"/>
        <w:rPr>
          <w:b/>
          <w:bCs/>
        </w:rPr>
      </w:pPr>
      <w:r>
        <w:rPr>
          <w:b/>
          <w:bCs/>
        </w:rPr>
        <w:t>Results</w:t>
      </w:r>
    </w:p>
    <w:p w14:paraId="11EFC5F3" w14:textId="672F1E47" w:rsidR="000729D5" w:rsidRDefault="00EB6B4A" w:rsidP="00EB6B4A">
      <w:pPr>
        <w:spacing w:line="480" w:lineRule="auto"/>
        <w:rPr>
          <w:b/>
          <w:bCs/>
        </w:rPr>
      </w:pPr>
      <w:r>
        <w:rPr>
          <w:b/>
          <w:bCs/>
        </w:rPr>
        <w:t>Data Preparation</w:t>
      </w:r>
    </w:p>
    <w:p w14:paraId="1E410BCE" w14:textId="35CE8456" w:rsidR="00EB6B4A" w:rsidRDefault="00EB6B4A" w:rsidP="00BA2FAA">
      <w:pPr>
        <w:spacing w:line="480" w:lineRule="auto"/>
      </w:pPr>
      <w:r>
        <w:tab/>
        <w:t>The dataset (P6003.A4.sav) was imported from an SPSS file using the haven package in R. To prepare the data for analysis, only the variables relevant to the current assignment were retained: participant ID (</w:t>
      </w:r>
      <w:r w:rsidRPr="00EB6B4A">
        <w:rPr>
          <w:i/>
          <w:iCs/>
        </w:rPr>
        <w:t>id</w:t>
      </w:r>
      <w:r>
        <w:t>), measurement day (</w:t>
      </w:r>
      <w:r w:rsidRPr="00EB6B4A">
        <w:rPr>
          <w:i/>
          <w:iCs/>
        </w:rPr>
        <w:t>day</w:t>
      </w:r>
      <w:r>
        <w:t>), satisfaction with life (</w:t>
      </w:r>
      <w:proofErr w:type="spellStart"/>
      <w:r w:rsidRPr="00EB6B4A">
        <w:rPr>
          <w:i/>
          <w:iCs/>
        </w:rPr>
        <w:t>swl</w:t>
      </w:r>
      <w:proofErr w:type="spellEnd"/>
      <w:r>
        <w:t>), extraversion (</w:t>
      </w:r>
      <w:proofErr w:type="spellStart"/>
      <w:proofErr w:type="gramStart"/>
      <w:r w:rsidRPr="00EB6B4A">
        <w:rPr>
          <w:i/>
          <w:iCs/>
        </w:rPr>
        <w:t>tipm.E</w:t>
      </w:r>
      <w:proofErr w:type="spellEnd"/>
      <w:proofErr w:type="gramEnd"/>
      <w:r>
        <w:t>), and neuroticism (</w:t>
      </w:r>
      <w:proofErr w:type="spellStart"/>
      <w:proofErr w:type="gramStart"/>
      <w:r w:rsidRPr="00EB6B4A">
        <w:rPr>
          <w:i/>
          <w:iCs/>
        </w:rPr>
        <w:t>tipm.N</w:t>
      </w:r>
      <w:proofErr w:type="spellEnd"/>
      <w:proofErr w:type="gramEnd"/>
      <w:r>
        <w:t xml:space="preserve">). The dataset consisted of 4252 observations collected across up to 20 days for 263 participants. The variable </w:t>
      </w:r>
      <w:r w:rsidRPr="009C0A5F">
        <w:rPr>
          <w:i/>
          <w:iCs/>
        </w:rPr>
        <w:t>id</w:t>
      </w:r>
      <w:r>
        <w:t xml:space="preserve"> was </w:t>
      </w:r>
      <w:r w:rsidR="00C325DC">
        <w:t>recoded as a</w:t>
      </w:r>
      <w:r>
        <w:t xml:space="preserve"> factor</w:t>
      </w:r>
      <w:r w:rsidR="00C325DC">
        <w:t xml:space="preserve">. This step helped ensure that the </w:t>
      </w:r>
      <w:proofErr w:type="spellStart"/>
      <w:proofErr w:type="gramStart"/>
      <w:r w:rsidR="00C325DC">
        <w:t>lmer</w:t>
      </w:r>
      <w:proofErr w:type="spellEnd"/>
      <w:r w:rsidR="00C325DC">
        <w:t>(</w:t>
      </w:r>
      <w:proofErr w:type="gramEnd"/>
      <w:r w:rsidR="00C325DC">
        <w:t>) function would treat individual participants as separate grouping units in the mixed effects models.</w:t>
      </w:r>
      <w:r>
        <w:t xml:space="preserve"> The variable </w:t>
      </w:r>
      <w:r w:rsidRPr="009C0A5F">
        <w:rPr>
          <w:i/>
          <w:iCs/>
        </w:rPr>
        <w:t>day</w:t>
      </w:r>
      <w:r>
        <w:t xml:space="preserve"> was converted to a numeric type in case we were interested in modeling time-related effects in future analyses.</w:t>
      </w:r>
    </w:p>
    <w:p w14:paraId="21F2B340" w14:textId="6E589E99" w:rsidR="00A36025" w:rsidRDefault="00EB6B4A" w:rsidP="00EB6B4A">
      <w:pPr>
        <w:spacing w:line="480" w:lineRule="auto"/>
      </w:pPr>
      <w:r>
        <w:tab/>
        <w:t>Descriptive statistics and structure checks were conducted to confirm</w:t>
      </w:r>
      <w:r w:rsidR="00A36025">
        <w:t xml:space="preserve"> the dataset was in long format, </w:t>
      </w:r>
      <w:r>
        <w:t xml:space="preserve">the correctness of data types and identify any missing values. A total of 1 missing value was observed for </w:t>
      </w:r>
      <w:r w:rsidRPr="00A36025">
        <w:rPr>
          <w:i/>
          <w:iCs/>
        </w:rPr>
        <w:t>day</w:t>
      </w:r>
      <w:r>
        <w:t xml:space="preserve"> and </w:t>
      </w:r>
      <w:proofErr w:type="spellStart"/>
      <w:r w:rsidRPr="00A36025">
        <w:rPr>
          <w:i/>
          <w:iCs/>
        </w:rPr>
        <w:t>swl</w:t>
      </w:r>
      <w:proofErr w:type="spellEnd"/>
      <w:r>
        <w:t xml:space="preserve">, and 3 missing values were observed for each of the </w:t>
      </w:r>
      <w:r>
        <w:lastRenderedPageBreak/>
        <w:t>predictors (</w:t>
      </w:r>
      <w:proofErr w:type="spellStart"/>
      <w:proofErr w:type="gramStart"/>
      <w:r w:rsidRPr="00A36025">
        <w:rPr>
          <w:i/>
          <w:iCs/>
        </w:rPr>
        <w:t>tipm.E</w:t>
      </w:r>
      <w:proofErr w:type="spellEnd"/>
      <w:proofErr w:type="gramEnd"/>
      <w:r>
        <w:t xml:space="preserve"> and </w:t>
      </w:r>
      <w:proofErr w:type="spellStart"/>
      <w:proofErr w:type="gramStart"/>
      <w:r w:rsidRPr="00A36025">
        <w:rPr>
          <w:i/>
          <w:iCs/>
        </w:rPr>
        <w:t>tipm.N</w:t>
      </w:r>
      <w:proofErr w:type="spellEnd"/>
      <w:proofErr w:type="gramEnd"/>
      <w:r>
        <w:t xml:space="preserve">). These missing values were left unaltered, as multilevel modeling is great at handling </w:t>
      </w:r>
      <w:r w:rsidR="00A36025">
        <w:t>incomplete data under the assumption of missing at random.</w:t>
      </w:r>
    </w:p>
    <w:p w14:paraId="1B880F02" w14:textId="7A28989E" w:rsidR="00DF660B" w:rsidRDefault="00DF660B" w:rsidP="00EB6B4A">
      <w:pPr>
        <w:spacing w:line="480" w:lineRule="auto"/>
        <w:rPr>
          <w:b/>
          <w:bCs/>
        </w:rPr>
      </w:pPr>
      <w:r>
        <w:rPr>
          <w:b/>
          <w:bCs/>
        </w:rPr>
        <w:t>Descriptive Statistics and Correlations</w:t>
      </w:r>
    </w:p>
    <w:p w14:paraId="32AC5D29" w14:textId="003F1EFE" w:rsidR="00DF660B" w:rsidRDefault="00DF660B" w:rsidP="00EB6B4A">
      <w:pPr>
        <w:spacing w:line="480" w:lineRule="auto"/>
      </w:pPr>
      <w:r>
        <w:rPr>
          <w:b/>
          <w:bCs/>
        </w:rPr>
        <w:tab/>
      </w:r>
      <w:r w:rsidRPr="00DF660B">
        <w:t>Descriptive statistics and bivariate correlations</w:t>
      </w:r>
      <w:r>
        <w:t xml:space="preserve"> among the study variables are presented in Table 1. On average, participants reported a satisfaction with life score of 4.43 (</w:t>
      </w:r>
      <w:r>
        <w:rPr>
          <w:i/>
          <w:iCs/>
        </w:rPr>
        <w:t>SD</w:t>
      </w:r>
      <w:r>
        <w:t xml:space="preserve"> = 1.61), suggesting a moderately high level of life satisfaction in this sample. The mean score for extraversion was 4.18 (</w:t>
      </w:r>
      <w:r>
        <w:rPr>
          <w:i/>
          <w:iCs/>
        </w:rPr>
        <w:t>SD</w:t>
      </w:r>
      <w:r>
        <w:t xml:space="preserve"> = 1.52), indicating that participants generally described themselves as moderately outgoing and socially engaged. The mean score for neuroticism was 3.49 (</w:t>
      </w:r>
      <w:r>
        <w:rPr>
          <w:i/>
          <w:iCs/>
        </w:rPr>
        <w:t>SD</w:t>
      </w:r>
      <w:r>
        <w:t xml:space="preserve"> =</w:t>
      </w:r>
      <w:r>
        <w:t xml:space="preserve"> 1.54), reflecting rather low levels of self-reported negative emotionality.</w:t>
      </w:r>
    </w:p>
    <w:p w14:paraId="2C5DEFB4" w14:textId="7B253957" w:rsidR="00DF660B" w:rsidRDefault="00DF660B" w:rsidP="000E1AF3">
      <w:pPr>
        <w:spacing w:line="480" w:lineRule="auto"/>
      </w:pPr>
      <w:r>
        <w:tab/>
        <w:t xml:space="preserve">Satisfaction with life was significantly positively correlated with extraversion, </w:t>
      </w:r>
      <w:r>
        <w:rPr>
          <w:i/>
          <w:iCs/>
        </w:rPr>
        <w:t xml:space="preserve">r </w:t>
      </w:r>
      <w:r>
        <w:t xml:space="preserve">= .38, 95% CI [.35, .41], </w:t>
      </w:r>
      <w:r>
        <w:rPr>
          <w:i/>
          <w:iCs/>
        </w:rPr>
        <w:t xml:space="preserve">p </w:t>
      </w:r>
      <w:r>
        <w:t>&lt; .01</w:t>
      </w:r>
      <w:r w:rsidR="000F377A">
        <w:t xml:space="preserve">. This means that participants who were more extraverted tended to report higher life satisfaction. </w:t>
      </w:r>
      <w:r w:rsidR="00F22FD0">
        <w:t xml:space="preserve">Since the confidence interval does not include zero and the </w:t>
      </w:r>
      <w:r w:rsidR="00F22FD0" w:rsidRPr="00F22FD0">
        <w:rPr>
          <w:i/>
          <w:iCs/>
        </w:rPr>
        <w:t>p</w:t>
      </w:r>
      <w:r w:rsidR="00F22FD0">
        <w:t xml:space="preserve">-value is small, </w:t>
      </w:r>
      <w:r w:rsidR="00F22FD0" w:rsidRPr="00F22FD0">
        <w:t>we</w:t>
      </w:r>
      <w:r w:rsidR="00F22FD0">
        <w:t xml:space="preserve"> can be confident that this is a real and statistically significant effect.</w:t>
      </w:r>
      <w:r w:rsidR="000E1AF3">
        <w:t xml:space="preserve"> </w:t>
      </w:r>
      <w:r>
        <w:t xml:space="preserve">Satisfaction with life was significantly negatively correlated with neuroticism, </w:t>
      </w:r>
      <w:r w:rsidRPr="00DF660B">
        <w:rPr>
          <w:i/>
          <w:iCs/>
        </w:rPr>
        <w:t>r</w:t>
      </w:r>
      <w:r>
        <w:t xml:space="preserve"> = -.45, 95% CI [-.47, -.43], </w:t>
      </w:r>
      <w:r w:rsidRPr="00DF660B">
        <w:rPr>
          <w:i/>
          <w:iCs/>
        </w:rPr>
        <w:t>p</w:t>
      </w:r>
      <w:r>
        <w:t xml:space="preserve"> &lt; .01, such that participants with higher levels of neuroticism tended to report lower life satisfaction.</w:t>
      </w:r>
      <w:r w:rsidR="00F22FD0">
        <w:t xml:space="preserve"> The narrow confidence interval which excludes zero provides strong evidence of a reliable negative association. Lastly</w:t>
      </w:r>
      <w:r>
        <w:t xml:space="preserve">, extraversion and neuroticism were significantly negatively correlated with each other, </w:t>
      </w:r>
      <w:r w:rsidRPr="00DF660B">
        <w:rPr>
          <w:i/>
          <w:iCs/>
        </w:rPr>
        <w:t>r</w:t>
      </w:r>
      <w:r>
        <w:t xml:space="preserve"> = -.</w:t>
      </w:r>
      <w:r>
        <w:t>33</w:t>
      </w:r>
      <w:r>
        <w:t>, 95% CI [-.</w:t>
      </w:r>
      <w:r>
        <w:t>36</w:t>
      </w:r>
      <w:r>
        <w:t>, -.3</w:t>
      </w:r>
      <w:r>
        <w:t>1</w:t>
      </w:r>
      <w:r>
        <w:t xml:space="preserve">], </w:t>
      </w:r>
      <w:r w:rsidRPr="00DF660B">
        <w:rPr>
          <w:i/>
          <w:iCs/>
        </w:rPr>
        <w:t>p</w:t>
      </w:r>
      <w:r>
        <w:t xml:space="preserve"> &lt; .01</w:t>
      </w:r>
      <w:r>
        <w:t xml:space="preserve">. </w:t>
      </w:r>
      <w:r w:rsidR="00F22FD0">
        <w:t xml:space="preserve">This means that participants who were more extraverted tended to report lower levels of neuroticism. The small </w:t>
      </w:r>
      <w:r w:rsidR="00F22FD0" w:rsidRPr="00F22FD0">
        <w:rPr>
          <w:i/>
          <w:iCs/>
        </w:rPr>
        <w:t>p</w:t>
      </w:r>
      <w:r w:rsidR="00F22FD0">
        <w:t>-value</w:t>
      </w:r>
      <w:r w:rsidR="00F22FD0">
        <w:t xml:space="preserve"> as well as the narrow confidence interval that excludes zero suggests this is a strong and reliable effect.</w:t>
      </w:r>
    </w:p>
    <w:p w14:paraId="493E6826" w14:textId="6ADF0257" w:rsidR="008E624C" w:rsidRDefault="008E624C" w:rsidP="008E624C">
      <w:pPr>
        <w:spacing w:line="480" w:lineRule="auto"/>
      </w:pPr>
      <w:r>
        <w:tab/>
        <w:t xml:space="preserve">Importantly, these correlations were calculated using all 4252 observations in the dataset, without accounting for the clustering of repeated measures within participants. This can lead to </w:t>
      </w:r>
      <w:r>
        <w:lastRenderedPageBreak/>
        <w:t xml:space="preserve">slightly inflated precision (e.g., narrower confidence intervals) because the assumption of independence is violated. While this approach is acceptable for the current assignment, per the instructions, future analyses should account for nesting. For example, computing correlations using participant-level averages may help produce more accurate estimates. For our purposes, the current correlations should be interpreted with mild caution as a result. </w:t>
      </w:r>
    </w:p>
    <w:p w14:paraId="38A6245E" w14:textId="77777777" w:rsidR="006B1376" w:rsidRPr="00F81D4F" w:rsidRDefault="006B1376" w:rsidP="006B1376">
      <w:pPr>
        <w:widowControl w:val="0"/>
        <w:autoSpaceDE w:val="0"/>
        <w:autoSpaceDN w:val="0"/>
        <w:adjustRightInd w:val="0"/>
        <w:rPr>
          <w:b/>
          <w:bCs/>
          <w:lang w:val="en-US"/>
        </w:rPr>
      </w:pPr>
      <w:r w:rsidRPr="00F81D4F">
        <w:rPr>
          <w:b/>
          <w:bCs/>
          <w:lang w:val="en-US"/>
        </w:rPr>
        <w:t xml:space="preserve">Table 1 </w:t>
      </w:r>
    </w:p>
    <w:p w14:paraId="58CDEBDC" w14:textId="77777777" w:rsidR="006B1376" w:rsidRDefault="006B1376" w:rsidP="006B1376">
      <w:pPr>
        <w:widowControl w:val="0"/>
        <w:autoSpaceDE w:val="0"/>
        <w:autoSpaceDN w:val="0"/>
        <w:adjustRightInd w:val="0"/>
        <w:rPr>
          <w:lang w:val="en-US"/>
        </w:rPr>
      </w:pPr>
      <w:r>
        <w:rPr>
          <w:lang w:val="en-US"/>
        </w:rPr>
        <w:t xml:space="preserve"> </w:t>
      </w:r>
    </w:p>
    <w:p w14:paraId="6EDE3C39" w14:textId="77777777" w:rsidR="006B1376" w:rsidRDefault="006B1376" w:rsidP="006B1376">
      <w:pPr>
        <w:widowControl w:val="0"/>
        <w:autoSpaceDE w:val="0"/>
        <w:autoSpaceDN w:val="0"/>
        <w:adjustRightInd w:val="0"/>
        <w:rPr>
          <w:i/>
          <w:iCs/>
          <w:lang w:val="en-US"/>
        </w:rPr>
      </w:pPr>
      <w:r>
        <w:rPr>
          <w:i/>
          <w:iCs/>
          <w:lang w:val="en-US"/>
        </w:rPr>
        <w:t>Means, standard deviations, and correlations with confidence intervals</w:t>
      </w:r>
    </w:p>
    <w:p w14:paraId="5EB946B9" w14:textId="77777777" w:rsidR="006B1376" w:rsidRDefault="006B1376" w:rsidP="006B1376">
      <w:pPr>
        <w:widowControl w:val="0"/>
        <w:autoSpaceDE w:val="0"/>
        <w:autoSpaceDN w:val="0"/>
        <w:adjustRightInd w:val="0"/>
        <w:rPr>
          <w:lang w:val="en-US"/>
        </w:rPr>
      </w:pPr>
      <w:r>
        <w:rPr>
          <w:lang w:val="en-US"/>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tblGrid>
      <w:tr w:rsidR="006B1376" w14:paraId="447AF68B" w14:textId="77777777" w:rsidTr="00A43138">
        <w:tc>
          <w:tcPr>
            <w:tcW w:w="1835" w:type="dxa"/>
            <w:tcBorders>
              <w:top w:val="single" w:sz="6" w:space="0" w:color="auto"/>
              <w:left w:val="nil"/>
              <w:bottom w:val="single" w:sz="4" w:space="0" w:color="000000" w:themeColor="text1"/>
              <w:right w:val="nil"/>
            </w:tcBorders>
            <w:vAlign w:val="center"/>
          </w:tcPr>
          <w:p w14:paraId="04DB1654" w14:textId="77777777" w:rsidR="006B1376" w:rsidRPr="00DE339C" w:rsidRDefault="006B1376" w:rsidP="00A43138">
            <w:pPr>
              <w:widowControl w:val="0"/>
              <w:autoSpaceDE w:val="0"/>
              <w:autoSpaceDN w:val="0"/>
              <w:adjustRightInd w:val="0"/>
              <w:rPr>
                <w:b/>
                <w:bCs/>
                <w:lang w:val="en-US"/>
              </w:rPr>
            </w:pPr>
            <w:r w:rsidRPr="00DE339C">
              <w:rPr>
                <w:b/>
                <w:bCs/>
                <w:lang w:val="en-US"/>
              </w:rPr>
              <w:t>Variable</w:t>
            </w:r>
          </w:p>
        </w:tc>
        <w:tc>
          <w:tcPr>
            <w:tcW w:w="1225" w:type="dxa"/>
            <w:tcBorders>
              <w:top w:val="single" w:sz="6" w:space="0" w:color="auto"/>
              <w:left w:val="nil"/>
              <w:bottom w:val="single" w:sz="4" w:space="0" w:color="000000" w:themeColor="text1"/>
              <w:right w:val="nil"/>
            </w:tcBorders>
            <w:vAlign w:val="center"/>
          </w:tcPr>
          <w:p w14:paraId="63F4564D" w14:textId="77777777" w:rsidR="006B1376" w:rsidRPr="00DE339C" w:rsidRDefault="006B1376" w:rsidP="00A43138">
            <w:pPr>
              <w:widowControl w:val="0"/>
              <w:autoSpaceDE w:val="0"/>
              <w:autoSpaceDN w:val="0"/>
              <w:adjustRightInd w:val="0"/>
              <w:jc w:val="center"/>
              <w:rPr>
                <w:b/>
                <w:bCs/>
                <w:lang w:val="en-US"/>
              </w:rPr>
            </w:pPr>
            <w:r w:rsidRPr="00DE339C">
              <w:rPr>
                <w:b/>
                <w:bCs/>
                <w:i/>
                <w:iCs/>
                <w:lang w:val="en-US"/>
              </w:rPr>
              <w:t>M</w:t>
            </w:r>
          </w:p>
        </w:tc>
        <w:tc>
          <w:tcPr>
            <w:tcW w:w="1224" w:type="dxa"/>
            <w:tcBorders>
              <w:top w:val="single" w:sz="6" w:space="0" w:color="auto"/>
              <w:left w:val="nil"/>
              <w:bottom w:val="single" w:sz="4" w:space="0" w:color="000000" w:themeColor="text1"/>
              <w:right w:val="nil"/>
            </w:tcBorders>
            <w:vAlign w:val="center"/>
          </w:tcPr>
          <w:p w14:paraId="2F9FB43F" w14:textId="77777777" w:rsidR="006B1376" w:rsidRPr="00DE339C" w:rsidRDefault="006B1376" w:rsidP="00A43138">
            <w:pPr>
              <w:widowControl w:val="0"/>
              <w:autoSpaceDE w:val="0"/>
              <w:autoSpaceDN w:val="0"/>
              <w:adjustRightInd w:val="0"/>
              <w:jc w:val="center"/>
              <w:rPr>
                <w:b/>
                <w:bCs/>
                <w:lang w:val="en-US"/>
              </w:rPr>
            </w:pPr>
            <w:r w:rsidRPr="00DE339C">
              <w:rPr>
                <w:b/>
                <w:bCs/>
                <w:i/>
                <w:iCs/>
                <w:lang w:val="en-US"/>
              </w:rPr>
              <w:t>SD</w:t>
            </w:r>
          </w:p>
        </w:tc>
        <w:tc>
          <w:tcPr>
            <w:tcW w:w="1224" w:type="dxa"/>
            <w:tcBorders>
              <w:top w:val="single" w:sz="6" w:space="0" w:color="auto"/>
              <w:left w:val="nil"/>
              <w:bottom w:val="single" w:sz="4" w:space="0" w:color="000000" w:themeColor="text1"/>
              <w:right w:val="nil"/>
            </w:tcBorders>
            <w:vAlign w:val="center"/>
          </w:tcPr>
          <w:p w14:paraId="1CD29A6C" w14:textId="77777777" w:rsidR="006B1376" w:rsidRPr="00DE339C" w:rsidRDefault="006B1376" w:rsidP="00A43138">
            <w:pPr>
              <w:widowControl w:val="0"/>
              <w:autoSpaceDE w:val="0"/>
              <w:autoSpaceDN w:val="0"/>
              <w:adjustRightInd w:val="0"/>
              <w:jc w:val="center"/>
              <w:rPr>
                <w:b/>
                <w:bCs/>
                <w:lang w:val="en-US"/>
              </w:rPr>
            </w:pPr>
            <w:r w:rsidRPr="00DE339C">
              <w:rPr>
                <w:b/>
                <w:bCs/>
                <w:lang w:val="en-US"/>
              </w:rPr>
              <w:t>1</w:t>
            </w:r>
          </w:p>
        </w:tc>
        <w:tc>
          <w:tcPr>
            <w:tcW w:w="1224" w:type="dxa"/>
            <w:tcBorders>
              <w:top w:val="single" w:sz="6" w:space="0" w:color="auto"/>
              <w:left w:val="nil"/>
              <w:bottom w:val="single" w:sz="4" w:space="0" w:color="000000" w:themeColor="text1"/>
              <w:right w:val="nil"/>
            </w:tcBorders>
            <w:vAlign w:val="center"/>
          </w:tcPr>
          <w:p w14:paraId="567AEA4A" w14:textId="77777777" w:rsidR="006B1376" w:rsidRPr="00DE339C" w:rsidRDefault="006B1376" w:rsidP="00A43138">
            <w:pPr>
              <w:widowControl w:val="0"/>
              <w:autoSpaceDE w:val="0"/>
              <w:autoSpaceDN w:val="0"/>
              <w:adjustRightInd w:val="0"/>
              <w:jc w:val="center"/>
              <w:rPr>
                <w:b/>
                <w:bCs/>
                <w:lang w:val="en-US"/>
              </w:rPr>
            </w:pPr>
            <w:r w:rsidRPr="00DE339C">
              <w:rPr>
                <w:b/>
                <w:bCs/>
                <w:lang w:val="en-US"/>
              </w:rPr>
              <w:t>2</w:t>
            </w:r>
          </w:p>
        </w:tc>
      </w:tr>
      <w:tr w:rsidR="006B1376" w14:paraId="4C4A5430" w14:textId="77777777" w:rsidTr="00A43138">
        <w:tc>
          <w:tcPr>
            <w:tcW w:w="1835" w:type="dxa"/>
            <w:tcBorders>
              <w:top w:val="single" w:sz="4" w:space="0" w:color="000000" w:themeColor="text1"/>
              <w:left w:val="nil"/>
              <w:bottom w:val="nil"/>
              <w:right w:val="nil"/>
            </w:tcBorders>
            <w:vAlign w:val="center"/>
          </w:tcPr>
          <w:p w14:paraId="3C510E49" w14:textId="77777777" w:rsidR="006B1376" w:rsidRDefault="006B1376" w:rsidP="00A43138">
            <w:pPr>
              <w:widowControl w:val="0"/>
              <w:autoSpaceDE w:val="0"/>
              <w:autoSpaceDN w:val="0"/>
              <w:adjustRightInd w:val="0"/>
              <w:spacing w:after="120"/>
              <w:rPr>
                <w:lang w:val="en-US"/>
              </w:rPr>
            </w:pPr>
            <w:proofErr w:type="spellStart"/>
            <w:r>
              <w:rPr>
                <w:lang w:val="en-US"/>
              </w:rPr>
              <w:t>swl</w:t>
            </w:r>
            <w:proofErr w:type="spellEnd"/>
          </w:p>
        </w:tc>
        <w:tc>
          <w:tcPr>
            <w:tcW w:w="1225" w:type="dxa"/>
            <w:tcBorders>
              <w:top w:val="single" w:sz="4" w:space="0" w:color="000000" w:themeColor="text1"/>
              <w:left w:val="nil"/>
              <w:bottom w:val="nil"/>
              <w:right w:val="nil"/>
            </w:tcBorders>
            <w:vAlign w:val="center"/>
          </w:tcPr>
          <w:p w14:paraId="0C9DCD8E" w14:textId="77777777" w:rsidR="006B1376" w:rsidRDefault="006B1376" w:rsidP="00A43138">
            <w:pPr>
              <w:widowControl w:val="0"/>
              <w:tabs>
                <w:tab w:val="decimal" w:leader="dot" w:pos="428"/>
              </w:tabs>
              <w:autoSpaceDE w:val="0"/>
              <w:autoSpaceDN w:val="0"/>
              <w:adjustRightInd w:val="0"/>
              <w:rPr>
                <w:lang w:val="en-US"/>
              </w:rPr>
            </w:pPr>
            <w:r>
              <w:rPr>
                <w:lang w:val="en-US"/>
              </w:rPr>
              <w:t>4.43</w:t>
            </w:r>
          </w:p>
        </w:tc>
        <w:tc>
          <w:tcPr>
            <w:tcW w:w="1224" w:type="dxa"/>
            <w:tcBorders>
              <w:top w:val="single" w:sz="4" w:space="0" w:color="000000" w:themeColor="text1"/>
              <w:left w:val="nil"/>
              <w:bottom w:val="nil"/>
              <w:right w:val="nil"/>
            </w:tcBorders>
            <w:vAlign w:val="center"/>
          </w:tcPr>
          <w:p w14:paraId="1CE37B8F" w14:textId="77777777" w:rsidR="006B1376" w:rsidRDefault="006B1376" w:rsidP="00A43138">
            <w:pPr>
              <w:widowControl w:val="0"/>
              <w:tabs>
                <w:tab w:val="decimal" w:leader="dot" w:pos="428"/>
              </w:tabs>
              <w:autoSpaceDE w:val="0"/>
              <w:autoSpaceDN w:val="0"/>
              <w:adjustRightInd w:val="0"/>
              <w:rPr>
                <w:lang w:val="en-US"/>
              </w:rPr>
            </w:pPr>
            <w:r>
              <w:rPr>
                <w:lang w:val="en-US"/>
              </w:rPr>
              <w:t>1.61</w:t>
            </w:r>
          </w:p>
        </w:tc>
        <w:tc>
          <w:tcPr>
            <w:tcW w:w="1224" w:type="dxa"/>
            <w:tcBorders>
              <w:top w:val="single" w:sz="4" w:space="0" w:color="000000" w:themeColor="text1"/>
              <w:left w:val="nil"/>
              <w:bottom w:val="nil"/>
              <w:right w:val="nil"/>
            </w:tcBorders>
            <w:vAlign w:val="center"/>
          </w:tcPr>
          <w:p w14:paraId="5E07CE8D" w14:textId="77777777" w:rsidR="006B1376" w:rsidRDefault="006B1376"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single" w:sz="4" w:space="0" w:color="000000" w:themeColor="text1"/>
              <w:left w:val="nil"/>
              <w:bottom w:val="nil"/>
              <w:right w:val="nil"/>
            </w:tcBorders>
            <w:vAlign w:val="center"/>
          </w:tcPr>
          <w:p w14:paraId="6C8BDA80" w14:textId="77777777" w:rsidR="006B1376" w:rsidRDefault="006B1376" w:rsidP="00A43138">
            <w:pPr>
              <w:widowControl w:val="0"/>
              <w:tabs>
                <w:tab w:val="decimal" w:leader="dot" w:pos="428"/>
              </w:tabs>
              <w:autoSpaceDE w:val="0"/>
              <w:autoSpaceDN w:val="0"/>
              <w:adjustRightInd w:val="0"/>
              <w:rPr>
                <w:lang w:val="en-US"/>
              </w:rPr>
            </w:pPr>
            <w:r>
              <w:rPr>
                <w:lang w:val="en-US"/>
              </w:rPr>
              <w:t xml:space="preserve"> </w:t>
            </w:r>
          </w:p>
        </w:tc>
      </w:tr>
      <w:tr w:rsidR="006B1376" w14:paraId="70A36007" w14:textId="77777777" w:rsidTr="00A43138">
        <w:tc>
          <w:tcPr>
            <w:tcW w:w="1835" w:type="dxa"/>
            <w:tcBorders>
              <w:top w:val="nil"/>
              <w:left w:val="nil"/>
              <w:bottom w:val="nil"/>
              <w:right w:val="nil"/>
            </w:tcBorders>
            <w:vAlign w:val="center"/>
          </w:tcPr>
          <w:p w14:paraId="5A8CA0A9" w14:textId="77777777" w:rsidR="006B1376" w:rsidRDefault="006B1376" w:rsidP="00A43138">
            <w:pPr>
              <w:widowControl w:val="0"/>
              <w:autoSpaceDE w:val="0"/>
              <w:autoSpaceDN w:val="0"/>
              <w:adjustRightInd w:val="0"/>
              <w:rPr>
                <w:lang w:val="en-US"/>
              </w:rPr>
            </w:pPr>
            <w:proofErr w:type="spellStart"/>
            <w:proofErr w:type="gramStart"/>
            <w:r>
              <w:rPr>
                <w:lang w:val="en-US"/>
              </w:rPr>
              <w:t>tipm.E</w:t>
            </w:r>
            <w:proofErr w:type="spellEnd"/>
            <w:proofErr w:type="gramEnd"/>
          </w:p>
        </w:tc>
        <w:tc>
          <w:tcPr>
            <w:tcW w:w="1225" w:type="dxa"/>
            <w:tcBorders>
              <w:top w:val="nil"/>
              <w:left w:val="nil"/>
              <w:bottom w:val="nil"/>
              <w:right w:val="nil"/>
            </w:tcBorders>
            <w:vAlign w:val="center"/>
          </w:tcPr>
          <w:p w14:paraId="5FFC4A76" w14:textId="77777777" w:rsidR="006B1376" w:rsidRDefault="006B1376" w:rsidP="00A43138">
            <w:pPr>
              <w:widowControl w:val="0"/>
              <w:tabs>
                <w:tab w:val="decimal" w:leader="dot" w:pos="428"/>
              </w:tabs>
              <w:autoSpaceDE w:val="0"/>
              <w:autoSpaceDN w:val="0"/>
              <w:adjustRightInd w:val="0"/>
              <w:rPr>
                <w:lang w:val="en-US"/>
              </w:rPr>
            </w:pPr>
            <w:r>
              <w:rPr>
                <w:lang w:val="en-US"/>
              </w:rPr>
              <w:t>4.18</w:t>
            </w:r>
          </w:p>
        </w:tc>
        <w:tc>
          <w:tcPr>
            <w:tcW w:w="1224" w:type="dxa"/>
            <w:tcBorders>
              <w:top w:val="nil"/>
              <w:left w:val="nil"/>
              <w:bottom w:val="nil"/>
              <w:right w:val="nil"/>
            </w:tcBorders>
            <w:vAlign w:val="center"/>
          </w:tcPr>
          <w:p w14:paraId="6CC16D40" w14:textId="77777777" w:rsidR="006B1376" w:rsidRDefault="006B1376" w:rsidP="00A43138">
            <w:pPr>
              <w:widowControl w:val="0"/>
              <w:tabs>
                <w:tab w:val="decimal" w:leader="dot" w:pos="428"/>
              </w:tabs>
              <w:autoSpaceDE w:val="0"/>
              <w:autoSpaceDN w:val="0"/>
              <w:adjustRightInd w:val="0"/>
              <w:rPr>
                <w:lang w:val="en-US"/>
              </w:rPr>
            </w:pPr>
            <w:r>
              <w:rPr>
                <w:lang w:val="en-US"/>
              </w:rPr>
              <w:t>1.52</w:t>
            </w:r>
          </w:p>
        </w:tc>
        <w:tc>
          <w:tcPr>
            <w:tcW w:w="1224" w:type="dxa"/>
            <w:tcBorders>
              <w:top w:val="nil"/>
              <w:left w:val="nil"/>
              <w:bottom w:val="nil"/>
              <w:right w:val="nil"/>
            </w:tcBorders>
            <w:vAlign w:val="center"/>
          </w:tcPr>
          <w:p w14:paraId="53892F07" w14:textId="77777777" w:rsidR="006B1376" w:rsidRDefault="006B1376" w:rsidP="00A43138">
            <w:pPr>
              <w:widowControl w:val="0"/>
              <w:tabs>
                <w:tab w:val="decimal" w:leader="dot" w:pos="428"/>
              </w:tabs>
              <w:autoSpaceDE w:val="0"/>
              <w:autoSpaceDN w:val="0"/>
              <w:adjustRightInd w:val="0"/>
              <w:rPr>
                <w:lang w:val="en-US"/>
              </w:rPr>
            </w:pPr>
            <w:r>
              <w:rPr>
                <w:lang w:val="en-US"/>
              </w:rPr>
              <w:t>.38**</w:t>
            </w:r>
          </w:p>
        </w:tc>
        <w:tc>
          <w:tcPr>
            <w:tcW w:w="1224" w:type="dxa"/>
            <w:tcBorders>
              <w:top w:val="nil"/>
              <w:left w:val="nil"/>
              <w:bottom w:val="nil"/>
              <w:right w:val="nil"/>
            </w:tcBorders>
            <w:vAlign w:val="center"/>
          </w:tcPr>
          <w:p w14:paraId="50DE0645" w14:textId="77777777" w:rsidR="006B1376" w:rsidRDefault="006B1376" w:rsidP="00A43138">
            <w:pPr>
              <w:widowControl w:val="0"/>
              <w:tabs>
                <w:tab w:val="decimal" w:leader="dot" w:pos="428"/>
              </w:tabs>
              <w:autoSpaceDE w:val="0"/>
              <w:autoSpaceDN w:val="0"/>
              <w:adjustRightInd w:val="0"/>
              <w:rPr>
                <w:lang w:val="en-US"/>
              </w:rPr>
            </w:pPr>
            <w:r>
              <w:rPr>
                <w:lang w:val="en-US"/>
              </w:rPr>
              <w:t xml:space="preserve"> </w:t>
            </w:r>
          </w:p>
        </w:tc>
      </w:tr>
      <w:tr w:rsidR="006B1376" w14:paraId="5446C675" w14:textId="77777777" w:rsidTr="00A43138">
        <w:tc>
          <w:tcPr>
            <w:tcW w:w="1835" w:type="dxa"/>
            <w:tcBorders>
              <w:top w:val="nil"/>
              <w:left w:val="nil"/>
              <w:bottom w:val="nil"/>
              <w:right w:val="nil"/>
            </w:tcBorders>
            <w:vAlign w:val="center"/>
          </w:tcPr>
          <w:p w14:paraId="46A7DA03" w14:textId="77777777" w:rsidR="006B1376" w:rsidRDefault="006B1376" w:rsidP="00A43138">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30638D77" w14:textId="77777777" w:rsidR="006B1376" w:rsidRDefault="006B1376"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7636E90A" w14:textId="77777777" w:rsidR="006B1376" w:rsidRDefault="006B1376"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3972A88" w14:textId="77777777" w:rsidR="006B1376" w:rsidRDefault="006B1376" w:rsidP="00A43138">
            <w:pPr>
              <w:widowControl w:val="0"/>
              <w:tabs>
                <w:tab w:val="decimal" w:leader="dot" w:pos="428"/>
              </w:tabs>
              <w:autoSpaceDE w:val="0"/>
              <w:autoSpaceDN w:val="0"/>
              <w:adjustRightInd w:val="0"/>
              <w:spacing w:after="120"/>
              <w:rPr>
                <w:lang w:val="en-US"/>
              </w:rPr>
            </w:pPr>
            <w:r>
              <w:rPr>
                <w:sz w:val="20"/>
                <w:szCs w:val="20"/>
                <w:lang w:val="en-US"/>
              </w:rPr>
              <w:t>[.35, .41]</w:t>
            </w:r>
          </w:p>
        </w:tc>
        <w:tc>
          <w:tcPr>
            <w:tcW w:w="1224" w:type="dxa"/>
            <w:tcBorders>
              <w:top w:val="nil"/>
              <w:left w:val="nil"/>
              <w:bottom w:val="nil"/>
              <w:right w:val="nil"/>
            </w:tcBorders>
            <w:vAlign w:val="center"/>
          </w:tcPr>
          <w:p w14:paraId="49476DA9" w14:textId="77777777" w:rsidR="006B1376" w:rsidRDefault="006B1376" w:rsidP="00A43138">
            <w:pPr>
              <w:widowControl w:val="0"/>
              <w:tabs>
                <w:tab w:val="decimal" w:leader="dot" w:pos="428"/>
              </w:tabs>
              <w:autoSpaceDE w:val="0"/>
              <w:autoSpaceDN w:val="0"/>
              <w:adjustRightInd w:val="0"/>
              <w:rPr>
                <w:lang w:val="en-US"/>
              </w:rPr>
            </w:pPr>
            <w:r>
              <w:rPr>
                <w:lang w:val="en-US"/>
              </w:rPr>
              <w:t xml:space="preserve"> </w:t>
            </w:r>
          </w:p>
        </w:tc>
      </w:tr>
      <w:tr w:rsidR="006B1376" w14:paraId="26376492" w14:textId="77777777" w:rsidTr="00A43138">
        <w:tc>
          <w:tcPr>
            <w:tcW w:w="1835" w:type="dxa"/>
            <w:tcBorders>
              <w:top w:val="nil"/>
              <w:left w:val="nil"/>
              <w:right w:val="nil"/>
            </w:tcBorders>
            <w:vAlign w:val="center"/>
          </w:tcPr>
          <w:p w14:paraId="3A385D15" w14:textId="77777777" w:rsidR="006B1376" w:rsidRDefault="006B1376" w:rsidP="00A43138">
            <w:pPr>
              <w:widowControl w:val="0"/>
              <w:autoSpaceDE w:val="0"/>
              <w:autoSpaceDN w:val="0"/>
              <w:adjustRightInd w:val="0"/>
              <w:rPr>
                <w:lang w:val="en-US"/>
              </w:rPr>
            </w:pPr>
            <w:proofErr w:type="spellStart"/>
            <w:proofErr w:type="gramStart"/>
            <w:r>
              <w:rPr>
                <w:lang w:val="en-US"/>
              </w:rPr>
              <w:t>tipm.N</w:t>
            </w:r>
            <w:proofErr w:type="spellEnd"/>
            <w:proofErr w:type="gramEnd"/>
          </w:p>
        </w:tc>
        <w:tc>
          <w:tcPr>
            <w:tcW w:w="1225" w:type="dxa"/>
            <w:tcBorders>
              <w:top w:val="nil"/>
              <w:left w:val="nil"/>
              <w:right w:val="nil"/>
            </w:tcBorders>
            <w:vAlign w:val="center"/>
          </w:tcPr>
          <w:p w14:paraId="1F57BBA8" w14:textId="77777777" w:rsidR="006B1376" w:rsidRDefault="006B1376" w:rsidP="00A43138">
            <w:pPr>
              <w:widowControl w:val="0"/>
              <w:tabs>
                <w:tab w:val="decimal" w:leader="dot" w:pos="428"/>
              </w:tabs>
              <w:autoSpaceDE w:val="0"/>
              <w:autoSpaceDN w:val="0"/>
              <w:adjustRightInd w:val="0"/>
              <w:rPr>
                <w:lang w:val="en-US"/>
              </w:rPr>
            </w:pPr>
            <w:r>
              <w:rPr>
                <w:lang w:val="en-US"/>
              </w:rPr>
              <w:t>3.49</w:t>
            </w:r>
          </w:p>
        </w:tc>
        <w:tc>
          <w:tcPr>
            <w:tcW w:w="1224" w:type="dxa"/>
            <w:tcBorders>
              <w:top w:val="nil"/>
              <w:left w:val="nil"/>
              <w:right w:val="nil"/>
            </w:tcBorders>
            <w:vAlign w:val="center"/>
          </w:tcPr>
          <w:p w14:paraId="03C6EB62" w14:textId="77777777" w:rsidR="006B1376" w:rsidRDefault="006B1376" w:rsidP="00A43138">
            <w:pPr>
              <w:widowControl w:val="0"/>
              <w:tabs>
                <w:tab w:val="decimal" w:leader="dot" w:pos="428"/>
              </w:tabs>
              <w:autoSpaceDE w:val="0"/>
              <w:autoSpaceDN w:val="0"/>
              <w:adjustRightInd w:val="0"/>
              <w:rPr>
                <w:lang w:val="en-US"/>
              </w:rPr>
            </w:pPr>
            <w:r>
              <w:rPr>
                <w:lang w:val="en-US"/>
              </w:rPr>
              <w:t>1.54</w:t>
            </w:r>
          </w:p>
        </w:tc>
        <w:tc>
          <w:tcPr>
            <w:tcW w:w="1224" w:type="dxa"/>
            <w:tcBorders>
              <w:top w:val="nil"/>
              <w:left w:val="nil"/>
              <w:right w:val="nil"/>
            </w:tcBorders>
            <w:vAlign w:val="center"/>
          </w:tcPr>
          <w:p w14:paraId="0140CFCB" w14:textId="4469F51C" w:rsidR="006B1376" w:rsidRDefault="007C4FCB" w:rsidP="00A43138">
            <w:pPr>
              <w:widowControl w:val="0"/>
              <w:tabs>
                <w:tab w:val="decimal" w:leader="dot" w:pos="428"/>
              </w:tabs>
              <w:autoSpaceDE w:val="0"/>
              <w:autoSpaceDN w:val="0"/>
              <w:adjustRightInd w:val="0"/>
              <w:rPr>
                <w:lang w:val="en-US"/>
              </w:rPr>
            </w:pPr>
            <w:r>
              <w:t>-</w:t>
            </w:r>
            <w:r w:rsidR="006B1376">
              <w:rPr>
                <w:lang w:val="en-US"/>
              </w:rPr>
              <w:t>.45**</w:t>
            </w:r>
          </w:p>
        </w:tc>
        <w:tc>
          <w:tcPr>
            <w:tcW w:w="1224" w:type="dxa"/>
            <w:tcBorders>
              <w:top w:val="nil"/>
              <w:left w:val="nil"/>
              <w:right w:val="nil"/>
            </w:tcBorders>
            <w:vAlign w:val="center"/>
          </w:tcPr>
          <w:p w14:paraId="2E705346" w14:textId="36356573" w:rsidR="006B1376" w:rsidRDefault="007C4FCB" w:rsidP="00A43138">
            <w:pPr>
              <w:widowControl w:val="0"/>
              <w:tabs>
                <w:tab w:val="decimal" w:leader="dot" w:pos="428"/>
              </w:tabs>
              <w:autoSpaceDE w:val="0"/>
              <w:autoSpaceDN w:val="0"/>
              <w:adjustRightInd w:val="0"/>
              <w:rPr>
                <w:lang w:val="en-US"/>
              </w:rPr>
            </w:pPr>
            <w:r>
              <w:t>-</w:t>
            </w:r>
            <w:r w:rsidR="006B1376">
              <w:rPr>
                <w:lang w:val="en-US"/>
              </w:rPr>
              <w:t>.33**</w:t>
            </w:r>
          </w:p>
        </w:tc>
      </w:tr>
      <w:tr w:rsidR="006B1376" w14:paraId="55D93E3E" w14:textId="77777777" w:rsidTr="00A43138">
        <w:tc>
          <w:tcPr>
            <w:tcW w:w="1835" w:type="dxa"/>
            <w:tcBorders>
              <w:top w:val="nil"/>
              <w:left w:val="nil"/>
              <w:bottom w:val="single" w:sz="4" w:space="0" w:color="000000" w:themeColor="text1"/>
              <w:right w:val="nil"/>
            </w:tcBorders>
            <w:vAlign w:val="center"/>
          </w:tcPr>
          <w:p w14:paraId="361A0699" w14:textId="77777777" w:rsidR="006B1376" w:rsidRDefault="006B1376" w:rsidP="00A43138">
            <w:pPr>
              <w:widowControl w:val="0"/>
              <w:autoSpaceDE w:val="0"/>
              <w:autoSpaceDN w:val="0"/>
              <w:adjustRightInd w:val="0"/>
              <w:rPr>
                <w:lang w:val="en-US"/>
              </w:rPr>
            </w:pPr>
            <w:r>
              <w:rPr>
                <w:lang w:val="en-US"/>
              </w:rPr>
              <w:t xml:space="preserve"> </w:t>
            </w:r>
          </w:p>
        </w:tc>
        <w:tc>
          <w:tcPr>
            <w:tcW w:w="1225" w:type="dxa"/>
            <w:tcBorders>
              <w:top w:val="nil"/>
              <w:left w:val="nil"/>
              <w:bottom w:val="single" w:sz="4" w:space="0" w:color="000000" w:themeColor="text1"/>
              <w:right w:val="nil"/>
            </w:tcBorders>
            <w:vAlign w:val="center"/>
          </w:tcPr>
          <w:p w14:paraId="1F7BFDB4" w14:textId="77777777" w:rsidR="006B1376" w:rsidRDefault="006B1376"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4" w:space="0" w:color="000000" w:themeColor="text1"/>
              <w:right w:val="nil"/>
            </w:tcBorders>
            <w:vAlign w:val="center"/>
          </w:tcPr>
          <w:p w14:paraId="72C0A3A7" w14:textId="77777777" w:rsidR="006B1376" w:rsidRDefault="006B1376" w:rsidP="00A43138">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4" w:space="0" w:color="000000" w:themeColor="text1"/>
              <w:right w:val="nil"/>
            </w:tcBorders>
            <w:vAlign w:val="center"/>
          </w:tcPr>
          <w:p w14:paraId="63531F86" w14:textId="17825732" w:rsidR="006B1376" w:rsidRDefault="006B1376" w:rsidP="00A43138">
            <w:pPr>
              <w:widowControl w:val="0"/>
              <w:tabs>
                <w:tab w:val="decimal" w:leader="dot" w:pos="428"/>
              </w:tabs>
              <w:autoSpaceDE w:val="0"/>
              <w:autoSpaceDN w:val="0"/>
              <w:adjustRightInd w:val="0"/>
              <w:rPr>
                <w:lang w:val="en-US"/>
              </w:rPr>
            </w:pPr>
            <w:r>
              <w:rPr>
                <w:sz w:val="20"/>
                <w:szCs w:val="20"/>
                <w:lang w:val="en-US"/>
              </w:rPr>
              <w:t>[</w:t>
            </w:r>
            <w:r w:rsidR="007C4FCB">
              <w:t>-</w:t>
            </w:r>
            <w:r>
              <w:rPr>
                <w:sz w:val="20"/>
                <w:szCs w:val="20"/>
                <w:lang w:val="en-US"/>
              </w:rPr>
              <w:t xml:space="preserve">.47, </w:t>
            </w:r>
            <w:r w:rsidR="007C4FCB">
              <w:t>-</w:t>
            </w:r>
            <w:r>
              <w:rPr>
                <w:sz w:val="20"/>
                <w:szCs w:val="20"/>
                <w:lang w:val="en-US"/>
              </w:rPr>
              <w:t>.43]</w:t>
            </w:r>
          </w:p>
        </w:tc>
        <w:tc>
          <w:tcPr>
            <w:tcW w:w="1224" w:type="dxa"/>
            <w:tcBorders>
              <w:top w:val="nil"/>
              <w:left w:val="nil"/>
              <w:bottom w:val="single" w:sz="4" w:space="0" w:color="000000" w:themeColor="text1"/>
              <w:right w:val="nil"/>
            </w:tcBorders>
            <w:vAlign w:val="center"/>
          </w:tcPr>
          <w:p w14:paraId="06ED3A10" w14:textId="2662A085" w:rsidR="006B1376" w:rsidRDefault="006B1376" w:rsidP="00A43138">
            <w:pPr>
              <w:widowControl w:val="0"/>
              <w:tabs>
                <w:tab w:val="decimal" w:leader="dot" w:pos="428"/>
              </w:tabs>
              <w:autoSpaceDE w:val="0"/>
              <w:autoSpaceDN w:val="0"/>
              <w:adjustRightInd w:val="0"/>
              <w:rPr>
                <w:lang w:val="en-US"/>
              </w:rPr>
            </w:pPr>
            <w:r>
              <w:rPr>
                <w:sz w:val="20"/>
                <w:szCs w:val="20"/>
                <w:lang w:val="en-US"/>
              </w:rPr>
              <w:t>[</w:t>
            </w:r>
            <w:r w:rsidR="007C4FCB">
              <w:t>-</w:t>
            </w:r>
            <w:r>
              <w:rPr>
                <w:sz w:val="20"/>
                <w:szCs w:val="20"/>
                <w:lang w:val="en-US"/>
              </w:rPr>
              <w:t xml:space="preserve">.36, </w:t>
            </w:r>
            <w:r w:rsidR="007C4FCB">
              <w:t>-</w:t>
            </w:r>
            <w:r>
              <w:rPr>
                <w:sz w:val="20"/>
                <w:szCs w:val="20"/>
                <w:lang w:val="en-US"/>
              </w:rPr>
              <w:t>.31]</w:t>
            </w:r>
          </w:p>
        </w:tc>
      </w:tr>
    </w:tbl>
    <w:p w14:paraId="0A35C6D7" w14:textId="77777777" w:rsidR="006B1376" w:rsidRDefault="006B1376" w:rsidP="006B1376">
      <w:pPr>
        <w:widowControl w:val="0"/>
        <w:autoSpaceDE w:val="0"/>
        <w:autoSpaceDN w:val="0"/>
        <w:adjustRightInd w:val="0"/>
        <w:rPr>
          <w:lang w:val="en-US"/>
        </w:rPr>
      </w:pPr>
    </w:p>
    <w:p w14:paraId="4C19D250" w14:textId="77777777" w:rsidR="006B1376" w:rsidRDefault="006B1376" w:rsidP="006B1376">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2CCC675D" w14:textId="77777777" w:rsidR="006B1376" w:rsidRDefault="006B1376" w:rsidP="000E1AF3">
      <w:pPr>
        <w:spacing w:line="480" w:lineRule="auto"/>
      </w:pPr>
    </w:p>
    <w:p w14:paraId="334E37FF" w14:textId="4B0F24E6" w:rsidR="0010214B" w:rsidRDefault="0010214B" w:rsidP="000E1AF3">
      <w:pPr>
        <w:spacing w:line="480" w:lineRule="auto"/>
        <w:rPr>
          <w:b/>
          <w:bCs/>
        </w:rPr>
      </w:pPr>
      <w:r>
        <w:rPr>
          <w:b/>
          <w:bCs/>
        </w:rPr>
        <w:t>Visual Data Screening and Assumption Checking</w:t>
      </w:r>
    </w:p>
    <w:p w14:paraId="0E05297B" w14:textId="77777777" w:rsidR="003A3EC1" w:rsidRDefault="0010214B" w:rsidP="00C16DC9">
      <w:pPr>
        <w:spacing w:line="480" w:lineRule="auto"/>
      </w:pPr>
      <w:r>
        <w:rPr>
          <w:b/>
          <w:bCs/>
        </w:rPr>
        <w:tab/>
      </w:r>
      <w:r>
        <w:t>Before fitting the multilevel models, the data were inspected to evaluate univariate distributions, linearity, outliers</w:t>
      </w:r>
      <w:r w:rsidR="00F829F6">
        <w:t xml:space="preserve">, </w:t>
      </w:r>
      <w:r w:rsidR="00F829F6" w:rsidRPr="00933076">
        <w:t>multicollinearity</w:t>
      </w:r>
      <w:r w:rsidR="00F829F6">
        <w:t>, and independence of observations</w:t>
      </w:r>
      <w:r>
        <w:t>.</w:t>
      </w:r>
      <w:r w:rsidR="00F829F6">
        <w:t xml:space="preserve"> </w:t>
      </w:r>
      <w:r>
        <w:t>Histograms were generated for satisfaction with life, extraversion, and neuroticism (see Figure 1).</w:t>
      </w:r>
      <w:r w:rsidR="003A3EC1">
        <w:t xml:space="preserve"> </w:t>
      </w:r>
    </w:p>
    <w:p w14:paraId="2D5C646F" w14:textId="346140D0" w:rsidR="007570F2" w:rsidRDefault="0010214B" w:rsidP="007570F2">
      <w:pPr>
        <w:spacing w:line="480" w:lineRule="auto"/>
        <w:ind w:firstLine="720"/>
      </w:pPr>
      <w:r>
        <w:t>Satisfaction with life scores were slightly left-skewed, indicating that many participants reported moderately high levels of life satisfaction</w:t>
      </w:r>
      <w:r w:rsidR="007570F2">
        <w:t xml:space="preserve">, with fewer individuals reporting lower satisfaction. This pattern suggests a general tendency toward greater satisfaction with life in the sample and supports the use of linear modeling, as the distribution was still approximately continuous and unimodal. </w:t>
      </w:r>
      <w:r>
        <w:t>Extraversion scores appeared normally distributed</w:t>
      </w:r>
      <w:r w:rsidR="007570F2">
        <w:t xml:space="preserve">, meaning that the trait was well spread across participants, with most individuals scoring near the midpoint and </w:t>
      </w:r>
      <w:r w:rsidR="007570F2">
        <w:lastRenderedPageBreak/>
        <w:t xml:space="preserve">fewer scoring at the extremes. The normal shape supports statistical assumptions of normality and suggests that the full range of extraversion is represented in the sample, increasing the likelihood of detecting associations with the outcome. </w:t>
      </w:r>
      <w:r>
        <w:t xml:space="preserve">Neuroticism scores were right-skewed, suggesting that most participants reported low levels of neuroticism. </w:t>
      </w:r>
      <w:r w:rsidR="007570F2">
        <w:t>Although the distribution was skewed, it remained continuous and did not exhibit major floor effects. This implies that, while individuals higher in neuroticism were underrepresented relative to those lower in neuroticism, the data still contained sufficient variability to model meaningful relationships with satisfaction with life.</w:t>
      </w:r>
    </w:p>
    <w:p w14:paraId="539E36DF" w14:textId="77777777" w:rsidR="006F583C" w:rsidRDefault="006F583C" w:rsidP="006F583C">
      <w:pPr>
        <w:spacing w:line="480" w:lineRule="auto"/>
        <w:rPr>
          <w:b/>
          <w:bCs/>
        </w:rPr>
      </w:pPr>
      <w:r>
        <w:rPr>
          <w:b/>
          <w:bCs/>
        </w:rPr>
        <w:t>Figure 1</w:t>
      </w:r>
    </w:p>
    <w:p w14:paraId="77ABF8A7" w14:textId="77777777" w:rsidR="006F583C" w:rsidRDefault="006F583C" w:rsidP="006F583C">
      <w:pPr>
        <w:spacing w:line="480" w:lineRule="auto"/>
        <w:rPr>
          <w:i/>
          <w:iCs/>
        </w:rPr>
      </w:pPr>
      <w:r>
        <w:rPr>
          <w:i/>
          <w:iCs/>
        </w:rPr>
        <w:t>Univariate distributions of satisfaction with life, extraversion, and neuroticism</w:t>
      </w:r>
    </w:p>
    <w:p w14:paraId="1B6F113C" w14:textId="77777777" w:rsidR="006F583C" w:rsidRDefault="006F583C" w:rsidP="006F583C">
      <w:pPr>
        <w:spacing w:line="480" w:lineRule="auto"/>
      </w:pPr>
      <w:r>
        <w:rPr>
          <w:noProof/>
        </w:rPr>
        <w:drawing>
          <wp:inline distT="0" distB="0" distL="0" distR="0" wp14:anchorId="673304BB" wp14:editId="36BB6385">
            <wp:extent cx="5909912" cy="3646967"/>
            <wp:effectExtent l="0" t="0" r="0" b="0"/>
            <wp:docPr id="1860491957" name="Picture 3" descr="A graph of different siz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91957" name="Picture 3" descr="A graph of different sizes and number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0409" cy="3863256"/>
                    </a:xfrm>
                    <a:prstGeom prst="rect">
                      <a:avLst/>
                    </a:prstGeom>
                  </pic:spPr>
                </pic:pic>
              </a:graphicData>
            </a:graphic>
          </wp:inline>
        </w:drawing>
      </w:r>
    </w:p>
    <w:p w14:paraId="2684A464" w14:textId="49A356D6" w:rsidR="006F583C" w:rsidRDefault="006F583C" w:rsidP="006F583C">
      <w:r>
        <w:rPr>
          <w:i/>
          <w:iCs/>
        </w:rPr>
        <w:t xml:space="preserve">Note. </w:t>
      </w:r>
      <w:proofErr w:type="spellStart"/>
      <w:r>
        <w:t>swl</w:t>
      </w:r>
      <w:proofErr w:type="spellEnd"/>
      <w:r>
        <w:t xml:space="preserve"> = satisfaction with life, </w:t>
      </w:r>
      <w:proofErr w:type="spellStart"/>
      <w:proofErr w:type="gramStart"/>
      <w:r>
        <w:t>tipm.E</w:t>
      </w:r>
      <w:proofErr w:type="spellEnd"/>
      <w:proofErr w:type="gramEnd"/>
      <w:r>
        <w:t xml:space="preserve"> = extraversion, </w:t>
      </w:r>
      <w:proofErr w:type="spellStart"/>
      <w:proofErr w:type="gramStart"/>
      <w:r>
        <w:t>tipm.N</w:t>
      </w:r>
      <w:proofErr w:type="spellEnd"/>
      <w:proofErr w:type="gramEnd"/>
      <w:r>
        <w:t xml:space="preserve"> = neuroticism.</w:t>
      </w:r>
    </w:p>
    <w:p w14:paraId="36A2EFD8" w14:textId="77777777" w:rsidR="006F583C" w:rsidRDefault="006F583C" w:rsidP="006F583C"/>
    <w:p w14:paraId="333C3B9A" w14:textId="77777777" w:rsidR="006F583C" w:rsidRDefault="006F583C" w:rsidP="006F583C"/>
    <w:p w14:paraId="3F6CC43C" w14:textId="59BA713E" w:rsidR="0010214B" w:rsidRDefault="0010214B" w:rsidP="000E1AF3">
      <w:pPr>
        <w:spacing w:line="480" w:lineRule="auto"/>
      </w:pPr>
      <w:r>
        <w:lastRenderedPageBreak/>
        <w:tab/>
        <w:t>To assess linearity, scatterplots with loess lines were used to examine the bivariate relationships between the predictors and satisfaction with life (see Figure 2). A positive linear association was observed between extraversion and satisfaction with life, providing preliminary support for H1. A negative association was observed between neuroticism and satisfaction with life, providing preliminary support for H2. Although the association between neuroticism and satisfaction with life appeared mostly linear, a slight downward curve was evident at higher levels of neuroticism. This pattern suggests that the negative association may become stronger as neuroticism increases. Despite this minor nonlinearity, the trend was generally consistent with model assumptions, and the data were considered appropriate for linear mixed effects modeling.</w:t>
      </w:r>
    </w:p>
    <w:p w14:paraId="39B119D6" w14:textId="70F020BD" w:rsidR="00F829F6" w:rsidRDefault="00F829F6" w:rsidP="00F829F6">
      <w:pPr>
        <w:spacing w:line="480" w:lineRule="auto"/>
        <w:ind w:firstLine="720"/>
      </w:pPr>
      <w:r>
        <w:t>To assess multicollinearity, the correlation between extraversion and neuroticism from Table 1 was observed. Again, t</w:t>
      </w:r>
      <w:r>
        <w:t>he correlation between extraversion and neuroticism was moderate (</w:t>
      </w:r>
      <w:r w:rsidRPr="00DD5758">
        <w:rPr>
          <w:i/>
          <w:iCs/>
        </w:rPr>
        <w:t>r</w:t>
      </w:r>
      <w:r>
        <w:t xml:space="preserve"> = </w:t>
      </w:r>
      <w:r>
        <w:t>-</w:t>
      </w:r>
      <w:r>
        <w:t>.33), well below the threshold of concern (|</w:t>
      </w:r>
      <w:r w:rsidRPr="00DD5758">
        <w:rPr>
          <w:i/>
          <w:iCs/>
        </w:rPr>
        <w:t>r</w:t>
      </w:r>
      <w:r>
        <w:t>| &gt; .80). This suggests that both variables can be included in the same model without concern for overlapping influence.</w:t>
      </w:r>
    </w:p>
    <w:p w14:paraId="6E88E569" w14:textId="541612A4" w:rsidR="001A74A8" w:rsidRDefault="001A74A8" w:rsidP="00F829F6">
      <w:pPr>
        <w:spacing w:line="480" w:lineRule="auto"/>
        <w:ind w:firstLine="720"/>
      </w:pPr>
      <w:r>
        <w:t xml:space="preserve">Finally, the assumption of independent observations across clusters (i.e., across participants) was evaluated conceptually. Because the dataset consisted of repeated daily measures nested within participants, multilevel modeling was deemed required to appropriately account for non-independence of observations within individuals. </w:t>
      </w:r>
    </w:p>
    <w:p w14:paraId="7F3009AD" w14:textId="1BAD847D" w:rsidR="001A74A8" w:rsidRDefault="001A74A8" w:rsidP="00F82804">
      <w:pPr>
        <w:spacing w:line="480" w:lineRule="auto"/>
        <w:ind w:firstLine="720"/>
      </w:pPr>
      <w:r>
        <w:t xml:space="preserve">Across all diagnostics, assumptions of linearity, homoscedasticity, and normality were reasonably met. Although minor deviations were noted, such as mild heteroscedasticity and slight non-linearity with neuroticism, there were no serious violations. </w:t>
      </w:r>
      <w:r w:rsidR="00496867">
        <w:t xml:space="preserve">It is important to note, however, that assumptions related to residual patterns (e.g., homoscedasticity of residuals, independence of residuals, and residual normality) could not be fully evaluated prior to fitting the models, as they depend on model-generated estimates. These were addressed in post-model </w:t>
      </w:r>
      <w:r w:rsidR="00496867">
        <w:lastRenderedPageBreak/>
        <w:t>residual diagnostics. Altogether, t</w:t>
      </w:r>
      <w:r w:rsidR="00F82804">
        <w:t>hese</w:t>
      </w:r>
      <w:r w:rsidR="00496867">
        <w:t xml:space="preserve"> preliminary</w:t>
      </w:r>
      <w:r w:rsidR="00F82804">
        <w:t xml:space="preserve"> checks confirmed that all necessary pre-modeling assumptions were adequately met, supporting the appropriateness of </w:t>
      </w:r>
      <w:r w:rsidR="00F82804">
        <w:t>proceeding with linear mixed effects modeling.</w:t>
      </w:r>
    </w:p>
    <w:p w14:paraId="150F8584" w14:textId="77777777" w:rsidR="00386AF0" w:rsidRDefault="00386AF0" w:rsidP="00386AF0">
      <w:pPr>
        <w:spacing w:line="480" w:lineRule="auto"/>
        <w:rPr>
          <w:b/>
          <w:bCs/>
        </w:rPr>
      </w:pPr>
      <w:r>
        <w:rPr>
          <w:b/>
          <w:bCs/>
        </w:rPr>
        <w:t>Figure 2</w:t>
      </w:r>
    </w:p>
    <w:p w14:paraId="0F81D426" w14:textId="77777777" w:rsidR="00386AF0" w:rsidRDefault="00386AF0" w:rsidP="00386AF0">
      <w:pPr>
        <w:spacing w:line="480" w:lineRule="auto"/>
        <w:rPr>
          <w:i/>
          <w:iCs/>
        </w:rPr>
      </w:pPr>
      <w:r>
        <w:rPr>
          <w:i/>
          <w:iCs/>
        </w:rPr>
        <w:t>Bivariate scatterplots showing the relationships between extraversion (left), neuroticism (right), and satisfaction with life</w:t>
      </w:r>
    </w:p>
    <w:p w14:paraId="02B47C51" w14:textId="77777777" w:rsidR="00386AF0" w:rsidRPr="000E4CD4" w:rsidRDefault="00386AF0" w:rsidP="00386AF0">
      <w:pPr>
        <w:spacing w:line="480" w:lineRule="auto"/>
        <w:rPr>
          <w:i/>
          <w:iCs/>
        </w:rPr>
      </w:pPr>
      <w:r>
        <w:rPr>
          <w:i/>
          <w:iCs/>
          <w:noProof/>
        </w:rPr>
        <w:drawing>
          <wp:inline distT="0" distB="0" distL="0" distR="0" wp14:anchorId="05CA6EA4" wp14:editId="0244F323">
            <wp:extent cx="4979484" cy="3072809"/>
            <wp:effectExtent l="0" t="0" r="0" b="635"/>
            <wp:docPr id="678335775" name="Picture 2" descr="A graph of 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35775" name="Picture 2" descr="A graph of a graph of a functio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5521" cy="3218466"/>
                    </a:xfrm>
                    <a:prstGeom prst="rect">
                      <a:avLst/>
                    </a:prstGeom>
                  </pic:spPr>
                </pic:pic>
              </a:graphicData>
            </a:graphic>
          </wp:inline>
        </w:drawing>
      </w:r>
    </w:p>
    <w:p w14:paraId="0FB45EEE" w14:textId="10026281" w:rsidR="006F583C" w:rsidRDefault="00386AF0" w:rsidP="00386AF0">
      <w:r>
        <w:rPr>
          <w:i/>
          <w:iCs/>
        </w:rPr>
        <w:t xml:space="preserve">Note. </w:t>
      </w:r>
      <w:proofErr w:type="spellStart"/>
      <w:r>
        <w:t>swl</w:t>
      </w:r>
      <w:proofErr w:type="spellEnd"/>
      <w:r>
        <w:t xml:space="preserve"> = satisfaction with life; </w:t>
      </w:r>
      <w:proofErr w:type="spellStart"/>
      <w:proofErr w:type="gramStart"/>
      <w:r>
        <w:t>tipm.E</w:t>
      </w:r>
      <w:proofErr w:type="spellEnd"/>
      <w:proofErr w:type="gramEnd"/>
      <w:r>
        <w:t xml:space="preserve"> = extraversion; </w:t>
      </w:r>
      <w:proofErr w:type="spellStart"/>
      <w:proofErr w:type="gramStart"/>
      <w:r>
        <w:t>tipm.N</w:t>
      </w:r>
      <w:proofErr w:type="spellEnd"/>
      <w:proofErr w:type="gramEnd"/>
      <w:r>
        <w:t xml:space="preserve"> = neuroticism.</w:t>
      </w:r>
    </w:p>
    <w:p w14:paraId="1D417938" w14:textId="77777777" w:rsidR="00FF4A22" w:rsidRDefault="00FF4A22" w:rsidP="00386AF0"/>
    <w:p w14:paraId="2A21D8C5" w14:textId="77777777" w:rsidR="00FF4A22" w:rsidRDefault="00FF4A22" w:rsidP="00386AF0"/>
    <w:p w14:paraId="26CFAA77" w14:textId="66CF692D" w:rsidR="00A150B1" w:rsidRDefault="00A150B1" w:rsidP="000E1AF3">
      <w:pPr>
        <w:spacing w:line="480" w:lineRule="auto"/>
        <w:rPr>
          <w:b/>
          <w:bCs/>
        </w:rPr>
      </w:pPr>
      <w:r>
        <w:rPr>
          <w:b/>
          <w:bCs/>
        </w:rPr>
        <w:t>Baseline Model and Intraclass Correlation Coefficient (ICC)</w:t>
      </w:r>
    </w:p>
    <w:p w14:paraId="40C4CE06" w14:textId="6421B468" w:rsidR="00A150B1" w:rsidRDefault="00A150B1" w:rsidP="00D32198">
      <w:pPr>
        <w:spacing w:line="480" w:lineRule="auto"/>
      </w:pPr>
      <w:r>
        <w:rPr>
          <w:b/>
          <w:bCs/>
        </w:rPr>
        <w:tab/>
      </w:r>
      <w:r w:rsidR="00D32198">
        <w:t xml:space="preserve">To quantify the extend of clustering in the data and justify the use of multilevel modeling, a random intercepts-only model was first fitted. This model </w:t>
      </w:r>
      <w:r>
        <w:t>estimate</w:t>
      </w:r>
      <w:r w:rsidR="00D32198">
        <w:t>d</w:t>
      </w:r>
      <w:r>
        <w:t xml:space="preserve"> the proportion of variance in satisfaction with life that was attributable to </w:t>
      </w:r>
      <w:r w:rsidR="00D32198">
        <w:t>between-person differences, as opposed to within-person variation over time</w:t>
      </w:r>
      <w:r>
        <w:t>. In this baseline model, satisfaction with life was entered as the outcome, and participant ID was included as a random effect to account for the nested structure of the data.</w:t>
      </w:r>
    </w:p>
    <w:p w14:paraId="74683760" w14:textId="49959845" w:rsidR="00A150B1" w:rsidRDefault="00A150B1" w:rsidP="000E1AF3">
      <w:pPr>
        <w:spacing w:line="480" w:lineRule="auto"/>
      </w:pPr>
      <w:r>
        <w:lastRenderedPageBreak/>
        <w:tab/>
        <w:t>The model indicated substantial between-person variability in satisfaction with life. The variance attributed to the random intercept (i.e., differences between participants) was 1.91</w:t>
      </w:r>
      <w:r w:rsidR="00AE0B3F">
        <w:t xml:space="preserve"> (</w:t>
      </w:r>
      <w:r w:rsidR="00AE0B3F" w:rsidRPr="00AE0B3F">
        <w:rPr>
          <w:i/>
          <w:iCs/>
        </w:rPr>
        <w:t>SD</w:t>
      </w:r>
      <w:r w:rsidR="00AE0B3F">
        <w:t xml:space="preserve"> = 1.38)</w:t>
      </w:r>
      <w:r>
        <w:t>, whereas the residual variance (i.e., within-person differences across measurement occasions) was 0.66</w:t>
      </w:r>
      <w:r w:rsidR="00AE0B3F">
        <w:t xml:space="preserve"> </w:t>
      </w:r>
      <w:r w:rsidR="00AE0B3F">
        <w:t>(</w:t>
      </w:r>
      <w:r w:rsidR="00AE0B3F" w:rsidRPr="00AE0B3F">
        <w:rPr>
          <w:i/>
          <w:iCs/>
        </w:rPr>
        <w:t>SD</w:t>
      </w:r>
      <w:r w:rsidR="00AE0B3F">
        <w:t xml:space="preserve"> = </w:t>
      </w:r>
      <w:r w:rsidR="009C62BA">
        <w:t>0</w:t>
      </w:r>
      <w:r w:rsidR="00AE0B3F">
        <w:t>.81</w:t>
      </w:r>
      <w:r w:rsidR="00AE0B3F">
        <w:t>)</w:t>
      </w:r>
      <w:r>
        <w:t>. These results suggest that individuals differed meaningfully in their average levels of life satisfaction across the study period, with a larger portion of variance occurring at the between-person level than within-person level.</w:t>
      </w:r>
    </w:p>
    <w:p w14:paraId="0CB2EE7F" w14:textId="39212B51" w:rsidR="00A150B1" w:rsidRDefault="00A150B1" w:rsidP="000E1AF3">
      <w:pPr>
        <w:spacing w:line="480" w:lineRule="auto"/>
      </w:pPr>
      <w:r>
        <w:tab/>
        <w:t xml:space="preserve">To </w:t>
      </w:r>
      <w:r w:rsidR="00C01544">
        <w:t xml:space="preserve">further </w:t>
      </w:r>
      <w:r>
        <w:t xml:space="preserve">quantify the proportion of total variance in satisfaction with life attributable to between-person differences, an intraclass correlation coefficient (ICC) was calculated from the baseline model. The ICC was 0.74, indicating that 74% of the variability in satisfaction with life scores was due to stable differences between individuals (Level 2), rather than fluctuations within individuals over time (Level 1). This reflects a strong clustering effect and suggests that most of the variation in life satisfaction can be explained by who the person is, rather than day-to-day changes. The design effect was 12.30, further confirming that the repeated measures within each participant are not independent. This value substantially exceeds the conventional threshold of 2.0, above which ignoring clustering can bias standard errors and model estimates. </w:t>
      </w:r>
      <w:r w:rsidR="00D93664">
        <w:t>T</w:t>
      </w:r>
      <w:r>
        <w:t xml:space="preserve">hese results strongly justify the use of </w:t>
      </w:r>
      <w:r w:rsidR="00D93664">
        <w:t xml:space="preserve">linear </w:t>
      </w:r>
      <w:r>
        <w:t xml:space="preserve">mixed effects modeling to account for the </w:t>
      </w:r>
      <w:r w:rsidR="003D16C2">
        <w:t>nested</w:t>
      </w:r>
      <w:r>
        <w:t xml:space="preserve"> structure of the data.</w:t>
      </w:r>
    </w:p>
    <w:p w14:paraId="748D044C" w14:textId="67B1795D" w:rsidR="0017503E" w:rsidRDefault="00FA2E51" w:rsidP="000E1AF3">
      <w:pPr>
        <w:spacing w:line="480" w:lineRule="auto"/>
        <w:rPr>
          <w:b/>
          <w:bCs/>
        </w:rPr>
      </w:pPr>
      <w:r>
        <w:rPr>
          <w:b/>
          <w:bCs/>
        </w:rPr>
        <w:t>Testing H</w:t>
      </w:r>
      <w:r w:rsidR="00211C20">
        <w:rPr>
          <w:b/>
          <w:bCs/>
        </w:rPr>
        <w:t>1</w:t>
      </w:r>
      <w:r>
        <w:rPr>
          <w:b/>
          <w:bCs/>
        </w:rPr>
        <w:t xml:space="preserve"> and H</w:t>
      </w:r>
      <w:r w:rsidR="00211C20">
        <w:rPr>
          <w:b/>
          <w:bCs/>
        </w:rPr>
        <w:t>2</w:t>
      </w:r>
      <w:r>
        <w:rPr>
          <w:b/>
          <w:bCs/>
        </w:rPr>
        <w:t xml:space="preserve">: </w:t>
      </w:r>
      <w:r w:rsidR="003D16C2">
        <w:rPr>
          <w:b/>
          <w:bCs/>
        </w:rPr>
        <w:t>Linear Mixed Effects Models</w:t>
      </w:r>
    </w:p>
    <w:p w14:paraId="5B7CB57A" w14:textId="633D9F7D" w:rsidR="00B55D91" w:rsidRPr="00B55D91" w:rsidRDefault="00B55D91" w:rsidP="000E1AF3">
      <w:pPr>
        <w:spacing w:line="480" w:lineRule="auto"/>
        <w:rPr>
          <w:b/>
          <w:bCs/>
          <w:i/>
          <w:iCs/>
        </w:rPr>
      </w:pPr>
      <w:r>
        <w:rPr>
          <w:b/>
          <w:bCs/>
          <w:i/>
          <w:iCs/>
        </w:rPr>
        <w:t>Model Building</w:t>
      </w:r>
    </w:p>
    <w:p w14:paraId="0079B379" w14:textId="5F03624E" w:rsidR="00120111" w:rsidRDefault="003D16C2" w:rsidP="001C299A">
      <w:pPr>
        <w:spacing w:line="480" w:lineRule="auto"/>
      </w:pPr>
      <w:r>
        <w:rPr>
          <w:b/>
          <w:bCs/>
        </w:rPr>
        <w:tab/>
      </w:r>
      <w:r>
        <w:t>To test H1 and H2, a series of linear mixed effects models were fitted</w:t>
      </w:r>
      <w:r w:rsidR="001C299A">
        <w:t xml:space="preserve"> using the lme4 package in R. </w:t>
      </w:r>
      <w:r w:rsidR="00BA64E8">
        <w:t>All models were fit using REML, which is preferred for estimating models when comparing random effect structures</w:t>
      </w:r>
      <w:r w:rsidR="00CA0D93">
        <w:t>. M</w:t>
      </w:r>
      <w:r w:rsidR="00120111">
        <w:t>odel summaries were inspected for fixed effect estimates, variance components, and convergence diagnostics.</w:t>
      </w:r>
      <w:r w:rsidR="00BA64E8">
        <w:t xml:space="preserve"> </w:t>
      </w:r>
    </w:p>
    <w:p w14:paraId="15E6137C" w14:textId="4F9A078E" w:rsidR="00D44538" w:rsidRDefault="001C299A" w:rsidP="00D44538">
      <w:pPr>
        <w:spacing w:line="480" w:lineRule="auto"/>
        <w:ind w:firstLine="720"/>
      </w:pPr>
      <w:r>
        <w:lastRenderedPageBreak/>
        <w:t xml:space="preserve">The first model specified extraversion and neuroticism as fixed effects, assuming that the effects of these personality traits on satisfaction with life were constant across participants. This model included a random intercept for participants ID to account for between-person differences in average levels of satisfaction with life across the measurement period. </w:t>
      </w:r>
      <w:r w:rsidR="00D44538">
        <w:t xml:space="preserve">This first model can be expressed formally with Level 1 </w:t>
      </w:r>
      <w:r w:rsidR="005A76D1">
        <w:t>and</w:t>
      </w:r>
      <w:r w:rsidR="00D44538">
        <w:t xml:space="preserve"> Level 2</w:t>
      </w:r>
      <w:r w:rsidR="005A76D1">
        <w:t xml:space="preserve"> equations</w:t>
      </w:r>
      <w:r w:rsidR="00D44538">
        <w:t>, as well as a combined full equation:</w:t>
      </w:r>
    </w:p>
    <w:p w14:paraId="6F9B0F19" w14:textId="0E2F72D5" w:rsidR="00D44538" w:rsidRDefault="00D44538" w:rsidP="00D44538">
      <w:pPr>
        <w:spacing w:line="480" w:lineRule="auto"/>
      </w:pPr>
      <w:r>
        <w:t>Level 1 (within-person</w:t>
      </w:r>
      <w:r w:rsidR="00C075E3">
        <w:t>) model</w:t>
      </w:r>
      <w:r>
        <w:t>:</w:t>
      </w:r>
    </w:p>
    <w:p w14:paraId="4C0CE9FE" w14:textId="4B862F2A" w:rsidR="009E7D11" w:rsidRDefault="009E7D11" w:rsidP="009E7D11">
      <w:pPr>
        <w:spacing w:line="480" w:lineRule="auto"/>
        <w:jc w:val="center"/>
      </w:pPr>
      <w:proofErr w:type="spellStart"/>
      <w:r>
        <w:t>SWL</w:t>
      </w:r>
      <w:r w:rsidRPr="005A76D1">
        <w:rPr>
          <w:i/>
          <w:iCs/>
          <w:vertAlign w:val="subscript"/>
        </w:rPr>
        <w:t>ij</w:t>
      </w:r>
      <w:proofErr w:type="spellEnd"/>
      <w:r>
        <w:t xml:space="preserve"> = </w:t>
      </w:r>
      <w:r>
        <w:sym w:font="Symbol" w:char="F070"/>
      </w:r>
      <w:r w:rsidRPr="00372574">
        <w:rPr>
          <w:vertAlign w:val="subscript"/>
        </w:rPr>
        <w:t>0</w:t>
      </w:r>
      <w:r w:rsidRPr="005A76D1">
        <w:rPr>
          <w:i/>
          <w:iCs/>
          <w:vertAlign w:val="subscript"/>
        </w:rPr>
        <w:t>j</w:t>
      </w:r>
      <w:r>
        <w:t xml:space="preserve"> + </w:t>
      </w:r>
      <w:r>
        <w:sym w:font="Symbol" w:char="F070"/>
      </w:r>
      <w:r>
        <w:rPr>
          <w:vertAlign w:val="subscript"/>
        </w:rPr>
        <w:t>1</w:t>
      </w:r>
      <w:r w:rsidRPr="005A76D1">
        <w:rPr>
          <w:i/>
          <w:iCs/>
          <w:vertAlign w:val="subscript"/>
        </w:rPr>
        <w:t>j</w:t>
      </w:r>
      <w:r>
        <w:t>(</w:t>
      </w:r>
      <w:proofErr w:type="spellStart"/>
      <w:r>
        <w:t>Extraversion</w:t>
      </w:r>
      <w:r w:rsidRPr="005A76D1">
        <w:rPr>
          <w:i/>
          <w:iCs/>
          <w:vertAlign w:val="subscript"/>
        </w:rPr>
        <w:t>ij</w:t>
      </w:r>
      <w:proofErr w:type="spellEnd"/>
      <w:r>
        <w:t xml:space="preserve">) + </w:t>
      </w:r>
      <w:r>
        <w:sym w:font="Symbol" w:char="F070"/>
      </w:r>
      <w:r>
        <w:rPr>
          <w:vertAlign w:val="subscript"/>
        </w:rPr>
        <w:t>2</w:t>
      </w:r>
      <w:r>
        <w:rPr>
          <w:i/>
          <w:iCs/>
          <w:vertAlign w:val="subscript"/>
        </w:rPr>
        <w:t>j</w:t>
      </w:r>
      <w:r>
        <w:t>(</w:t>
      </w:r>
      <w:proofErr w:type="spellStart"/>
      <w:r>
        <w:t>Neuroticism</w:t>
      </w:r>
      <w:r w:rsidRPr="005A76D1">
        <w:rPr>
          <w:i/>
          <w:iCs/>
          <w:vertAlign w:val="subscript"/>
        </w:rPr>
        <w:t>ij</w:t>
      </w:r>
      <w:proofErr w:type="spellEnd"/>
      <w:r>
        <w:t xml:space="preserve">) + </w:t>
      </w:r>
      <w:r>
        <w:sym w:font="Symbol" w:char="F065"/>
      </w:r>
      <w:proofErr w:type="spellStart"/>
      <w:r w:rsidRPr="005A76D1">
        <w:rPr>
          <w:i/>
          <w:iCs/>
          <w:vertAlign w:val="subscript"/>
        </w:rPr>
        <w:t>ij</w:t>
      </w:r>
      <w:proofErr w:type="spellEnd"/>
    </w:p>
    <w:p w14:paraId="12EC8AF3" w14:textId="079B2181" w:rsidR="00372574" w:rsidRDefault="00372574" w:rsidP="00372574">
      <w:pPr>
        <w:spacing w:line="480" w:lineRule="auto"/>
      </w:pPr>
      <w:r>
        <w:t>Level 2 (between-person</w:t>
      </w:r>
      <w:r w:rsidR="00C075E3">
        <w:t>)</w:t>
      </w:r>
      <w:r>
        <w:t>:</w:t>
      </w:r>
    </w:p>
    <w:p w14:paraId="50E5BAE1" w14:textId="657FF123" w:rsidR="00C075E3" w:rsidRDefault="00C075E3" w:rsidP="00C075E3">
      <w:pPr>
        <w:spacing w:line="480" w:lineRule="auto"/>
        <w:jc w:val="center"/>
        <w:rPr>
          <w:i/>
          <w:iCs/>
          <w:vertAlign w:val="subscript"/>
        </w:rPr>
      </w:pPr>
      <w:r>
        <w:sym w:font="Symbol" w:char="F070"/>
      </w:r>
      <w:r w:rsidRPr="00372574">
        <w:rPr>
          <w:vertAlign w:val="subscript"/>
        </w:rPr>
        <w:t>0</w:t>
      </w:r>
      <w:r w:rsidRPr="005A76D1">
        <w:rPr>
          <w:i/>
          <w:iCs/>
          <w:vertAlign w:val="subscript"/>
        </w:rPr>
        <w:t>j</w:t>
      </w:r>
      <w:r>
        <w:t xml:space="preserve"> = </w:t>
      </w:r>
      <w:r w:rsidRPr="00372574">
        <w:rPr>
          <w:i/>
          <w:iCs/>
        </w:rPr>
        <w:sym w:font="Symbol" w:char="F062"/>
      </w:r>
      <w:r w:rsidRPr="00372574">
        <w:rPr>
          <w:vertAlign w:val="subscript"/>
        </w:rPr>
        <w:t>0</w:t>
      </w:r>
      <w:r>
        <w:t xml:space="preserve"> + </w:t>
      </w:r>
      <w:r w:rsidRPr="00372574">
        <w:rPr>
          <w:i/>
          <w:iCs/>
        </w:rPr>
        <w:t>u</w:t>
      </w:r>
      <w:r>
        <w:rPr>
          <w:vertAlign w:val="subscript"/>
        </w:rPr>
        <w:t>0</w:t>
      </w:r>
      <w:r w:rsidRPr="005A76D1">
        <w:rPr>
          <w:i/>
          <w:iCs/>
          <w:vertAlign w:val="subscript"/>
        </w:rPr>
        <w:t>j</w:t>
      </w:r>
    </w:p>
    <w:p w14:paraId="36E7AB11" w14:textId="4A02A65D" w:rsidR="009E7D11" w:rsidRDefault="009E7D11" w:rsidP="009E7D11">
      <w:pPr>
        <w:spacing w:line="480" w:lineRule="auto"/>
        <w:jc w:val="center"/>
      </w:pPr>
      <w:r>
        <w:sym w:font="Symbol" w:char="F070"/>
      </w:r>
      <w:r>
        <w:rPr>
          <w:vertAlign w:val="subscript"/>
        </w:rPr>
        <w:t>1</w:t>
      </w:r>
      <w:r w:rsidRPr="005A76D1">
        <w:rPr>
          <w:i/>
          <w:iCs/>
          <w:vertAlign w:val="subscript"/>
        </w:rPr>
        <w:t>j</w:t>
      </w:r>
      <w:r>
        <w:t xml:space="preserve"> = </w:t>
      </w:r>
      <w:r w:rsidRPr="00372574">
        <w:rPr>
          <w:i/>
          <w:iCs/>
        </w:rPr>
        <w:sym w:font="Symbol" w:char="F062"/>
      </w:r>
      <w:r>
        <w:rPr>
          <w:vertAlign w:val="subscript"/>
        </w:rPr>
        <w:t>1</w:t>
      </w:r>
    </w:p>
    <w:p w14:paraId="4132049C" w14:textId="57DAA504" w:rsidR="009E7D11" w:rsidRDefault="009E7D11" w:rsidP="009E7D11">
      <w:pPr>
        <w:spacing w:line="480" w:lineRule="auto"/>
        <w:jc w:val="center"/>
      </w:pPr>
      <w:r>
        <w:sym w:font="Symbol" w:char="F070"/>
      </w:r>
      <w:r>
        <w:rPr>
          <w:vertAlign w:val="subscript"/>
        </w:rPr>
        <w:t>2</w:t>
      </w:r>
      <w:r w:rsidRPr="005A76D1">
        <w:rPr>
          <w:i/>
          <w:iCs/>
          <w:vertAlign w:val="subscript"/>
        </w:rPr>
        <w:t>j</w:t>
      </w:r>
      <w:r>
        <w:t xml:space="preserve"> = </w:t>
      </w:r>
      <w:r w:rsidRPr="00372574">
        <w:rPr>
          <w:i/>
          <w:iCs/>
        </w:rPr>
        <w:sym w:font="Symbol" w:char="F062"/>
      </w:r>
      <w:r>
        <w:rPr>
          <w:vertAlign w:val="subscript"/>
        </w:rPr>
        <w:t>2</w:t>
      </w:r>
    </w:p>
    <w:p w14:paraId="3083761F" w14:textId="240B6972" w:rsidR="00372574" w:rsidRDefault="00372574" w:rsidP="00372574">
      <w:pPr>
        <w:spacing w:line="480" w:lineRule="auto"/>
      </w:pPr>
      <w:r>
        <w:t>Combined (full</w:t>
      </w:r>
      <w:r w:rsidR="003C2798">
        <w:t>) model</w:t>
      </w:r>
      <w:r>
        <w:t>:</w:t>
      </w:r>
    </w:p>
    <w:p w14:paraId="3220B8D5" w14:textId="20948123" w:rsidR="00372574" w:rsidRDefault="00372574" w:rsidP="00372574">
      <w:pPr>
        <w:spacing w:line="480" w:lineRule="auto"/>
        <w:jc w:val="center"/>
      </w:pPr>
      <w:proofErr w:type="spellStart"/>
      <w:r>
        <w:t>SWL</w:t>
      </w:r>
      <w:r w:rsidR="005A76D1" w:rsidRPr="005A76D1">
        <w:rPr>
          <w:i/>
          <w:iCs/>
          <w:vertAlign w:val="subscript"/>
        </w:rPr>
        <w:t>ij</w:t>
      </w:r>
      <w:proofErr w:type="spellEnd"/>
      <w:r>
        <w:t xml:space="preserve"> = </w:t>
      </w:r>
      <w:r w:rsidRPr="00372574">
        <w:rPr>
          <w:i/>
          <w:iCs/>
        </w:rPr>
        <w:sym w:font="Symbol" w:char="F062"/>
      </w:r>
      <w:r w:rsidRPr="00372574">
        <w:rPr>
          <w:vertAlign w:val="subscript"/>
        </w:rPr>
        <w:t>0</w:t>
      </w:r>
      <w:r>
        <w:t xml:space="preserve"> + </w:t>
      </w:r>
      <w:r w:rsidRPr="00372574">
        <w:rPr>
          <w:i/>
          <w:iCs/>
        </w:rPr>
        <w:sym w:font="Symbol" w:char="F062"/>
      </w:r>
      <w:r w:rsidRPr="00372574">
        <w:rPr>
          <w:vertAlign w:val="subscript"/>
        </w:rPr>
        <w:t>1</w:t>
      </w:r>
      <w:r>
        <w:t>(</w:t>
      </w:r>
      <w:proofErr w:type="spellStart"/>
      <w:r>
        <w:t>Extraversion</w:t>
      </w:r>
      <w:r w:rsidR="005A76D1" w:rsidRPr="005A76D1">
        <w:rPr>
          <w:i/>
          <w:iCs/>
          <w:vertAlign w:val="subscript"/>
        </w:rPr>
        <w:t>ij</w:t>
      </w:r>
      <w:proofErr w:type="spellEnd"/>
      <w:r>
        <w:t xml:space="preserve">) + </w:t>
      </w:r>
      <w:r w:rsidRPr="00372574">
        <w:rPr>
          <w:i/>
          <w:iCs/>
        </w:rPr>
        <w:sym w:font="Symbol" w:char="F062"/>
      </w:r>
      <w:r w:rsidRPr="00372574">
        <w:rPr>
          <w:vertAlign w:val="subscript"/>
        </w:rPr>
        <w:t>2</w:t>
      </w:r>
      <w:r>
        <w:t>(</w:t>
      </w:r>
      <w:proofErr w:type="spellStart"/>
      <w:r>
        <w:t>Neuroticism</w:t>
      </w:r>
      <w:r w:rsidR="005A76D1" w:rsidRPr="005A76D1">
        <w:rPr>
          <w:i/>
          <w:iCs/>
          <w:vertAlign w:val="subscript"/>
        </w:rPr>
        <w:t>ij</w:t>
      </w:r>
      <w:proofErr w:type="spellEnd"/>
      <w:r>
        <w:t xml:space="preserve">) </w:t>
      </w:r>
      <w:r>
        <w:t xml:space="preserve">+ </w:t>
      </w:r>
      <w:r w:rsidRPr="00372574">
        <w:rPr>
          <w:i/>
          <w:iCs/>
        </w:rPr>
        <w:t>u</w:t>
      </w:r>
      <w:r>
        <w:rPr>
          <w:vertAlign w:val="subscript"/>
        </w:rPr>
        <w:t>0</w:t>
      </w:r>
      <w:r w:rsidR="005A76D1" w:rsidRPr="005A76D1">
        <w:rPr>
          <w:i/>
          <w:iCs/>
          <w:vertAlign w:val="subscript"/>
        </w:rPr>
        <w:t>j</w:t>
      </w:r>
      <w:r>
        <w:rPr>
          <w:vertAlign w:val="subscript"/>
        </w:rPr>
        <w:t xml:space="preserve"> </w:t>
      </w:r>
      <w:r>
        <w:t xml:space="preserve">+ </w:t>
      </w:r>
      <w:r w:rsidR="005A76D1">
        <w:sym w:font="Symbol" w:char="F065"/>
      </w:r>
      <w:proofErr w:type="spellStart"/>
      <w:r w:rsidR="005A76D1" w:rsidRPr="005A76D1">
        <w:rPr>
          <w:i/>
          <w:iCs/>
          <w:vertAlign w:val="subscript"/>
        </w:rPr>
        <w:t>ij</w:t>
      </w:r>
      <w:proofErr w:type="spellEnd"/>
    </w:p>
    <w:p w14:paraId="1A48BE63" w14:textId="58F9AA30" w:rsidR="007E03C1" w:rsidRDefault="007E03C1" w:rsidP="006A6EE1">
      <w:pPr>
        <w:spacing w:line="480" w:lineRule="auto"/>
      </w:pPr>
      <w:r>
        <w:t>At Level 1, the model describes each participant’s daily satisfaction with life score (</w:t>
      </w:r>
      <w:proofErr w:type="spellStart"/>
      <w:r>
        <w:t>SWL</w:t>
      </w:r>
      <w:r w:rsidRPr="005A76D1">
        <w:rPr>
          <w:i/>
          <w:iCs/>
          <w:vertAlign w:val="subscript"/>
        </w:rPr>
        <w:t>ij</w:t>
      </w:r>
      <w:proofErr w:type="spellEnd"/>
      <w:r>
        <w:t xml:space="preserve">) as a function of their own baseline (intercept; </w:t>
      </w:r>
      <w:r>
        <w:sym w:font="Symbol" w:char="F070"/>
      </w:r>
      <w:r w:rsidRPr="00372574">
        <w:rPr>
          <w:vertAlign w:val="subscript"/>
        </w:rPr>
        <w:t>0</w:t>
      </w:r>
      <w:r w:rsidRPr="005A76D1">
        <w:rPr>
          <w:i/>
          <w:iCs/>
          <w:vertAlign w:val="subscript"/>
        </w:rPr>
        <w:t>j</w:t>
      </w:r>
      <w:r>
        <w:t>), the effects of extraversion (</w:t>
      </w:r>
      <w:r>
        <w:sym w:font="Symbol" w:char="F070"/>
      </w:r>
      <w:r>
        <w:rPr>
          <w:vertAlign w:val="subscript"/>
        </w:rPr>
        <w:t>1</w:t>
      </w:r>
      <w:r w:rsidRPr="005A76D1">
        <w:rPr>
          <w:i/>
          <w:iCs/>
          <w:vertAlign w:val="subscript"/>
        </w:rPr>
        <w:t>j</w:t>
      </w:r>
      <w:r>
        <w:t>) and neuroticism (</w:t>
      </w:r>
      <w:r>
        <w:sym w:font="Symbol" w:char="F070"/>
      </w:r>
      <w:r>
        <w:rPr>
          <w:vertAlign w:val="subscript"/>
        </w:rPr>
        <w:t>2</w:t>
      </w:r>
      <w:r w:rsidRPr="005A76D1">
        <w:rPr>
          <w:i/>
          <w:iCs/>
          <w:vertAlign w:val="subscript"/>
        </w:rPr>
        <w:t>j</w:t>
      </w:r>
      <w:r>
        <w:t>) for that person, and the residual error (</w:t>
      </w:r>
      <w:r>
        <w:sym w:font="Symbol" w:char="F065"/>
      </w:r>
      <w:proofErr w:type="spellStart"/>
      <w:r w:rsidRPr="005A76D1">
        <w:rPr>
          <w:i/>
          <w:iCs/>
          <w:vertAlign w:val="subscript"/>
        </w:rPr>
        <w:t>ij</w:t>
      </w:r>
      <w:proofErr w:type="spellEnd"/>
      <w:r>
        <w:t>)</w:t>
      </w:r>
      <w:r w:rsidR="00EA7610">
        <w:t xml:space="preserve"> that captures day-to-day variability not explained by the model</w:t>
      </w:r>
      <w:r>
        <w:t>. At Level 2, the intercept (</w:t>
      </w:r>
      <w:r>
        <w:sym w:font="Symbol" w:char="F070"/>
      </w:r>
      <w:r w:rsidRPr="00372574">
        <w:rPr>
          <w:vertAlign w:val="subscript"/>
        </w:rPr>
        <w:t>0</w:t>
      </w:r>
      <w:r w:rsidRPr="005A76D1">
        <w:rPr>
          <w:i/>
          <w:iCs/>
          <w:vertAlign w:val="subscript"/>
        </w:rPr>
        <w:t>j</w:t>
      </w:r>
      <w:r>
        <w:t>) is modeled as a function of the gran</w:t>
      </w:r>
      <w:r w:rsidR="006A6EE1">
        <w:t>d</w:t>
      </w:r>
      <w:r>
        <w:t xml:space="preserve"> mean</w:t>
      </w:r>
      <w:r w:rsidR="006A6EE1">
        <w:t xml:space="preserve"> intercept across participants</w:t>
      </w:r>
      <w:r>
        <w:t xml:space="preserve"> (</w:t>
      </w:r>
      <w:r w:rsidRPr="00372574">
        <w:rPr>
          <w:i/>
          <w:iCs/>
        </w:rPr>
        <w:sym w:font="Symbol" w:char="F062"/>
      </w:r>
      <w:r w:rsidRPr="00372574">
        <w:rPr>
          <w:vertAlign w:val="subscript"/>
        </w:rPr>
        <w:t>0</w:t>
      </w:r>
      <w:r>
        <w:t>)</w:t>
      </w:r>
      <w:r w:rsidR="006A6EE1">
        <w:t xml:space="preserve"> plus a person-specific deviation </w:t>
      </w:r>
      <w:r w:rsidR="006A6EE1">
        <w:t>(</w:t>
      </w:r>
      <w:r w:rsidR="006A6EE1" w:rsidRPr="00372574">
        <w:rPr>
          <w:i/>
          <w:iCs/>
        </w:rPr>
        <w:t>u</w:t>
      </w:r>
      <w:r w:rsidR="006A6EE1">
        <w:rPr>
          <w:vertAlign w:val="subscript"/>
        </w:rPr>
        <w:t>0</w:t>
      </w:r>
      <w:r w:rsidR="006A6EE1" w:rsidRPr="005A76D1">
        <w:rPr>
          <w:i/>
          <w:iCs/>
          <w:vertAlign w:val="subscript"/>
        </w:rPr>
        <w:t>j</w:t>
      </w:r>
      <w:r w:rsidR="006A6EE1">
        <w:t>).</w:t>
      </w:r>
      <w:r w:rsidR="006A6EE1">
        <w:t xml:space="preserve"> The slopes for </w:t>
      </w:r>
      <w:r>
        <w:t>extraversion</w:t>
      </w:r>
      <w:r w:rsidR="006A6EE1">
        <w:t xml:space="preserve"> (</w:t>
      </w:r>
      <w:r w:rsidR="006A6EE1">
        <w:sym w:font="Symbol" w:char="F070"/>
      </w:r>
      <w:r w:rsidR="006A6EE1">
        <w:rPr>
          <w:vertAlign w:val="subscript"/>
        </w:rPr>
        <w:t>1</w:t>
      </w:r>
      <w:r w:rsidR="006A6EE1" w:rsidRPr="005A76D1">
        <w:rPr>
          <w:i/>
          <w:iCs/>
          <w:vertAlign w:val="subscript"/>
        </w:rPr>
        <w:t>j</w:t>
      </w:r>
      <w:r w:rsidR="006A6EE1">
        <w:t>) and neuroticism</w:t>
      </w:r>
      <w:r w:rsidR="006A6EE1">
        <w:t xml:space="preserve"> (</w:t>
      </w:r>
      <w:r w:rsidR="006A6EE1">
        <w:sym w:font="Symbol" w:char="F070"/>
      </w:r>
      <w:r w:rsidR="006A6EE1">
        <w:rPr>
          <w:vertAlign w:val="subscript"/>
        </w:rPr>
        <w:t>2</w:t>
      </w:r>
      <w:r w:rsidR="006A6EE1" w:rsidRPr="005A76D1">
        <w:rPr>
          <w:i/>
          <w:iCs/>
          <w:vertAlign w:val="subscript"/>
        </w:rPr>
        <w:t>j</w:t>
      </w:r>
      <w:r w:rsidR="006A6EE1">
        <w:t>)</w:t>
      </w:r>
      <w:r w:rsidR="006A6EE1">
        <w:t xml:space="preserve"> are modeled as fixed across participants (i.e., equal to </w:t>
      </w:r>
      <w:r w:rsidRPr="00372574">
        <w:rPr>
          <w:i/>
          <w:iCs/>
        </w:rPr>
        <w:sym w:font="Symbol" w:char="F062"/>
      </w:r>
      <w:r>
        <w:rPr>
          <w:vertAlign w:val="subscript"/>
        </w:rPr>
        <w:t>1</w:t>
      </w:r>
      <w:r w:rsidR="006A6EE1">
        <w:rPr>
          <w:vertAlign w:val="subscript"/>
        </w:rPr>
        <w:t xml:space="preserve"> </w:t>
      </w:r>
      <w:r w:rsidR="006A6EE1">
        <w:t xml:space="preserve">and </w:t>
      </w:r>
      <w:r w:rsidRPr="00372574">
        <w:rPr>
          <w:i/>
          <w:iCs/>
        </w:rPr>
        <w:sym w:font="Symbol" w:char="F062"/>
      </w:r>
      <w:r>
        <w:rPr>
          <w:vertAlign w:val="subscript"/>
        </w:rPr>
        <w:t>2</w:t>
      </w:r>
      <w:r w:rsidR="006A6EE1">
        <w:t>, respectively</w:t>
      </w:r>
      <w:r>
        <w:t>),</w:t>
      </w:r>
      <w:r w:rsidR="006A6EE1">
        <w:t xml:space="preserve"> meaning they do not vary from one participant to another. In the combined model, each person’s satisfaction with life on a given day is estimated as the sum of the overall intercept</w:t>
      </w:r>
      <w:r>
        <w:t xml:space="preserve"> </w:t>
      </w:r>
      <w:r>
        <w:t>(</w:t>
      </w:r>
      <w:r w:rsidRPr="00372574">
        <w:rPr>
          <w:i/>
          <w:iCs/>
        </w:rPr>
        <w:sym w:font="Symbol" w:char="F062"/>
      </w:r>
      <w:r w:rsidRPr="00372574">
        <w:rPr>
          <w:vertAlign w:val="subscript"/>
        </w:rPr>
        <w:t>0</w:t>
      </w:r>
      <w:r>
        <w:t>),</w:t>
      </w:r>
      <w:r>
        <w:t xml:space="preserve"> the fixed effects of extraversion </w:t>
      </w:r>
      <w:r>
        <w:t>(</w:t>
      </w:r>
      <w:r w:rsidRPr="00372574">
        <w:rPr>
          <w:i/>
          <w:iCs/>
        </w:rPr>
        <w:sym w:font="Symbol" w:char="F062"/>
      </w:r>
      <w:r>
        <w:rPr>
          <w:vertAlign w:val="subscript"/>
        </w:rPr>
        <w:t>1</w:t>
      </w:r>
      <w:r>
        <w:t>) and neuroticism (</w:t>
      </w:r>
      <w:r w:rsidRPr="00372574">
        <w:rPr>
          <w:i/>
          <w:iCs/>
        </w:rPr>
        <w:sym w:font="Symbol" w:char="F062"/>
      </w:r>
      <w:r>
        <w:rPr>
          <w:vertAlign w:val="subscript"/>
        </w:rPr>
        <w:t>2</w:t>
      </w:r>
      <w:r>
        <w:t>),</w:t>
      </w:r>
      <w:r>
        <w:t xml:space="preserve"> the</w:t>
      </w:r>
      <w:r w:rsidR="006A6EE1">
        <w:t xml:space="preserve">ir personal deviation from the grand mean </w:t>
      </w:r>
      <w:r>
        <w:t>(</w:t>
      </w:r>
      <w:r w:rsidRPr="00372574">
        <w:rPr>
          <w:i/>
          <w:iCs/>
        </w:rPr>
        <w:t>u</w:t>
      </w:r>
      <w:r>
        <w:rPr>
          <w:vertAlign w:val="subscript"/>
        </w:rPr>
        <w:t>0</w:t>
      </w:r>
      <w:r w:rsidRPr="005A76D1">
        <w:rPr>
          <w:i/>
          <w:iCs/>
          <w:vertAlign w:val="subscript"/>
        </w:rPr>
        <w:t>j</w:t>
      </w:r>
      <w:r>
        <w:t>)</w:t>
      </w:r>
      <w:r>
        <w:t xml:space="preserve">, and the </w:t>
      </w:r>
      <w:r w:rsidR="006A6EE1">
        <w:t xml:space="preserve">daily </w:t>
      </w:r>
      <w:r>
        <w:t xml:space="preserve">residual error </w:t>
      </w:r>
      <w:r>
        <w:t>(</w:t>
      </w:r>
      <w:r>
        <w:sym w:font="Symbol" w:char="F065"/>
      </w:r>
      <w:proofErr w:type="spellStart"/>
      <w:r w:rsidRPr="005A76D1">
        <w:rPr>
          <w:i/>
          <w:iCs/>
          <w:vertAlign w:val="subscript"/>
        </w:rPr>
        <w:t>ij</w:t>
      </w:r>
      <w:proofErr w:type="spellEnd"/>
      <w:r>
        <w:t>).</w:t>
      </w:r>
    </w:p>
    <w:p w14:paraId="1A9E009F" w14:textId="77777777" w:rsidR="002A78FF" w:rsidRDefault="001C299A" w:rsidP="002A78FF">
      <w:pPr>
        <w:spacing w:line="480" w:lineRule="auto"/>
      </w:pPr>
      <w:r>
        <w:lastRenderedPageBreak/>
        <w:tab/>
        <w:t>To test whether the strength of the relationships between personality traits and satisfaction with life varied across individuals, a second model was fit that included random slopes for both extraversion and neuroticism in addition to the random intercept. This full model allowed the predictive effects of both personality traits to vary between participants.</w:t>
      </w:r>
      <w:r w:rsidR="002A78FF">
        <w:t xml:space="preserve"> The model can be formally expressed as follows:</w:t>
      </w:r>
    </w:p>
    <w:p w14:paraId="7C982FC3" w14:textId="77777777" w:rsidR="002A78FF" w:rsidRDefault="002A78FF" w:rsidP="002A78FF">
      <w:pPr>
        <w:spacing w:line="480" w:lineRule="auto"/>
      </w:pPr>
      <w:r>
        <w:t>Level 1 (within-person model):</w:t>
      </w:r>
    </w:p>
    <w:p w14:paraId="2BCB54B4" w14:textId="4F5DA1FF" w:rsidR="002A78FF" w:rsidRPr="002A78FF" w:rsidRDefault="002A78FF" w:rsidP="002A78FF">
      <w:pPr>
        <w:spacing w:line="480" w:lineRule="auto"/>
        <w:jc w:val="center"/>
      </w:pPr>
      <w:r>
        <w:t xml:space="preserve"> </w:t>
      </w:r>
      <w:proofErr w:type="spellStart"/>
      <w:r>
        <w:t>SWL</w:t>
      </w:r>
      <w:r w:rsidRPr="005A76D1">
        <w:rPr>
          <w:i/>
          <w:iCs/>
          <w:vertAlign w:val="subscript"/>
        </w:rPr>
        <w:t>ij</w:t>
      </w:r>
      <w:proofErr w:type="spellEnd"/>
      <w:r>
        <w:t xml:space="preserve"> = </w:t>
      </w:r>
      <w:r>
        <w:sym w:font="Symbol" w:char="F070"/>
      </w:r>
      <w:r w:rsidRPr="00372574">
        <w:rPr>
          <w:vertAlign w:val="subscript"/>
        </w:rPr>
        <w:t>0</w:t>
      </w:r>
      <w:r w:rsidRPr="005A76D1">
        <w:rPr>
          <w:i/>
          <w:iCs/>
          <w:vertAlign w:val="subscript"/>
        </w:rPr>
        <w:t>j</w:t>
      </w:r>
      <w:r>
        <w:t xml:space="preserve"> + </w:t>
      </w:r>
      <w:r>
        <w:sym w:font="Symbol" w:char="F070"/>
      </w:r>
      <w:r>
        <w:rPr>
          <w:vertAlign w:val="subscript"/>
        </w:rPr>
        <w:t>1</w:t>
      </w:r>
      <w:r w:rsidRPr="005A76D1">
        <w:rPr>
          <w:i/>
          <w:iCs/>
          <w:vertAlign w:val="subscript"/>
        </w:rPr>
        <w:t>j</w:t>
      </w:r>
      <w:r>
        <w:t>(</w:t>
      </w:r>
      <w:proofErr w:type="spellStart"/>
      <w:r>
        <w:t>Extraversion</w:t>
      </w:r>
      <w:r w:rsidRPr="005A76D1">
        <w:rPr>
          <w:i/>
          <w:iCs/>
          <w:vertAlign w:val="subscript"/>
        </w:rPr>
        <w:t>ij</w:t>
      </w:r>
      <w:proofErr w:type="spellEnd"/>
      <w:r>
        <w:t xml:space="preserve">) + </w:t>
      </w:r>
      <w:r>
        <w:sym w:font="Symbol" w:char="F070"/>
      </w:r>
      <w:r>
        <w:rPr>
          <w:vertAlign w:val="subscript"/>
        </w:rPr>
        <w:t>2</w:t>
      </w:r>
      <w:r w:rsidRPr="005A76D1">
        <w:rPr>
          <w:i/>
          <w:iCs/>
          <w:vertAlign w:val="subscript"/>
        </w:rPr>
        <w:t>j</w:t>
      </w:r>
      <w:r>
        <w:t>(</w:t>
      </w:r>
      <w:proofErr w:type="spellStart"/>
      <w:r>
        <w:t>Neuroticism</w:t>
      </w:r>
      <w:r w:rsidRPr="005A76D1">
        <w:rPr>
          <w:i/>
          <w:iCs/>
          <w:vertAlign w:val="subscript"/>
        </w:rPr>
        <w:t>ij</w:t>
      </w:r>
      <w:proofErr w:type="spellEnd"/>
      <w:r>
        <w:t xml:space="preserve">) + </w:t>
      </w:r>
      <w:r>
        <w:sym w:font="Symbol" w:char="F065"/>
      </w:r>
      <w:proofErr w:type="spellStart"/>
      <w:r w:rsidRPr="005A76D1">
        <w:rPr>
          <w:i/>
          <w:iCs/>
          <w:vertAlign w:val="subscript"/>
        </w:rPr>
        <w:t>ij</w:t>
      </w:r>
      <w:proofErr w:type="spellEnd"/>
    </w:p>
    <w:p w14:paraId="327D5967" w14:textId="77777777" w:rsidR="002A78FF" w:rsidRDefault="002A78FF" w:rsidP="002A78FF">
      <w:pPr>
        <w:spacing w:line="480" w:lineRule="auto"/>
      </w:pPr>
      <w:r>
        <w:t>Level 2 (between-person model):</w:t>
      </w:r>
    </w:p>
    <w:p w14:paraId="0DDBA05C" w14:textId="77777777" w:rsidR="002A78FF" w:rsidRDefault="002A78FF" w:rsidP="002A78FF">
      <w:pPr>
        <w:spacing w:line="480" w:lineRule="auto"/>
        <w:jc w:val="center"/>
        <w:rPr>
          <w:i/>
          <w:iCs/>
          <w:vertAlign w:val="subscript"/>
        </w:rPr>
      </w:pPr>
      <w:r>
        <w:sym w:font="Symbol" w:char="F070"/>
      </w:r>
      <w:r w:rsidRPr="00372574">
        <w:rPr>
          <w:vertAlign w:val="subscript"/>
        </w:rPr>
        <w:t>0</w:t>
      </w:r>
      <w:r>
        <w:rPr>
          <w:i/>
          <w:iCs/>
          <w:vertAlign w:val="subscript"/>
        </w:rPr>
        <w:t>j</w:t>
      </w:r>
      <w:r>
        <w:t xml:space="preserve"> = </w:t>
      </w:r>
      <w:r w:rsidRPr="00372574">
        <w:rPr>
          <w:i/>
          <w:iCs/>
        </w:rPr>
        <w:sym w:font="Symbol" w:char="F062"/>
      </w:r>
      <w:r>
        <w:rPr>
          <w:vertAlign w:val="subscript"/>
        </w:rPr>
        <w:t>0</w:t>
      </w:r>
      <w:r>
        <w:t xml:space="preserve"> + </w:t>
      </w:r>
      <w:r w:rsidRPr="00372574">
        <w:rPr>
          <w:i/>
          <w:iCs/>
        </w:rPr>
        <w:t>u</w:t>
      </w:r>
      <w:r>
        <w:rPr>
          <w:vertAlign w:val="subscript"/>
        </w:rPr>
        <w:t>0</w:t>
      </w:r>
      <w:r w:rsidRPr="005A76D1">
        <w:rPr>
          <w:i/>
          <w:iCs/>
          <w:vertAlign w:val="subscript"/>
        </w:rPr>
        <w:t>j</w:t>
      </w:r>
    </w:p>
    <w:p w14:paraId="5E859D01" w14:textId="338BFBE8" w:rsidR="002A78FF" w:rsidRDefault="002A78FF" w:rsidP="002A78FF">
      <w:pPr>
        <w:spacing w:line="480" w:lineRule="auto"/>
        <w:jc w:val="center"/>
        <w:rPr>
          <w:i/>
          <w:iCs/>
          <w:vertAlign w:val="subscript"/>
        </w:rPr>
      </w:pPr>
      <w:r>
        <w:sym w:font="Symbol" w:char="F070"/>
      </w:r>
      <w:r>
        <w:rPr>
          <w:vertAlign w:val="subscript"/>
        </w:rPr>
        <w:t>1</w:t>
      </w:r>
      <w:r>
        <w:rPr>
          <w:i/>
          <w:iCs/>
          <w:vertAlign w:val="subscript"/>
        </w:rPr>
        <w:t>j</w:t>
      </w:r>
      <w:r>
        <w:t xml:space="preserve"> = </w:t>
      </w:r>
      <w:r w:rsidRPr="00372574">
        <w:rPr>
          <w:i/>
          <w:iCs/>
        </w:rPr>
        <w:sym w:font="Symbol" w:char="F062"/>
      </w:r>
      <w:r>
        <w:rPr>
          <w:vertAlign w:val="subscript"/>
        </w:rPr>
        <w:t>1</w:t>
      </w:r>
      <w:r>
        <w:t xml:space="preserve"> + </w:t>
      </w:r>
      <w:r w:rsidRPr="00372574">
        <w:rPr>
          <w:i/>
          <w:iCs/>
        </w:rPr>
        <w:t>u</w:t>
      </w:r>
      <w:r>
        <w:rPr>
          <w:vertAlign w:val="subscript"/>
        </w:rPr>
        <w:t>1</w:t>
      </w:r>
      <w:r w:rsidRPr="005A76D1">
        <w:rPr>
          <w:i/>
          <w:iCs/>
          <w:vertAlign w:val="subscript"/>
        </w:rPr>
        <w:t>j</w:t>
      </w:r>
    </w:p>
    <w:p w14:paraId="6F34FAC7" w14:textId="4A73DD1B" w:rsidR="002A78FF" w:rsidRDefault="002A78FF" w:rsidP="002A78FF">
      <w:pPr>
        <w:spacing w:line="480" w:lineRule="auto"/>
        <w:jc w:val="center"/>
      </w:pPr>
      <w:r>
        <w:sym w:font="Symbol" w:char="F070"/>
      </w:r>
      <w:r>
        <w:rPr>
          <w:vertAlign w:val="subscript"/>
        </w:rPr>
        <w:t>2</w:t>
      </w:r>
      <w:r>
        <w:rPr>
          <w:i/>
          <w:iCs/>
          <w:vertAlign w:val="subscript"/>
        </w:rPr>
        <w:t>j</w:t>
      </w:r>
      <w:r>
        <w:t xml:space="preserve"> = </w:t>
      </w:r>
      <w:r w:rsidRPr="00372574">
        <w:rPr>
          <w:i/>
          <w:iCs/>
        </w:rPr>
        <w:sym w:font="Symbol" w:char="F062"/>
      </w:r>
      <w:r>
        <w:rPr>
          <w:vertAlign w:val="subscript"/>
        </w:rPr>
        <w:t>2</w:t>
      </w:r>
      <w:r>
        <w:t xml:space="preserve"> + </w:t>
      </w:r>
      <w:r w:rsidRPr="00372574">
        <w:rPr>
          <w:i/>
          <w:iCs/>
        </w:rPr>
        <w:t>u</w:t>
      </w:r>
      <w:r>
        <w:rPr>
          <w:vertAlign w:val="subscript"/>
        </w:rPr>
        <w:t>2</w:t>
      </w:r>
      <w:r w:rsidRPr="005A76D1">
        <w:rPr>
          <w:i/>
          <w:iCs/>
          <w:vertAlign w:val="subscript"/>
        </w:rPr>
        <w:t>j</w:t>
      </w:r>
    </w:p>
    <w:p w14:paraId="3DA39807" w14:textId="77777777" w:rsidR="002A78FF" w:rsidRDefault="002A78FF" w:rsidP="002A78FF">
      <w:pPr>
        <w:spacing w:line="480" w:lineRule="auto"/>
      </w:pPr>
      <w:r>
        <w:t>Combined model (full equation):</w:t>
      </w:r>
    </w:p>
    <w:p w14:paraId="480C1DA2" w14:textId="1B92A4FE" w:rsidR="002A78FF" w:rsidRDefault="002A78FF" w:rsidP="002A78FF">
      <w:pPr>
        <w:spacing w:line="480" w:lineRule="auto"/>
        <w:jc w:val="center"/>
        <w:rPr>
          <w:i/>
          <w:iCs/>
          <w:vertAlign w:val="subscript"/>
        </w:rPr>
      </w:pPr>
      <w:proofErr w:type="spellStart"/>
      <w:r>
        <w:t>SWL</w:t>
      </w:r>
      <w:r w:rsidRPr="005A76D1">
        <w:rPr>
          <w:i/>
          <w:iCs/>
          <w:vertAlign w:val="subscript"/>
        </w:rPr>
        <w:t>ij</w:t>
      </w:r>
      <w:proofErr w:type="spellEnd"/>
      <w:r>
        <w:t xml:space="preserve"> = </w:t>
      </w:r>
      <w:r w:rsidRPr="00372574">
        <w:rPr>
          <w:i/>
          <w:iCs/>
        </w:rPr>
        <w:sym w:font="Symbol" w:char="F062"/>
      </w:r>
      <w:r w:rsidRPr="00372574">
        <w:rPr>
          <w:vertAlign w:val="subscript"/>
        </w:rPr>
        <w:t>0</w:t>
      </w:r>
      <w:r>
        <w:t xml:space="preserve"> + </w:t>
      </w:r>
      <w:r w:rsidRPr="00372574">
        <w:rPr>
          <w:i/>
          <w:iCs/>
        </w:rPr>
        <w:sym w:font="Symbol" w:char="F062"/>
      </w:r>
      <w:r w:rsidRPr="00372574">
        <w:rPr>
          <w:vertAlign w:val="subscript"/>
        </w:rPr>
        <w:t>1</w:t>
      </w:r>
      <w:r>
        <w:t>(</w:t>
      </w:r>
      <w:proofErr w:type="spellStart"/>
      <w:r>
        <w:t>Extraversion</w:t>
      </w:r>
      <w:r w:rsidRPr="005A76D1">
        <w:rPr>
          <w:i/>
          <w:iCs/>
          <w:vertAlign w:val="subscript"/>
        </w:rPr>
        <w:t>ij</w:t>
      </w:r>
      <w:proofErr w:type="spellEnd"/>
      <w:r>
        <w:t xml:space="preserve">) + </w:t>
      </w:r>
      <w:r w:rsidRPr="00372574">
        <w:rPr>
          <w:i/>
          <w:iCs/>
        </w:rPr>
        <w:sym w:font="Symbol" w:char="F062"/>
      </w:r>
      <w:r w:rsidRPr="00372574">
        <w:rPr>
          <w:vertAlign w:val="subscript"/>
        </w:rPr>
        <w:t>2</w:t>
      </w:r>
      <w:r>
        <w:t>(</w:t>
      </w:r>
      <w:proofErr w:type="spellStart"/>
      <w:r>
        <w:t>Neuroticism</w:t>
      </w:r>
      <w:r w:rsidRPr="005A76D1">
        <w:rPr>
          <w:i/>
          <w:iCs/>
          <w:vertAlign w:val="subscript"/>
        </w:rPr>
        <w:t>ij</w:t>
      </w:r>
      <w:proofErr w:type="spellEnd"/>
      <w:r>
        <w:t xml:space="preserve">) + </w:t>
      </w:r>
      <w:r w:rsidRPr="00372574">
        <w:rPr>
          <w:i/>
          <w:iCs/>
        </w:rPr>
        <w:t>u</w:t>
      </w:r>
      <w:r>
        <w:rPr>
          <w:vertAlign w:val="subscript"/>
        </w:rPr>
        <w:t>0</w:t>
      </w:r>
      <w:r w:rsidRPr="005A76D1">
        <w:rPr>
          <w:i/>
          <w:iCs/>
          <w:vertAlign w:val="subscript"/>
        </w:rPr>
        <w:t>j</w:t>
      </w:r>
      <w:r>
        <w:rPr>
          <w:vertAlign w:val="subscript"/>
        </w:rPr>
        <w:t xml:space="preserve"> </w:t>
      </w:r>
      <w:r>
        <w:t xml:space="preserve">+ </w:t>
      </w:r>
      <w:r w:rsidRPr="00372574">
        <w:rPr>
          <w:i/>
          <w:iCs/>
        </w:rPr>
        <w:t>u</w:t>
      </w:r>
      <w:r>
        <w:rPr>
          <w:vertAlign w:val="subscript"/>
        </w:rPr>
        <w:t>1</w:t>
      </w:r>
      <w:r w:rsidRPr="005A76D1">
        <w:rPr>
          <w:i/>
          <w:iCs/>
          <w:vertAlign w:val="subscript"/>
        </w:rPr>
        <w:t>j</w:t>
      </w:r>
      <w:r>
        <w:t>(</w:t>
      </w:r>
      <w:proofErr w:type="spellStart"/>
      <w:r>
        <w:t>Extraversion</w:t>
      </w:r>
      <w:r w:rsidRPr="005A76D1">
        <w:rPr>
          <w:i/>
          <w:iCs/>
          <w:vertAlign w:val="subscript"/>
        </w:rPr>
        <w:t>ij</w:t>
      </w:r>
      <w:proofErr w:type="spellEnd"/>
      <w:r>
        <w:t>)</w:t>
      </w:r>
      <w:r>
        <w:rPr>
          <w:vertAlign w:val="subscript"/>
        </w:rPr>
        <w:t xml:space="preserve"> </w:t>
      </w:r>
      <w:r>
        <w:t>+</w:t>
      </w:r>
      <w:r w:rsidRPr="002A78FF">
        <w:rPr>
          <w:i/>
          <w:iCs/>
        </w:rPr>
        <w:t xml:space="preserve"> </w:t>
      </w:r>
      <w:r w:rsidRPr="00372574">
        <w:rPr>
          <w:i/>
          <w:iCs/>
        </w:rPr>
        <w:t>u</w:t>
      </w:r>
      <w:r>
        <w:rPr>
          <w:vertAlign w:val="subscript"/>
        </w:rPr>
        <w:t>2</w:t>
      </w:r>
      <w:r w:rsidRPr="005A76D1">
        <w:rPr>
          <w:i/>
          <w:iCs/>
          <w:vertAlign w:val="subscript"/>
        </w:rPr>
        <w:t>j</w:t>
      </w:r>
      <w:r>
        <w:t>(</w:t>
      </w:r>
      <w:proofErr w:type="spellStart"/>
      <w:r>
        <w:t>Neuroticism</w:t>
      </w:r>
      <w:r w:rsidRPr="005A76D1">
        <w:rPr>
          <w:i/>
          <w:iCs/>
          <w:vertAlign w:val="subscript"/>
        </w:rPr>
        <w:t>ij</w:t>
      </w:r>
      <w:proofErr w:type="spellEnd"/>
      <w:r>
        <w:t>)</w:t>
      </w:r>
      <w:r>
        <w:rPr>
          <w:vertAlign w:val="subscript"/>
        </w:rPr>
        <w:t xml:space="preserve"> </w:t>
      </w:r>
      <w:r>
        <w:t xml:space="preserve">+  </w:t>
      </w:r>
      <w:r>
        <w:sym w:font="Symbol" w:char="F065"/>
      </w:r>
      <w:proofErr w:type="spellStart"/>
      <w:r w:rsidRPr="005A76D1">
        <w:rPr>
          <w:i/>
          <w:iCs/>
          <w:vertAlign w:val="subscript"/>
        </w:rPr>
        <w:t>ij</w:t>
      </w:r>
      <w:proofErr w:type="spellEnd"/>
    </w:p>
    <w:p w14:paraId="697A67BE" w14:textId="53D084CA" w:rsidR="003608CC" w:rsidRPr="003608CC" w:rsidRDefault="003608CC" w:rsidP="003608CC">
      <w:pPr>
        <w:spacing w:line="480" w:lineRule="auto"/>
        <w:rPr>
          <w:i/>
          <w:iCs/>
        </w:rPr>
      </w:pPr>
      <w:r>
        <w:t>At Level 1, the model describes each participant’s daily satisfaction with life score</w:t>
      </w:r>
      <w:r w:rsidR="00BC0A9F">
        <w:t xml:space="preserve"> </w:t>
      </w:r>
      <w:r>
        <w:t>(</w:t>
      </w:r>
      <w:proofErr w:type="spellStart"/>
      <w:r w:rsidR="00BC0A9F">
        <w:t>SWL</w:t>
      </w:r>
      <w:r w:rsidR="00BC0A9F" w:rsidRPr="005A76D1">
        <w:rPr>
          <w:i/>
          <w:iCs/>
          <w:vertAlign w:val="subscript"/>
        </w:rPr>
        <w:t>ij</w:t>
      </w:r>
      <w:proofErr w:type="spellEnd"/>
      <w:r>
        <w:t xml:space="preserve">) as a function of their own baseline level of life satisfaction </w:t>
      </w:r>
      <w:r>
        <w:t>(</w:t>
      </w:r>
      <w:r>
        <w:sym w:font="Symbol" w:char="F070"/>
      </w:r>
      <w:r w:rsidRPr="00372574">
        <w:rPr>
          <w:vertAlign w:val="subscript"/>
        </w:rPr>
        <w:t>0</w:t>
      </w:r>
      <w:r w:rsidRPr="005A76D1">
        <w:rPr>
          <w:i/>
          <w:iCs/>
          <w:vertAlign w:val="subscript"/>
        </w:rPr>
        <w:t>j</w:t>
      </w:r>
      <w:r>
        <w:t>), the effects of extraversion</w:t>
      </w:r>
      <w:r>
        <w:t xml:space="preserve"> for that individual</w:t>
      </w:r>
      <w:r>
        <w:t xml:space="preserve"> (</w:t>
      </w:r>
      <w:r>
        <w:sym w:font="Symbol" w:char="F070"/>
      </w:r>
      <w:r>
        <w:rPr>
          <w:vertAlign w:val="subscript"/>
        </w:rPr>
        <w:t>1</w:t>
      </w:r>
      <w:r w:rsidRPr="005A76D1">
        <w:rPr>
          <w:i/>
          <w:iCs/>
          <w:vertAlign w:val="subscript"/>
        </w:rPr>
        <w:t>j</w:t>
      </w:r>
      <w:r>
        <w:t>)</w:t>
      </w:r>
      <w:r>
        <w:t>,</w:t>
      </w:r>
      <w:r>
        <w:t xml:space="preserve"> and neuroticism </w:t>
      </w:r>
      <w:r>
        <w:t xml:space="preserve">for that individual </w:t>
      </w:r>
      <w:r>
        <w:t>(</w:t>
      </w:r>
      <w:r>
        <w:sym w:font="Symbol" w:char="F070"/>
      </w:r>
      <w:r>
        <w:rPr>
          <w:vertAlign w:val="subscript"/>
        </w:rPr>
        <w:t>2</w:t>
      </w:r>
      <w:r w:rsidRPr="005A76D1">
        <w:rPr>
          <w:i/>
          <w:iCs/>
          <w:vertAlign w:val="subscript"/>
        </w:rPr>
        <w:t>j</w:t>
      </w:r>
      <w:r>
        <w:t>)</w:t>
      </w:r>
      <w:r>
        <w:t xml:space="preserve">, and a </w:t>
      </w:r>
      <w:r>
        <w:t>residual error</w:t>
      </w:r>
      <w:r>
        <w:t xml:space="preserve"> term</w:t>
      </w:r>
      <w:r>
        <w:t xml:space="preserve"> (</w:t>
      </w:r>
      <w:r>
        <w:sym w:font="Symbol" w:char="F065"/>
      </w:r>
      <w:proofErr w:type="spellStart"/>
      <w:r w:rsidRPr="005A76D1">
        <w:rPr>
          <w:i/>
          <w:iCs/>
          <w:vertAlign w:val="subscript"/>
        </w:rPr>
        <w:t>ij</w:t>
      </w:r>
      <w:proofErr w:type="spellEnd"/>
      <w:r>
        <w:t>)</w:t>
      </w:r>
      <w:r>
        <w:t>. At Level 2, the intercept (</w:t>
      </w:r>
      <w:r>
        <w:sym w:font="Symbol" w:char="F070"/>
      </w:r>
      <w:r w:rsidRPr="00372574">
        <w:rPr>
          <w:vertAlign w:val="subscript"/>
        </w:rPr>
        <w:t>0</w:t>
      </w:r>
      <w:r>
        <w:rPr>
          <w:i/>
          <w:iCs/>
          <w:vertAlign w:val="subscript"/>
        </w:rPr>
        <w:t>j</w:t>
      </w:r>
      <w:r>
        <w:t>) is modeled as a function of the grand mean intercept across participants (</w:t>
      </w:r>
      <w:r w:rsidRPr="00372574">
        <w:rPr>
          <w:i/>
          <w:iCs/>
        </w:rPr>
        <w:sym w:font="Symbol" w:char="F062"/>
      </w:r>
      <w:r w:rsidRPr="00372574">
        <w:rPr>
          <w:vertAlign w:val="subscript"/>
        </w:rPr>
        <w:t>0</w:t>
      </w:r>
      <w:r>
        <w:t>) plus a person-specific deviation (</w:t>
      </w:r>
      <w:r w:rsidRPr="00372574">
        <w:rPr>
          <w:i/>
          <w:iCs/>
        </w:rPr>
        <w:t>u</w:t>
      </w:r>
      <w:r>
        <w:rPr>
          <w:vertAlign w:val="subscript"/>
        </w:rPr>
        <w:t>0</w:t>
      </w:r>
      <w:r w:rsidRPr="005A76D1">
        <w:rPr>
          <w:i/>
          <w:iCs/>
          <w:vertAlign w:val="subscript"/>
        </w:rPr>
        <w:t>j</w:t>
      </w:r>
      <w:r>
        <w:t>). Unlike the first model, the slopes for extraversion (</w:t>
      </w:r>
      <w:r>
        <w:sym w:font="Symbol" w:char="F070"/>
      </w:r>
      <w:r>
        <w:rPr>
          <w:vertAlign w:val="subscript"/>
        </w:rPr>
        <w:t>1</w:t>
      </w:r>
      <w:r>
        <w:rPr>
          <w:i/>
          <w:iCs/>
          <w:vertAlign w:val="subscript"/>
        </w:rPr>
        <w:t>j</w:t>
      </w:r>
      <w:r>
        <w:t>) and neuroticism (</w:t>
      </w:r>
      <w:r>
        <w:sym w:font="Symbol" w:char="F070"/>
      </w:r>
      <w:r>
        <w:rPr>
          <w:vertAlign w:val="subscript"/>
        </w:rPr>
        <w:t>2</w:t>
      </w:r>
      <w:r>
        <w:rPr>
          <w:i/>
          <w:iCs/>
          <w:vertAlign w:val="subscript"/>
        </w:rPr>
        <w:t>j</w:t>
      </w:r>
      <w:r>
        <w:t>) are also allowed to vary across participants. These person-specific slopes are modeled as the average fixed effect of each predictor (</w:t>
      </w:r>
      <w:r w:rsidRPr="00372574">
        <w:rPr>
          <w:i/>
          <w:iCs/>
        </w:rPr>
        <w:sym w:font="Symbol" w:char="F062"/>
      </w:r>
      <w:r>
        <w:rPr>
          <w:vertAlign w:val="subscript"/>
        </w:rPr>
        <w:t>1</w:t>
      </w:r>
      <w:r>
        <w:t xml:space="preserve"> and </w:t>
      </w:r>
      <w:r w:rsidRPr="00372574">
        <w:rPr>
          <w:i/>
          <w:iCs/>
        </w:rPr>
        <w:sym w:font="Symbol" w:char="F062"/>
      </w:r>
      <w:r>
        <w:rPr>
          <w:vertAlign w:val="subscript"/>
        </w:rPr>
        <w:t>2</w:t>
      </w:r>
      <w:r>
        <w:t>) plus a random effect for each individual (</w:t>
      </w:r>
      <w:r w:rsidRPr="00372574">
        <w:rPr>
          <w:i/>
          <w:iCs/>
        </w:rPr>
        <w:t>u</w:t>
      </w:r>
      <w:r>
        <w:rPr>
          <w:vertAlign w:val="subscript"/>
        </w:rPr>
        <w:t>1</w:t>
      </w:r>
      <w:r w:rsidRPr="005A76D1">
        <w:rPr>
          <w:i/>
          <w:iCs/>
          <w:vertAlign w:val="subscript"/>
        </w:rPr>
        <w:t>j</w:t>
      </w:r>
      <w:r>
        <w:rPr>
          <w:i/>
          <w:iCs/>
          <w:vertAlign w:val="subscript"/>
        </w:rPr>
        <w:t xml:space="preserve"> </w:t>
      </w:r>
      <w:r>
        <w:t xml:space="preserve">and </w:t>
      </w:r>
      <w:r w:rsidRPr="00372574">
        <w:rPr>
          <w:i/>
          <w:iCs/>
        </w:rPr>
        <w:t>u</w:t>
      </w:r>
      <w:r>
        <w:rPr>
          <w:vertAlign w:val="subscript"/>
        </w:rPr>
        <w:t>2</w:t>
      </w:r>
      <w:r w:rsidRPr="005A76D1">
        <w:rPr>
          <w:i/>
          <w:iCs/>
          <w:vertAlign w:val="subscript"/>
        </w:rPr>
        <w:t>j</w:t>
      </w:r>
      <w:r>
        <w:t xml:space="preserve">), representing how much each participant’s relationship between personality and life satisfaction differs from that average. In the combined model, each </w:t>
      </w:r>
      <w:r>
        <w:lastRenderedPageBreak/>
        <w:t xml:space="preserve">participant’s satisfaction with life on a given day is estimated as the sum of the grand mean </w:t>
      </w:r>
      <w:r>
        <w:t>(</w:t>
      </w:r>
      <w:r w:rsidRPr="00372574">
        <w:rPr>
          <w:i/>
          <w:iCs/>
        </w:rPr>
        <w:sym w:font="Symbol" w:char="F062"/>
      </w:r>
      <w:r w:rsidRPr="00372574">
        <w:rPr>
          <w:vertAlign w:val="subscript"/>
        </w:rPr>
        <w:t>0</w:t>
      </w:r>
      <w:r>
        <w:t>)</w:t>
      </w:r>
      <w:r>
        <w:t xml:space="preserve">, the fixed effects of extraversion </w:t>
      </w:r>
      <w:r>
        <w:t>(</w:t>
      </w:r>
      <w:r w:rsidRPr="00372574">
        <w:rPr>
          <w:i/>
          <w:iCs/>
        </w:rPr>
        <w:sym w:font="Symbol" w:char="F062"/>
      </w:r>
      <w:r>
        <w:rPr>
          <w:vertAlign w:val="subscript"/>
        </w:rPr>
        <w:t>1</w:t>
      </w:r>
      <w:r>
        <w:t>)</w:t>
      </w:r>
      <w:r>
        <w:t xml:space="preserve"> and neuroticism (</w:t>
      </w:r>
      <w:r w:rsidRPr="00372574">
        <w:rPr>
          <w:i/>
          <w:iCs/>
        </w:rPr>
        <w:sym w:font="Symbol" w:char="F062"/>
      </w:r>
      <w:r>
        <w:rPr>
          <w:vertAlign w:val="subscript"/>
        </w:rPr>
        <w:t>2</w:t>
      </w:r>
      <w:r>
        <w:t>)</w:t>
      </w:r>
      <w:r>
        <w:t xml:space="preserve">, the participant-specific deviations in intercept </w:t>
      </w:r>
      <w:r>
        <w:t>(</w:t>
      </w:r>
      <w:r w:rsidRPr="00372574">
        <w:rPr>
          <w:i/>
          <w:iCs/>
        </w:rPr>
        <w:t>u</w:t>
      </w:r>
      <w:r>
        <w:rPr>
          <w:vertAlign w:val="subscript"/>
        </w:rPr>
        <w:t>0</w:t>
      </w:r>
      <w:r w:rsidRPr="005A76D1">
        <w:rPr>
          <w:i/>
          <w:iCs/>
          <w:vertAlign w:val="subscript"/>
        </w:rPr>
        <w:t>j</w:t>
      </w:r>
      <w:r>
        <w:t>)</w:t>
      </w:r>
      <w:r>
        <w:t xml:space="preserve"> and slopes </w:t>
      </w:r>
      <w:r>
        <w:t>(</w:t>
      </w:r>
      <w:r w:rsidRPr="00372574">
        <w:rPr>
          <w:i/>
          <w:iCs/>
        </w:rPr>
        <w:t>u</w:t>
      </w:r>
      <w:r>
        <w:rPr>
          <w:vertAlign w:val="subscript"/>
        </w:rPr>
        <w:t>1</w:t>
      </w:r>
      <w:r w:rsidRPr="005A76D1">
        <w:rPr>
          <w:i/>
          <w:iCs/>
          <w:vertAlign w:val="subscript"/>
        </w:rPr>
        <w:t>j</w:t>
      </w:r>
      <w:r>
        <w:rPr>
          <w:i/>
          <w:iCs/>
        </w:rPr>
        <w:t xml:space="preserve">, </w:t>
      </w:r>
      <w:r w:rsidRPr="00372574">
        <w:rPr>
          <w:i/>
          <w:iCs/>
        </w:rPr>
        <w:t>u</w:t>
      </w:r>
      <w:r>
        <w:rPr>
          <w:vertAlign w:val="subscript"/>
        </w:rPr>
        <w:t>2</w:t>
      </w:r>
      <w:r w:rsidRPr="005A76D1">
        <w:rPr>
          <w:i/>
          <w:iCs/>
          <w:vertAlign w:val="subscript"/>
        </w:rPr>
        <w:t>j</w:t>
      </w:r>
      <w:r>
        <w:t>)</w:t>
      </w:r>
      <w:r>
        <w:t xml:space="preserve">, and the residual error </w:t>
      </w:r>
      <w:r>
        <w:t>(</w:t>
      </w:r>
      <w:r>
        <w:sym w:font="Symbol" w:char="F065"/>
      </w:r>
      <w:proofErr w:type="spellStart"/>
      <w:r w:rsidRPr="005A76D1">
        <w:rPr>
          <w:i/>
          <w:iCs/>
          <w:vertAlign w:val="subscript"/>
        </w:rPr>
        <w:t>ij</w:t>
      </w:r>
      <w:proofErr w:type="spellEnd"/>
      <w:r>
        <w:t>).</w:t>
      </w:r>
      <w:r>
        <w:t xml:space="preserve"> This model allows both the baseline level of life satisfaction and the strength of personality effects to vary across individuals.</w:t>
      </w:r>
    </w:p>
    <w:p w14:paraId="774615A6" w14:textId="6F1B3227" w:rsidR="00B55D91" w:rsidRDefault="00B55D91" w:rsidP="000E1AF3">
      <w:pPr>
        <w:spacing w:line="480" w:lineRule="auto"/>
        <w:rPr>
          <w:b/>
          <w:bCs/>
          <w:i/>
          <w:iCs/>
        </w:rPr>
      </w:pPr>
      <w:r>
        <w:rPr>
          <w:b/>
          <w:bCs/>
          <w:i/>
          <w:iCs/>
        </w:rPr>
        <w:t>Model Comparison</w:t>
      </w:r>
    </w:p>
    <w:p w14:paraId="080DBF36" w14:textId="2E7B13F5" w:rsidR="00C92BE2" w:rsidRDefault="00B55D91" w:rsidP="00C92BE2">
      <w:pPr>
        <w:spacing w:line="480" w:lineRule="auto"/>
        <w:ind w:firstLine="720"/>
      </w:pPr>
      <w:r>
        <w:t>A model comparison</w:t>
      </w:r>
      <w:r w:rsidR="00C45643">
        <w:t xml:space="preserve"> between the reduced model (random intercepts only) and the full model (random intercepts and random slopes)</w:t>
      </w:r>
      <w:r>
        <w:t xml:space="preserve"> was conducted to determine whether the inclusion of random slopes improved model fit. </w:t>
      </w:r>
      <w:r w:rsidR="00C92BE2">
        <w:t xml:space="preserve">To </w:t>
      </w:r>
      <w:r w:rsidR="00C92BE2">
        <w:t>conduct model comparisons, the models were re-estimated using maximum likelihood (ML) estimation. ML is appropriate when comparing models that differ in their fixed effects (e.g., adding new predictors)</w:t>
      </w:r>
      <w:r w:rsidR="006C228B">
        <w:t>. Plus,</w:t>
      </w:r>
      <w:r w:rsidR="00C92BE2">
        <w:t xml:space="preserve"> the </w:t>
      </w:r>
      <w:proofErr w:type="spellStart"/>
      <w:r w:rsidR="00C92BE2">
        <w:t>Flexplot</w:t>
      </w:r>
      <w:proofErr w:type="spellEnd"/>
      <w:r w:rsidR="00C92BE2">
        <w:t xml:space="preserve"> package automatically refits models using ML for all comparisons.</w:t>
      </w:r>
    </w:p>
    <w:p w14:paraId="63BF0E33" w14:textId="0CE542D4" w:rsidR="00C45643" w:rsidRPr="00C45643" w:rsidRDefault="00C45643" w:rsidP="00C92BE2">
      <w:pPr>
        <w:spacing w:line="480" w:lineRule="auto"/>
        <w:ind w:firstLine="720"/>
      </w:pPr>
      <w:r>
        <w:t>The full model provided substantially better fit to the data. Specifically, the full model yielded a lower Akaike Information Criterion (AIC = 10</w:t>
      </w:r>
      <w:r w:rsidR="00816939">
        <w:t>,</w:t>
      </w:r>
      <w:r>
        <w:t>364.47) and Bayesian Information Criterion (BIC = 10</w:t>
      </w:r>
      <w:r w:rsidR="00816939">
        <w:t>,</w:t>
      </w:r>
      <w:r>
        <w:t>428.02) compared to the reduced model (AIC = 10</w:t>
      </w:r>
      <w:r w:rsidR="00816939">
        <w:t>,</w:t>
      </w:r>
      <w:r>
        <w:t>561.75; BIC = 10</w:t>
      </w:r>
      <w:r w:rsidR="00816939">
        <w:t>,</w:t>
      </w:r>
      <w:r>
        <w:t>593.52), indicating improved fit. Additionally, the Bayes Factor comparing the two models was 8.70 x 10</w:t>
      </w:r>
      <w:r w:rsidRPr="00C45643">
        <w:rPr>
          <w:vertAlign w:val="superscript"/>
        </w:rPr>
        <w:t>35</w:t>
      </w:r>
      <w:r>
        <w:t xml:space="preserve">, providing overwhelming evidence in favour of the full model. </w:t>
      </w:r>
    </w:p>
    <w:p w14:paraId="51D70F6D" w14:textId="2F1C0C85" w:rsidR="00C45643" w:rsidRDefault="00C45643" w:rsidP="00C45643">
      <w:pPr>
        <w:spacing w:line="480" w:lineRule="auto"/>
      </w:pPr>
      <w:r>
        <w:t>Furthermore, the predicted differences in outcome values between the two models reached as high as 1.37 points on the satisfaction with life scale, a difference that is practically meaningful given the 1 to 7 range of the scale.</w:t>
      </w:r>
    </w:p>
    <w:p w14:paraId="76C12467" w14:textId="18935E4E" w:rsidR="00C45643" w:rsidRDefault="00C45643" w:rsidP="00C45643">
      <w:pPr>
        <w:spacing w:line="480" w:lineRule="auto"/>
      </w:pPr>
      <w:r>
        <w:tab/>
      </w:r>
      <w:r w:rsidR="006662DF">
        <w:t>These</w:t>
      </w:r>
      <w:r>
        <w:t xml:space="preserve"> results indicate that the relationship between personality traits and satisfaction with life is not uniform across individuals. </w:t>
      </w:r>
      <w:r w:rsidR="00203722">
        <w:t>Therefore, t</w:t>
      </w:r>
      <w:r w:rsidR="00203722">
        <w:t xml:space="preserve">he final linear mixed effects model included both fixed and random slopes for extraversion and neuroticism, as well as a random intercept for participant ID. </w:t>
      </w:r>
    </w:p>
    <w:p w14:paraId="64C59A21" w14:textId="6CBFD198" w:rsidR="00F32FCE" w:rsidRDefault="00F32FCE" w:rsidP="000E1AF3">
      <w:pPr>
        <w:spacing w:line="480" w:lineRule="auto"/>
        <w:rPr>
          <w:b/>
          <w:bCs/>
          <w:i/>
          <w:iCs/>
        </w:rPr>
      </w:pPr>
      <w:r>
        <w:rPr>
          <w:b/>
          <w:bCs/>
          <w:i/>
          <w:iCs/>
        </w:rPr>
        <w:lastRenderedPageBreak/>
        <w:t xml:space="preserve">Final Model </w:t>
      </w:r>
      <w:r w:rsidR="00203722">
        <w:rPr>
          <w:b/>
          <w:bCs/>
          <w:i/>
          <w:iCs/>
        </w:rPr>
        <w:t>Results</w:t>
      </w:r>
    </w:p>
    <w:p w14:paraId="4C5C1A4E" w14:textId="4596E75E" w:rsidR="00D15B5E" w:rsidRDefault="00203722" w:rsidP="007E17D6">
      <w:pPr>
        <w:spacing w:line="480" w:lineRule="auto"/>
      </w:pPr>
      <w:r>
        <w:tab/>
        <w:t>Fixed effect estimates from the final model are presented in Table 2.</w:t>
      </w:r>
      <w:r w:rsidR="00977396">
        <w:t xml:space="preserve"> Extraversion was a significant </w:t>
      </w:r>
      <w:r w:rsidR="00D15B5E">
        <w:t xml:space="preserve">positive </w:t>
      </w:r>
      <w:r w:rsidR="00977396">
        <w:t xml:space="preserve">predictor of satisfaction with life, </w:t>
      </w:r>
      <w:r w:rsidR="00977396">
        <w:rPr>
          <w:i/>
          <w:iCs/>
        </w:rPr>
        <w:t xml:space="preserve">b </w:t>
      </w:r>
      <w:r w:rsidR="00977396">
        <w:t xml:space="preserve">= 0.16, </w:t>
      </w:r>
      <w:r w:rsidR="00977396">
        <w:rPr>
          <w:i/>
          <w:iCs/>
        </w:rPr>
        <w:t>SE</w:t>
      </w:r>
      <w:r w:rsidR="00977396">
        <w:rPr>
          <w:i/>
          <w:iCs/>
        </w:rPr>
        <w:t xml:space="preserve"> </w:t>
      </w:r>
      <w:r w:rsidR="00977396">
        <w:t>=</w:t>
      </w:r>
      <w:r w:rsidR="00977396">
        <w:t xml:space="preserve"> 0.02, </w:t>
      </w:r>
      <w:proofErr w:type="gramStart"/>
      <w:r w:rsidR="00977396">
        <w:rPr>
          <w:i/>
          <w:iCs/>
        </w:rPr>
        <w:t>t</w:t>
      </w:r>
      <w:r w:rsidR="00977396">
        <w:t>(</w:t>
      </w:r>
      <w:proofErr w:type="gramEnd"/>
      <w:r w:rsidR="00977396">
        <w:t xml:space="preserve">206.06) = 10.55, </w:t>
      </w:r>
      <w:r w:rsidR="00977396">
        <w:rPr>
          <w:i/>
          <w:iCs/>
        </w:rPr>
        <w:t>p</w:t>
      </w:r>
      <w:r w:rsidR="00977396">
        <w:rPr>
          <w:i/>
          <w:iCs/>
        </w:rPr>
        <w:t xml:space="preserve"> </w:t>
      </w:r>
      <w:r w:rsidR="00977396">
        <w:t>&lt; .001, 95% CI [0.13, 0.19]</w:t>
      </w:r>
      <w:r w:rsidR="009D5E58">
        <w:t>.</w:t>
      </w:r>
      <w:r w:rsidR="00611241">
        <w:t xml:space="preserve"> </w:t>
      </w:r>
      <w:r w:rsidR="00D15B5E">
        <w:t xml:space="preserve">This means that for each </w:t>
      </w:r>
      <w:r w:rsidR="00611241">
        <w:t xml:space="preserve">one-point increase in a participant’s daily extraversion score, their predicted satisfaction with life score increased by 0.16 points. The </w:t>
      </w:r>
      <w:r w:rsidR="00D15B5E">
        <w:t xml:space="preserve">small </w:t>
      </w:r>
      <w:r w:rsidR="00611241">
        <w:t xml:space="preserve">standard error </w:t>
      </w:r>
      <w:r w:rsidR="00D15B5E">
        <w:t>and narrow confidence interval indicate that this estimate is precise and statistically reliable. Because the confidence interval does not include zero, the effect can be interpreted as consistently positive in the population. These findings provide strong support for H1.</w:t>
      </w:r>
    </w:p>
    <w:p w14:paraId="4639BC91" w14:textId="7E03E07C" w:rsidR="008D7860" w:rsidRDefault="00977396" w:rsidP="000A63F6">
      <w:pPr>
        <w:spacing w:line="480" w:lineRule="auto"/>
      </w:pPr>
      <w:r>
        <w:tab/>
        <w:t xml:space="preserve">Neuroticism was a significant negative predictor of satisfaction with life, </w:t>
      </w:r>
      <w:r>
        <w:rPr>
          <w:i/>
          <w:iCs/>
        </w:rPr>
        <w:t xml:space="preserve">b </w:t>
      </w:r>
      <w:r>
        <w:t xml:space="preserve">= </w:t>
      </w:r>
      <w:r>
        <w:t>-0.21</w:t>
      </w:r>
      <w:r>
        <w:t xml:space="preserve">, </w:t>
      </w:r>
      <w:r>
        <w:rPr>
          <w:i/>
          <w:iCs/>
        </w:rPr>
        <w:t xml:space="preserve">SE </w:t>
      </w:r>
      <w:r>
        <w:t xml:space="preserve">= 0.02, </w:t>
      </w:r>
      <w:proofErr w:type="gramStart"/>
      <w:r>
        <w:rPr>
          <w:i/>
          <w:iCs/>
        </w:rPr>
        <w:t>t</w:t>
      </w:r>
      <w:r>
        <w:t>(</w:t>
      </w:r>
      <w:proofErr w:type="gramEnd"/>
      <w:r>
        <w:t>2</w:t>
      </w:r>
      <w:r>
        <w:t>50</w:t>
      </w:r>
      <w:r>
        <w:t>.</w:t>
      </w:r>
      <w:r>
        <w:t>44</w:t>
      </w:r>
      <w:r>
        <w:t xml:space="preserve">) = </w:t>
      </w:r>
      <w:r>
        <w:t>-12.32</w:t>
      </w:r>
      <w:r>
        <w:t xml:space="preserve">, </w:t>
      </w:r>
      <w:r>
        <w:rPr>
          <w:i/>
          <w:iCs/>
        </w:rPr>
        <w:t xml:space="preserve">p </w:t>
      </w:r>
      <w:r>
        <w:t xml:space="preserve">&lt; .001, 95% CI </w:t>
      </w:r>
      <w:r>
        <w:t>[-0.24</w:t>
      </w:r>
      <w:r>
        <w:t xml:space="preserve">, </w:t>
      </w:r>
      <w:r>
        <w:t>-0.18</w:t>
      </w:r>
      <w:r>
        <w:t>],</w:t>
      </w:r>
      <w:r>
        <w:t xml:space="preserve"> indicating that higher neuroticism was associated with lower life satisfaction.</w:t>
      </w:r>
      <w:r w:rsidR="009D5E58">
        <w:t xml:space="preserve"> </w:t>
      </w:r>
      <w:r w:rsidR="00AC0EDA">
        <w:t>This means that f</w:t>
      </w:r>
      <w:r w:rsidR="009D5E58">
        <w:t xml:space="preserve">or every one-point </w:t>
      </w:r>
      <w:r w:rsidR="000A63F6">
        <w:t>increase</w:t>
      </w:r>
      <w:r w:rsidR="009D5E58">
        <w:t xml:space="preserve"> in a participant’s daily neuroticism score (on a 1 to 7 scale), their predicted satisfaction with life score decreased by approximately 0.21 points on the same scale. </w:t>
      </w:r>
      <w:r w:rsidR="008D7860">
        <w:t>The small standard error and narrow confidence interval indicate that this estimate is precise and statistically reliable. Because the confidence interval is entirely negative and excludes zero, we can be confident that the relationship is consistently negative in the population. These results provide strong support for H2.</w:t>
      </w:r>
    </w:p>
    <w:p w14:paraId="290129AD" w14:textId="301DA0B1" w:rsidR="008836F5" w:rsidRDefault="008836F5" w:rsidP="00157DBD">
      <w:pPr>
        <w:spacing w:line="480" w:lineRule="auto"/>
      </w:pPr>
      <w:r>
        <w:tab/>
        <w:t>The model also estimated substantial between-person variability in both intercepts and slopes. The variance of the random intercept was 2.02 (</w:t>
      </w:r>
      <w:r>
        <w:rPr>
          <w:i/>
          <w:iCs/>
        </w:rPr>
        <w:t>S</w:t>
      </w:r>
      <w:r>
        <w:rPr>
          <w:i/>
          <w:iCs/>
        </w:rPr>
        <w:t>D</w:t>
      </w:r>
      <w:r>
        <w:rPr>
          <w:i/>
          <w:iCs/>
        </w:rPr>
        <w:t xml:space="preserve"> </w:t>
      </w:r>
      <w:r>
        <w:t>=</w:t>
      </w:r>
      <w:r>
        <w:t xml:space="preserve"> 1.42), </w:t>
      </w:r>
      <w:r w:rsidR="00157DBD">
        <w:t xml:space="preserve">meaning that some participants consistently reported higher life satisfaction than others. </w:t>
      </w:r>
      <w:r>
        <w:t xml:space="preserve">Additionally, there was </w:t>
      </w:r>
      <w:r w:rsidR="00157DBD">
        <w:t>meaningful</w:t>
      </w:r>
      <w:r>
        <w:t xml:space="preserve"> variance in the slopes for extraversion </w:t>
      </w:r>
      <w:r>
        <w:t>(</w:t>
      </w:r>
      <w:r>
        <w:rPr>
          <w:i/>
          <w:iCs/>
        </w:rPr>
        <w:t xml:space="preserve">SD </w:t>
      </w:r>
      <w:r>
        <w:t xml:space="preserve">= </w:t>
      </w:r>
      <w:r>
        <w:t>0.14</w:t>
      </w:r>
      <w:r>
        <w:t>)</w:t>
      </w:r>
      <w:r>
        <w:t xml:space="preserve"> and neuroticism </w:t>
      </w:r>
      <w:r>
        <w:t>(</w:t>
      </w:r>
      <w:r>
        <w:rPr>
          <w:i/>
          <w:iCs/>
        </w:rPr>
        <w:t xml:space="preserve">SD </w:t>
      </w:r>
      <w:r>
        <w:t xml:space="preserve">= </w:t>
      </w:r>
      <w:r>
        <w:t>0.19)</w:t>
      </w:r>
      <w:r w:rsidR="00157DBD">
        <w:t xml:space="preserve">. This tells us that the strength of these relationships was not the same for every participant; some </w:t>
      </w:r>
      <w:r w:rsidR="00157DBD">
        <w:lastRenderedPageBreak/>
        <w:t>participants showed stronger or weaker links between their personality and life satisfaction compared to others.</w:t>
      </w:r>
    </w:p>
    <w:p w14:paraId="21FDA1BD" w14:textId="20E68D8A" w:rsidR="00203722" w:rsidRDefault="008836F5" w:rsidP="007F588A">
      <w:pPr>
        <w:spacing w:line="480" w:lineRule="auto"/>
      </w:pPr>
      <w:r>
        <w:tab/>
        <w:t>Although the model returned a minor convergence warning (</w:t>
      </w:r>
      <w:proofErr w:type="spellStart"/>
      <w:r>
        <w:t>max|grad</w:t>
      </w:r>
      <w:proofErr w:type="spellEnd"/>
      <w:r>
        <w:t>| = 0.00265, just above the 0.002 threshold), the estimates were stable, and diagnostics indicated that the model was interpretable for the purposes of this analysis.</w:t>
      </w:r>
      <w:r w:rsidR="00D15EA6">
        <w:t xml:space="preserve"> In future analyses, convergence issues could be addressed by increasing model iterations, rescaling predictors, or using a different optimizer</w:t>
      </w:r>
      <w:r w:rsidR="008D7860">
        <w:t>.</w:t>
      </w:r>
    </w:p>
    <w:p w14:paraId="6A020C60" w14:textId="77777777" w:rsidR="007E17D6" w:rsidRDefault="007E17D6" w:rsidP="007E17D6">
      <w:pPr>
        <w:spacing w:line="480" w:lineRule="auto"/>
        <w:rPr>
          <w:b/>
          <w:bCs/>
        </w:rPr>
      </w:pPr>
      <w:r>
        <w:rPr>
          <w:b/>
          <w:bCs/>
        </w:rPr>
        <w:t>Table 2</w:t>
      </w:r>
    </w:p>
    <w:p w14:paraId="6BA1B2C9" w14:textId="77777777" w:rsidR="007E17D6" w:rsidRDefault="007E17D6" w:rsidP="007E17D6">
      <w:pPr>
        <w:spacing w:line="480" w:lineRule="auto"/>
        <w:rPr>
          <w:i/>
          <w:iCs/>
        </w:rPr>
      </w:pPr>
      <w:r>
        <w:rPr>
          <w:i/>
          <w:iCs/>
        </w:rPr>
        <w:t>Fixed effects estimates and model fit statistics for the final model (model 4)</w:t>
      </w:r>
    </w:p>
    <w:tbl>
      <w:tblPr>
        <w:tblStyle w:val="TableGrid"/>
        <w:tblW w:w="0" w:type="auto"/>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838"/>
        <w:gridCol w:w="1134"/>
        <w:gridCol w:w="1134"/>
        <w:gridCol w:w="1985"/>
        <w:gridCol w:w="1134"/>
        <w:gridCol w:w="2125"/>
      </w:tblGrid>
      <w:tr w:rsidR="007E17D6" w14:paraId="40213EA8" w14:textId="77777777" w:rsidTr="00A43138">
        <w:tc>
          <w:tcPr>
            <w:tcW w:w="1838" w:type="dxa"/>
            <w:tcBorders>
              <w:top w:val="single" w:sz="4" w:space="0" w:color="000000" w:themeColor="text1"/>
              <w:bottom w:val="single" w:sz="4" w:space="0" w:color="000000" w:themeColor="text1"/>
            </w:tcBorders>
            <w:vAlign w:val="center"/>
          </w:tcPr>
          <w:p w14:paraId="3554C926" w14:textId="77777777" w:rsidR="007E17D6" w:rsidRPr="00DE339C" w:rsidRDefault="007E17D6" w:rsidP="00A43138">
            <w:pPr>
              <w:rPr>
                <w:b/>
                <w:bCs/>
              </w:rPr>
            </w:pPr>
            <w:r>
              <w:rPr>
                <w:b/>
                <w:bCs/>
              </w:rPr>
              <w:t>Predictor</w:t>
            </w:r>
          </w:p>
        </w:tc>
        <w:tc>
          <w:tcPr>
            <w:tcW w:w="1134" w:type="dxa"/>
            <w:tcBorders>
              <w:top w:val="single" w:sz="4" w:space="0" w:color="000000" w:themeColor="text1"/>
              <w:bottom w:val="single" w:sz="4" w:space="0" w:color="000000" w:themeColor="text1"/>
            </w:tcBorders>
            <w:vAlign w:val="center"/>
          </w:tcPr>
          <w:p w14:paraId="10B58183" w14:textId="77777777" w:rsidR="007E17D6" w:rsidRPr="00DE339C" w:rsidRDefault="007E17D6" w:rsidP="00A43138">
            <w:pPr>
              <w:jc w:val="center"/>
              <w:rPr>
                <w:b/>
                <w:bCs/>
                <w:i/>
                <w:iCs/>
              </w:rPr>
            </w:pPr>
            <w:r w:rsidRPr="00DE339C">
              <w:rPr>
                <w:b/>
                <w:bCs/>
                <w:i/>
                <w:iCs/>
              </w:rPr>
              <w:t>b</w:t>
            </w:r>
          </w:p>
        </w:tc>
        <w:tc>
          <w:tcPr>
            <w:tcW w:w="1134" w:type="dxa"/>
            <w:tcBorders>
              <w:top w:val="single" w:sz="4" w:space="0" w:color="000000" w:themeColor="text1"/>
              <w:bottom w:val="single" w:sz="4" w:space="0" w:color="000000" w:themeColor="text1"/>
            </w:tcBorders>
            <w:vAlign w:val="center"/>
          </w:tcPr>
          <w:p w14:paraId="1E3635BD" w14:textId="77777777" w:rsidR="007E17D6" w:rsidRPr="00DE339C" w:rsidRDefault="007E17D6" w:rsidP="00A43138">
            <w:pPr>
              <w:jc w:val="center"/>
              <w:rPr>
                <w:b/>
                <w:bCs/>
                <w:i/>
                <w:iCs/>
              </w:rPr>
            </w:pPr>
            <w:r w:rsidRPr="00DE339C">
              <w:rPr>
                <w:b/>
                <w:bCs/>
                <w:i/>
                <w:iCs/>
              </w:rPr>
              <w:t>SE</w:t>
            </w:r>
          </w:p>
        </w:tc>
        <w:tc>
          <w:tcPr>
            <w:tcW w:w="1985" w:type="dxa"/>
            <w:tcBorders>
              <w:top w:val="single" w:sz="4" w:space="0" w:color="000000" w:themeColor="text1"/>
              <w:bottom w:val="single" w:sz="4" w:space="0" w:color="000000" w:themeColor="text1"/>
            </w:tcBorders>
            <w:vAlign w:val="center"/>
          </w:tcPr>
          <w:p w14:paraId="20B86183" w14:textId="77777777" w:rsidR="007E17D6" w:rsidRPr="00DE339C" w:rsidRDefault="007E17D6" w:rsidP="00A43138">
            <w:pPr>
              <w:jc w:val="center"/>
              <w:rPr>
                <w:b/>
                <w:bCs/>
              </w:rPr>
            </w:pPr>
            <w:r w:rsidRPr="00DE339C">
              <w:rPr>
                <w:b/>
                <w:bCs/>
                <w:i/>
                <w:iCs/>
              </w:rPr>
              <w:t>t</w:t>
            </w:r>
            <w:r w:rsidRPr="00DE339C">
              <w:rPr>
                <w:b/>
                <w:bCs/>
              </w:rPr>
              <w:t>(</w:t>
            </w:r>
            <w:proofErr w:type="spellStart"/>
            <w:r w:rsidRPr="00DE339C">
              <w:rPr>
                <w:b/>
                <w:bCs/>
              </w:rPr>
              <w:t>df</w:t>
            </w:r>
            <w:proofErr w:type="spellEnd"/>
            <w:r w:rsidRPr="00DE339C">
              <w:rPr>
                <w:b/>
                <w:bCs/>
              </w:rPr>
              <w:t>)</w:t>
            </w:r>
          </w:p>
        </w:tc>
        <w:tc>
          <w:tcPr>
            <w:tcW w:w="1134" w:type="dxa"/>
            <w:tcBorders>
              <w:top w:val="single" w:sz="4" w:space="0" w:color="000000" w:themeColor="text1"/>
              <w:bottom w:val="single" w:sz="4" w:space="0" w:color="000000" w:themeColor="text1"/>
            </w:tcBorders>
            <w:vAlign w:val="center"/>
          </w:tcPr>
          <w:p w14:paraId="5C81ADDD" w14:textId="77777777" w:rsidR="007E17D6" w:rsidRPr="00DE339C" w:rsidRDefault="007E17D6" w:rsidP="00A43138">
            <w:pPr>
              <w:jc w:val="center"/>
              <w:rPr>
                <w:b/>
                <w:bCs/>
                <w:i/>
                <w:iCs/>
              </w:rPr>
            </w:pPr>
            <w:r w:rsidRPr="00DE339C">
              <w:rPr>
                <w:b/>
                <w:bCs/>
                <w:i/>
                <w:iCs/>
              </w:rPr>
              <w:t>p</w:t>
            </w:r>
          </w:p>
        </w:tc>
        <w:tc>
          <w:tcPr>
            <w:tcW w:w="2125" w:type="dxa"/>
            <w:tcBorders>
              <w:top w:val="single" w:sz="4" w:space="0" w:color="000000" w:themeColor="text1"/>
              <w:bottom w:val="single" w:sz="4" w:space="0" w:color="000000" w:themeColor="text1"/>
            </w:tcBorders>
            <w:vAlign w:val="center"/>
          </w:tcPr>
          <w:p w14:paraId="75F7D7DD" w14:textId="77777777" w:rsidR="007E17D6" w:rsidRPr="00DE339C" w:rsidRDefault="007E17D6" w:rsidP="00A43138">
            <w:pPr>
              <w:jc w:val="center"/>
              <w:rPr>
                <w:b/>
                <w:bCs/>
              </w:rPr>
            </w:pPr>
            <w:r w:rsidRPr="00DE339C">
              <w:rPr>
                <w:b/>
                <w:bCs/>
              </w:rPr>
              <w:t>95% CI</w:t>
            </w:r>
          </w:p>
        </w:tc>
      </w:tr>
      <w:tr w:rsidR="007E17D6" w14:paraId="5C21135A" w14:textId="77777777" w:rsidTr="00A43138">
        <w:tc>
          <w:tcPr>
            <w:tcW w:w="1838" w:type="dxa"/>
            <w:tcBorders>
              <w:top w:val="nil"/>
              <w:bottom w:val="nil"/>
            </w:tcBorders>
            <w:vAlign w:val="center"/>
          </w:tcPr>
          <w:p w14:paraId="566D9928" w14:textId="77777777" w:rsidR="007E17D6" w:rsidRDefault="007E17D6" w:rsidP="00A43138">
            <w:r>
              <w:t>Fixed Effects</w:t>
            </w:r>
          </w:p>
        </w:tc>
        <w:tc>
          <w:tcPr>
            <w:tcW w:w="1134" w:type="dxa"/>
            <w:tcBorders>
              <w:top w:val="nil"/>
              <w:bottom w:val="nil"/>
            </w:tcBorders>
            <w:vAlign w:val="center"/>
          </w:tcPr>
          <w:p w14:paraId="45998379" w14:textId="77777777" w:rsidR="007E17D6" w:rsidRDefault="007E17D6" w:rsidP="00A43138">
            <w:pPr>
              <w:jc w:val="center"/>
            </w:pPr>
          </w:p>
        </w:tc>
        <w:tc>
          <w:tcPr>
            <w:tcW w:w="1134" w:type="dxa"/>
            <w:tcBorders>
              <w:top w:val="nil"/>
              <w:bottom w:val="nil"/>
            </w:tcBorders>
            <w:vAlign w:val="center"/>
          </w:tcPr>
          <w:p w14:paraId="2D55A109" w14:textId="77777777" w:rsidR="007E17D6" w:rsidRDefault="007E17D6" w:rsidP="00A43138">
            <w:pPr>
              <w:jc w:val="center"/>
            </w:pPr>
          </w:p>
        </w:tc>
        <w:tc>
          <w:tcPr>
            <w:tcW w:w="1985" w:type="dxa"/>
            <w:tcBorders>
              <w:top w:val="nil"/>
              <w:bottom w:val="nil"/>
            </w:tcBorders>
            <w:vAlign w:val="center"/>
          </w:tcPr>
          <w:p w14:paraId="490F9536" w14:textId="77777777" w:rsidR="007E17D6" w:rsidRDefault="007E17D6" w:rsidP="00A43138">
            <w:pPr>
              <w:jc w:val="center"/>
            </w:pPr>
          </w:p>
        </w:tc>
        <w:tc>
          <w:tcPr>
            <w:tcW w:w="1134" w:type="dxa"/>
            <w:tcBorders>
              <w:top w:val="nil"/>
              <w:bottom w:val="nil"/>
            </w:tcBorders>
            <w:vAlign w:val="center"/>
          </w:tcPr>
          <w:p w14:paraId="75DC0245" w14:textId="77777777" w:rsidR="007E17D6" w:rsidRDefault="007E17D6" w:rsidP="00A43138">
            <w:pPr>
              <w:jc w:val="center"/>
            </w:pPr>
          </w:p>
        </w:tc>
        <w:tc>
          <w:tcPr>
            <w:tcW w:w="2125" w:type="dxa"/>
            <w:tcBorders>
              <w:top w:val="nil"/>
              <w:bottom w:val="nil"/>
            </w:tcBorders>
            <w:vAlign w:val="center"/>
          </w:tcPr>
          <w:p w14:paraId="1450001D" w14:textId="77777777" w:rsidR="007E17D6" w:rsidRDefault="007E17D6" w:rsidP="00A43138">
            <w:pPr>
              <w:jc w:val="center"/>
            </w:pPr>
          </w:p>
        </w:tc>
      </w:tr>
      <w:tr w:rsidR="007E17D6" w14:paraId="5A7F006E" w14:textId="77777777" w:rsidTr="00A43138">
        <w:tc>
          <w:tcPr>
            <w:tcW w:w="1838" w:type="dxa"/>
            <w:tcBorders>
              <w:top w:val="nil"/>
              <w:bottom w:val="nil"/>
            </w:tcBorders>
            <w:vAlign w:val="center"/>
          </w:tcPr>
          <w:p w14:paraId="7BF05416" w14:textId="77777777" w:rsidR="007E17D6" w:rsidRDefault="007E17D6" w:rsidP="00A43138">
            <w:r>
              <w:t xml:space="preserve">   (Intercept)</w:t>
            </w:r>
          </w:p>
        </w:tc>
        <w:tc>
          <w:tcPr>
            <w:tcW w:w="1134" w:type="dxa"/>
            <w:tcBorders>
              <w:top w:val="nil"/>
              <w:bottom w:val="nil"/>
            </w:tcBorders>
            <w:vAlign w:val="center"/>
          </w:tcPr>
          <w:p w14:paraId="4DD6BB84" w14:textId="77777777" w:rsidR="007E17D6" w:rsidRDefault="007E17D6" w:rsidP="00A43138">
            <w:pPr>
              <w:jc w:val="center"/>
            </w:pPr>
            <w:r>
              <w:t>4.51</w:t>
            </w:r>
          </w:p>
        </w:tc>
        <w:tc>
          <w:tcPr>
            <w:tcW w:w="1134" w:type="dxa"/>
            <w:tcBorders>
              <w:top w:val="nil"/>
              <w:bottom w:val="nil"/>
            </w:tcBorders>
            <w:vAlign w:val="center"/>
          </w:tcPr>
          <w:p w14:paraId="41E4839B" w14:textId="77777777" w:rsidR="007E17D6" w:rsidRDefault="007E17D6" w:rsidP="00A43138">
            <w:pPr>
              <w:jc w:val="center"/>
            </w:pPr>
            <w:r>
              <w:t>0.12</w:t>
            </w:r>
          </w:p>
        </w:tc>
        <w:tc>
          <w:tcPr>
            <w:tcW w:w="1985" w:type="dxa"/>
            <w:tcBorders>
              <w:top w:val="nil"/>
              <w:bottom w:val="nil"/>
            </w:tcBorders>
            <w:vAlign w:val="center"/>
          </w:tcPr>
          <w:p w14:paraId="7699A42D" w14:textId="77777777" w:rsidR="007E17D6" w:rsidRDefault="007E17D6" w:rsidP="00A43138">
            <w:pPr>
              <w:jc w:val="center"/>
            </w:pPr>
            <w:r>
              <w:t>38.10 (229.52)</w:t>
            </w:r>
          </w:p>
        </w:tc>
        <w:tc>
          <w:tcPr>
            <w:tcW w:w="1134" w:type="dxa"/>
            <w:tcBorders>
              <w:top w:val="nil"/>
              <w:bottom w:val="nil"/>
            </w:tcBorders>
            <w:vAlign w:val="center"/>
          </w:tcPr>
          <w:p w14:paraId="7F3C4E80" w14:textId="77777777" w:rsidR="007E17D6" w:rsidRDefault="007E17D6" w:rsidP="00A43138">
            <w:pPr>
              <w:jc w:val="center"/>
            </w:pPr>
            <w:r>
              <w:t>&lt; .001</w:t>
            </w:r>
          </w:p>
        </w:tc>
        <w:tc>
          <w:tcPr>
            <w:tcW w:w="2125" w:type="dxa"/>
            <w:tcBorders>
              <w:top w:val="nil"/>
              <w:bottom w:val="nil"/>
            </w:tcBorders>
            <w:vAlign w:val="center"/>
          </w:tcPr>
          <w:p w14:paraId="479C83F4" w14:textId="77777777" w:rsidR="007E17D6" w:rsidRDefault="007E17D6" w:rsidP="00A43138">
            <w:pPr>
              <w:jc w:val="center"/>
            </w:pPr>
            <w:r>
              <w:t>[4.27, 4.74]</w:t>
            </w:r>
          </w:p>
        </w:tc>
      </w:tr>
      <w:tr w:rsidR="007E17D6" w14:paraId="4D74CC92" w14:textId="77777777" w:rsidTr="00A43138">
        <w:tc>
          <w:tcPr>
            <w:tcW w:w="1838" w:type="dxa"/>
            <w:tcBorders>
              <w:top w:val="nil"/>
            </w:tcBorders>
            <w:vAlign w:val="bottom"/>
          </w:tcPr>
          <w:p w14:paraId="55405F2A" w14:textId="77777777" w:rsidR="007E17D6" w:rsidRDefault="007E17D6" w:rsidP="00A43138">
            <w:r>
              <w:t xml:space="preserve">   Extraversion</w:t>
            </w:r>
          </w:p>
        </w:tc>
        <w:tc>
          <w:tcPr>
            <w:tcW w:w="1134" w:type="dxa"/>
            <w:tcBorders>
              <w:top w:val="nil"/>
            </w:tcBorders>
            <w:vAlign w:val="center"/>
          </w:tcPr>
          <w:p w14:paraId="218FBAFB" w14:textId="77777777" w:rsidR="007E17D6" w:rsidRDefault="007E17D6" w:rsidP="00A43138">
            <w:pPr>
              <w:jc w:val="center"/>
            </w:pPr>
            <w:r>
              <w:t>0.16</w:t>
            </w:r>
          </w:p>
        </w:tc>
        <w:tc>
          <w:tcPr>
            <w:tcW w:w="1134" w:type="dxa"/>
            <w:tcBorders>
              <w:top w:val="nil"/>
            </w:tcBorders>
            <w:vAlign w:val="center"/>
          </w:tcPr>
          <w:p w14:paraId="2204F82A" w14:textId="77777777" w:rsidR="007E17D6" w:rsidRDefault="007E17D6" w:rsidP="00A43138">
            <w:pPr>
              <w:jc w:val="center"/>
            </w:pPr>
            <w:r>
              <w:t>0.02</w:t>
            </w:r>
          </w:p>
        </w:tc>
        <w:tc>
          <w:tcPr>
            <w:tcW w:w="1985" w:type="dxa"/>
            <w:tcBorders>
              <w:top w:val="nil"/>
            </w:tcBorders>
            <w:vAlign w:val="center"/>
          </w:tcPr>
          <w:p w14:paraId="33B139F3" w14:textId="77777777" w:rsidR="007E17D6" w:rsidRDefault="007E17D6" w:rsidP="00A43138">
            <w:pPr>
              <w:jc w:val="center"/>
            </w:pPr>
            <w:r>
              <w:t>10.55 (206.06)</w:t>
            </w:r>
          </w:p>
        </w:tc>
        <w:tc>
          <w:tcPr>
            <w:tcW w:w="1134" w:type="dxa"/>
            <w:tcBorders>
              <w:top w:val="nil"/>
            </w:tcBorders>
            <w:vAlign w:val="center"/>
          </w:tcPr>
          <w:p w14:paraId="3108FF30" w14:textId="77777777" w:rsidR="007E17D6" w:rsidRDefault="007E17D6" w:rsidP="00A43138">
            <w:pPr>
              <w:jc w:val="center"/>
            </w:pPr>
            <w:r>
              <w:t>&lt; .001</w:t>
            </w:r>
          </w:p>
        </w:tc>
        <w:tc>
          <w:tcPr>
            <w:tcW w:w="2125" w:type="dxa"/>
            <w:tcBorders>
              <w:top w:val="nil"/>
            </w:tcBorders>
            <w:vAlign w:val="center"/>
          </w:tcPr>
          <w:p w14:paraId="41329B18" w14:textId="77777777" w:rsidR="007E17D6" w:rsidRDefault="007E17D6" w:rsidP="00A43138">
            <w:pPr>
              <w:jc w:val="center"/>
            </w:pPr>
            <w:r>
              <w:t>[0.13, 0.19]</w:t>
            </w:r>
          </w:p>
        </w:tc>
      </w:tr>
      <w:tr w:rsidR="007E17D6" w14:paraId="04BF7AD6" w14:textId="77777777" w:rsidTr="00A43138">
        <w:tc>
          <w:tcPr>
            <w:tcW w:w="1838" w:type="dxa"/>
            <w:vAlign w:val="bottom"/>
          </w:tcPr>
          <w:p w14:paraId="14D8E99D" w14:textId="77777777" w:rsidR="007E17D6" w:rsidRDefault="007E17D6" w:rsidP="00A43138">
            <w:r>
              <w:t xml:space="preserve">   Neuroticism</w:t>
            </w:r>
          </w:p>
        </w:tc>
        <w:tc>
          <w:tcPr>
            <w:tcW w:w="1134" w:type="dxa"/>
            <w:vAlign w:val="center"/>
          </w:tcPr>
          <w:p w14:paraId="6086E714" w14:textId="249E90AE" w:rsidR="007E17D6" w:rsidRDefault="004B09B0" w:rsidP="00A43138">
            <w:pPr>
              <w:jc w:val="center"/>
            </w:pPr>
            <w:r>
              <w:t>-</w:t>
            </w:r>
            <w:r w:rsidR="007E17D6">
              <w:t>0.21</w:t>
            </w:r>
          </w:p>
        </w:tc>
        <w:tc>
          <w:tcPr>
            <w:tcW w:w="1134" w:type="dxa"/>
            <w:vAlign w:val="center"/>
          </w:tcPr>
          <w:p w14:paraId="325BC933" w14:textId="77777777" w:rsidR="007E17D6" w:rsidRDefault="007E17D6" w:rsidP="00A43138">
            <w:pPr>
              <w:jc w:val="center"/>
            </w:pPr>
            <w:r>
              <w:t>0.02</w:t>
            </w:r>
          </w:p>
        </w:tc>
        <w:tc>
          <w:tcPr>
            <w:tcW w:w="1985" w:type="dxa"/>
            <w:vAlign w:val="center"/>
          </w:tcPr>
          <w:p w14:paraId="064288B1" w14:textId="315B79AB" w:rsidR="007E17D6" w:rsidRDefault="006221AF" w:rsidP="00A43138">
            <w:pPr>
              <w:jc w:val="center"/>
            </w:pPr>
            <w:r>
              <w:t>-</w:t>
            </w:r>
            <w:r w:rsidR="007E17D6">
              <w:t>12.33 (250.44)</w:t>
            </w:r>
          </w:p>
        </w:tc>
        <w:tc>
          <w:tcPr>
            <w:tcW w:w="1134" w:type="dxa"/>
            <w:vAlign w:val="center"/>
          </w:tcPr>
          <w:p w14:paraId="418295A3" w14:textId="77777777" w:rsidR="007E17D6" w:rsidRDefault="007E17D6" w:rsidP="00A43138">
            <w:pPr>
              <w:jc w:val="center"/>
            </w:pPr>
            <w:r>
              <w:t>&lt; .001</w:t>
            </w:r>
          </w:p>
        </w:tc>
        <w:tc>
          <w:tcPr>
            <w:tcW w:w="2125" w:type="dxa"/>
            <w:vAlign w:val="center"/>
          </w:tcPr>
          <w:p w14:paraId="49B375EA" w14:textId="0514E1E2" w:rsidR="007E17D6" w:rsidRDefault="007E17D6" w:rsidP="00A43138">
            <w:pPr>
              <w:jc w:val="center"/>
            </w:pPr>
            <w:r>
              <w:t>[</w:t>
            </w:r>
            <w:r w:rsidR="005148FE">
              <w:t>-</w:t>
            </w:r>
            <w:r>
              <w:t xml:space="preserve">0.24, </w:t>
            </w:r>
            <w:r w:rsidR="005148FE">
              <w:t>-</w:t>
            </w:r>
            <w:r>
              <w:t>0.18]</w:t>
            </w:r>
          </w:p>
        </w:tc>
      </w:tr>
      <w:tr w:rsidR="007E17D6" w14:paraId="21AB15D4" w14:textId="77777777" w:rsidTr="00A43138">
        <w:tc>
          <w:tcPr>
            <w:tcW w:w="1838" w:type="dxa"/>
            <w:tcBorders>
              <w:bottom w:val="single" w:sz="4" w:space="0" w:color="000000" w:themeColor="text1"/>
            </w:tcBorders>
            <w:vAlign w:val="center"/>
          </w:tcPr>
          <w:p w14:paraId="40D81BA4" w14:textId="77777777" w:rsidR="007E17D6" w:rsidRDefault="007E17D6" w:rsidP="00A43138"/>
        </w:tc>
        <w:tc>
          <w:tcPr>
            <w:tcW w:w="1134" w:type="dxa"/>
            <w:tcBorders>
              <w:bottom w:val="single" w:sz="4" w:space="0" w:color="000000" w:themeColor="text1"/>
            </w:tcBorders>
            <w:vAlign w:val="center"/>
          </w:tcPr>
          <w:p w14:paraId="3DA92963" w14:textId="77777777" w:rsidR="007E17D6" w:rsidRDefault="007E17D6" w:rsidP="00A43138">
            <w:pPr>
              <w:jc w:val="center"/>
            </w:pPr>
          </w:p>
        </w:tc>
        <w:tc>
          <w:tcPr>
            <w:tcW w:w="1134" w:type="dxa"/>
            <w:tcBorders>
              <w:bottom w:val="single" w:sz="4" w:space="0" w:color="000000" w:themeColor="text1"/>
            </w:tcBorders>
            <w:vAlign w:val="center"/>
          </w:tcPr>
          <w:p w14:paraId="1DA58765" w14:textId="77777777" w:rsidR="007E17D6" w:rsidRDefault="007E17D6" w:rsidP="00A43138">
            <w:pPr>
              <w:jc w:val="center"/>
            </w:pPr>
          </w:p>
        </w:tc>
        <w:tc>
          <w:tcPr>
            <w:tcW w:w="1985" w:type="dxa"/>
            <w:tcBorders>
              <w:bottom w:val="single" w:sz="4" w:space="0" w:color="000000" w:themeColor="text1"/>
            </w:tcBorders>
            <w:vAlign w:val="center"/>
          </w:tcPr>
          <w:p w14:paraId="7247EBA8" w14:textId="77777777" w:rsidR="007E17D6" w:rsidRDefault="007E17D6" w:rsidP="00A43138">
            <w:pPr>
              <w:jc w:val="center"/>
            </w:pPr>
          </w:p>
        </w:tc>
        <w:tc>
          <w:tcPr>
            <w:tcW w:w="1134" w:type="dxa"/>
            <w:tcBorders>
              <w:bottom w:val="single" w:sz="4" w:space="0" w:color="000000" w:themeColor="text1"/>
            </w:tcBorders>
            <w:vAlign w:val="center"/>
          </w:tcPr>
          <w:p w14:paraId="4C286E30" w14:textId="77777777" w:rsidR="007E17D6" w:rsidRDefault="007E17D6" w:rsidP="00A43138">
            <w:pPr>
              <w:jc w:val="center"/>
            </w:pPr>
          </w:p>
        </w:tc>
        <w:tc>
          <w:tcPr>
            <w:tcW w:w="2125" w:type="dxa"/>
            <w:tcBorders>
              <w:bottom w:val="single" w:sz="4" w:space="0" w:color="000000" w:themeColor="text1"/>
            </w:tcBorders>
            <w:vAlign w:val="center"/>
          </w:tcPr>
          <w:p w14:paraId="4617FF54" w14:textId="77777777" w:rsidR="007E17D6" w:rsidRDefault="007E17D6" w:rsidP="00A43138">
            <w:pPr>
              <w:jc w:val="center"/>
            </w:pPr>
          </w:p>
        </w:tc>
      </w:tr>
      <w:tr w:rsidR="007E17D6" w14:paraId="3D8C6C9B" w14:textId="77777777" w:rsidTr="00A43138">
        <w:tc>
          <w:tcPr>
            <w:tcW w:w="1838" w:type="dxa"/>
            <w:tcBorders>
              <w:top w:val="single" w:sz="4" w:space="0" w:color="000000" w:themeColor="text1"/>
              <w:bottom w:val="nil"/>
            </w:tcBorders>
            <w:vAlign w:val="center"/>
          </w:tcPr>
          <w:p w14:paraId="3B713777" w14:textId="77777777" w:rsidR="007E17D6" w:rsidRPr="009502B2" w:rsidRDefault="007E17D6" w:rsidP="00A43138">
            <w:pPr>
              <w:rPr>
                <w:b/>
                <w:bCs/>
              </w:rPr>
            </w:pPr>
            <w:r w:rsidRPr="009502B2">
              <w:rPr>
                <w:b/>
                <w:bCs/>
              </w:rPr>
              <w:t>ICC</w:t>
            </w:r>
          </w:p>
        </w:tc>
        <w:tc>
          <w:tcPr>
            <w:tcW w:w="1134" w:type="dxa"/>
            <w:tcBorders>
              <w:top w:val="single" w:sz="4" w:space="0" w:color="000000" w:themeColor="text1"/>
              <w:bottom w:val="nil"/>
            </w:tcBorders>
            <w:vAlign w:val="center"/>
          </w:tcPr>
          <w:p w14:paraId="016994B8" w14:textId="77777777" w:rsidR="007E17D6" w:rsidRDefault="007E17D6" w:rsidP="00A43138">
            <w:pPr>
              <w:jc w:val="center"/>
            </w:pPr>
          </w:p>
        </w:tc>
        <w:tc>
          <w:tcPr>
            <w:tcW w:w="1134" w:type="dxa"/>
            <w:tcBorders>
              <w:top w:val="single" w:sz="4" w:space="0" w:color="000000" w:themeColor="text1"/>
              <w:bottom w:val="nil"/>
            </w:tcBorders>
            <w:vAlign w:val="center"/>
          </w:tcPr>
          <w:p w14:paraId="4A7B0B12" w14:textId="77777777" w:rsidR="007E17D6" w:rsidRDefault="007E17D6" w:rsidP="00A43138">
            <w:pPr>
              <w:jc w:val="center"/>
            </w:pPr>
          </w:p>
        </w:tc>
        <w:tc>
          <w:tcPr>
            <w:tcW w:w="1985" w:type="dxa"/>
            <w:tcBorders>
              <w:top w:val="single" w:sz="4" w:space="0" w:color="000000" w:themeColor="text1"/>
              <w:bottom w:val="nil"/>
            </w:tcBorders>
            <w:vAlign w:val="center"/>
          </w:tcPr>
          <w:p w14:paraId="6D647C2B" w14:textId="77777777" w:rsidR="007E17D6" w:rsidRDefault="007E17D6" w:rsidP="00A43138">
            <w:pPr>
              <w:jc w:val="center"/>
            </w:pPr>
          </w:p>
        </w:tc>
        <w:tc>
          <w:tcPr>
            <w:tcW w:w="1134" w:type="dxa"/>
            <w:tcBorders>
              <w:top w:val="single" w:sz="4" w:space="0" w:color="000000" w:themeColor="text1"/>
              <w:bottom w:val="nil"/>
            </w:tcBorders>
            <w:vAlign w:val="center"/>
          </w:tcPr>
          <w:p w14:paraId="42FC5FA1" w14:textId="77777777" w:rsidR="007E17D6" w:rsidRDefault="007E17D6" w:rsidP="00A43138">
            <w:pPr>
              <w:jc w:val="center"/>
            </w:pPr>
          </w:p>
        </w:tc>
        <w:tc>
          <w:tcPr>
            <w:tcW w:w="2125" w:type="dxa"/>
            <w:tcBorders>
              <w:top w:val="single" w:sz="4" w:space="0" w:color="000000" w:themeColor="text1"/>
              <w:bottom w:val="nil"/>
            </w:tcBorders>
            <w:vAlign w:val="center"/>
          </w:tcPr>
          <w:p w14:paraId="66ED6D71" w14:textId="77777777" w:rsidR="007E17D6" w:rsidRDefault="007E17D6" w:rsidP="00A43138">
            <w:pPr>
              <w:jc w:val="center"/>
            </w:pPr>
          </w:p>
        </w:tc>
      </w:tr>
      <w:tr w:rsidR="007E17D6" w14:paraId="1C6B291D" w14:textId="77777777" w:rsidTr="00A43138">
        <w:tc>
          <w:tcPr>
            <w:tcW w:w="1838" w:type="dxa"/>
            <w:tcBorders>
              <w:top w:val="nil"/>
            </w:tcBorders>
            <w:vAlign w:val="center"/>
          </w:tcPr>
          <w:p w14:paraId="4F2F4701" w14:textId="77777777" w:rsidR="007E17D6" w:rsidRPr="009502B2" w:rsidRDefault="007E17D6" w:rsidP="00A43138">
            <w:r w:rsidRPr="009502B2">
              <w:t xml:space="preserve">   Adjusted </w:t>
            </w:r>
          </w:p>
        </w:tc>
        <w:tc>
          <w:tcPr>
            <w:tcW w:w="1134" w:type="dxa"/>
            <w:tcBorders>
              <w:top w:val="nil"/>
            </w:tcBorders>
            <w:vAlign w:val="center"/>
          </w:tcPr>
          <w:p w14:paraId="63C3E341" w14:textId="77777777" w:rsidR="007E17D6" w:rsidRDefault="007E17D6" w:rsidP="00A43138">
            <w:pPr>
              <w:jc w:val="center"/>
            </w:pPr>
            <w:r>
              <w:t>0.77</w:t>
            </w:r>
          </w:p>
        </w:tc>
        <w:tc>
          <w:tcPr>
            <w:tcW w:w="1134" w:type="dxa"/>
            <w:tcBorders>
              <w:top w:val="nil"/>
            </w:tcBorders>
            <w:vAlign w:val="center"/>
          </w:tcPr>
          <w:p w14:paraId="6CF2120C" w14:textId="77777777" w:rsidR="007E17D6" w:rsidRDefault="007E17D6" w:rsidP="00A43138">
            <w:pPr>
              <w:jc w:val="center"/>
            </w:pPr>
          </w:p>
        </w:tc>
        <w:tc>
          <w:tcPr>
            <w:tcW w:w="1985" w:type="dxa"/>
            <w:tcBorders>
              <w:top w:val="nil"/>
            </w:tcBorders>
            <w:vAlign w:val="center"/>
          </w:tcPr>
          <w:p w14:paraId="1DAB439B" w14:textId="77777777" w:rsidR="007E17D6" w:rsidRDefault="007E17D6" w:rsidP="00A43138">
            <w:pPr>
              <w:jc w:val="center"/>
            </w:pPr>
          </w:p>
        </w:tc>
        <w:tc>
          <w:tcPr>
            <w:tcW w:w="1134" w:type="dxa"/>
            <w:tcBorders>
              <w:top w:val="nil"/>
            </w:tcBorders>
            <w:vAlign w:val="center"/>
          </w:tcPr>
          <w:p w14:paraId="4E4D64B4" w14:textId="77777777" w:rsidR="007E17D6" w:rsidRDefault="007E17D6" w:rsidP="00A43138">
            <w:pPr>
              <w:jc w:val="center"/>
            </w:pPr>
          </w:p>
        </w:tc>
        <w:tc>
          <w:tcPr>
            <w:tcW w:w="2125" w:type="dxa"/>
            <w:tcBorders>
              <w:top w:val="nil"/>
            </w:tcBorders>
            <w:vAlign w:val="center"/>
          </w:tcPr>
          <w:p w14:paraId="0A1D2D9A" w14:textId="77777777" w:rsidR="007E17D6" w:rsidRDefault="007E17D6" w:rsidP="00A43138">
            <w:pPr>
              <w:jc w:val="center"/>
            </w:pPr>
          </w:p>
        </w:tc>
      </w:tr>
      <w:tr w:rsidR="007E17D6" w14:paraId="2AEACE9E" w14:textId="77777777" w:rsidTr="00A43138">
        <w:tc>
          <w:tcPr>
            <w:tcW w:w="1838" w:type="dxa"/>
            <w:vAlign w:val="center"/>
          </w:tcPr>
          <w:p w14:paraId="561511E7" w14:textId="77777777" w:rsidR="007E17D6" w:rsidRPr="009502B2" w:rsidRDefault="007E17D6" w:rsidP="00A43138">
            <w:r w:rsidRPr="009502B2">
              <w:t xml:space="preserve">   Unadjusted</w:t>
            </w:r>
          </w:p>
        </w:tc>
        <w:tc>
          <w:tcPr>
            <w:tcW w:w="1134" w:type="dxa"/>
            <w:vAlign w:val="center"/>
          </w:tcPr>
          <w:p w14:paraId="015CB8FE" w14:textId="77777777" w:rsidR="007E17D6" w:rsidRDefault="007E17D6" w:rsidP="00A43138">
            <w:pPr>
              <w:jc w:val="center"/>
            </w:pPr>
            <w:r>
              <w:t>0.69</w:t>
            </w:r>
          </w:p>
        </w:tc>
        <w:tc>
          <w:tcPr>
            <w:tcW w:w="1134" w:type="dxa"/>
            <w:vAlign w:val="center"/>
          </w:tcPr>
          <w:p w14:paraId="5D31953B" w14:textId="77777777" w:rsidR="007E17D6" w:rsidRDefault="007E17D6" w:rsidP="00A43138">
            <w:pPr>
              <w:jc w:val="center"/>
            </w:pPr>
          </w:p>
        </w:tc>
        <w:tc>
          <w:tcPr>
            <w:tcW w:w="1985" w:type="dxa"/>
            <w:vAlign w:val="center"/>
          </w:tcPr>
          <w:p w14:paraId="5236D1AC" w14:textId="77777777" w:rsidR="007E17D6" w:rsidRDefault="007E17D6" w:rsidP="00A43138">
            <w:pPr>
              <w:jc w:val="center"/>
            </w:pPr>
          </w:p>
        </w:tc>
        <w:tc>
          <w:tcPr>
            <w:tcW w:w="1134" w:type="dxa"/>
            <w:vAlign w:val="center"/>
          </w:tcPr>
          <w:p w14:paraId="1C16A59A" w14:textId="77777777" w:rsidR="007E17D6" w:rsidRDefault="007E17D6" w:rsidP="00A43138">
            <w:pPr>
              <w:jc w:val="center"/>
            </w:pPr>
          </w:p>
        </w:tc>
        <w:tc>
          <w:tcPr>
            <w:tcW w:w="2125" w:type="dxa"/>
            <w:vAlign w:val="center"/>
          </w:tcPr>
          <w:p w14:paraId="2BDBD0ED" w14:textId="77777777" w:rsidR="007E17D6" w:rsidRDefault="007E17D6" w:rsidP="00A43138">
            <w:pPr>
              <w:jc w:val="center"/>
            </w:pPr>
          </w:p>
        </w:tc>
      </w:tr>
      <w:tr w:rsidR="007E17D6" w14:paraId="370A683D" w14:textId="77777777" w:rsidTr="00A43138">
        <w:tc>
          <w:tcPr>
            <w:tcW w:w="1838" w:type="dxa"/>
            <w:tcBorders>
              <w:bottom w:val="single" w:sz="4" w:space="0" w:color="000000" w:themeColor="text1"/>
            </w:tcBorders>
            <w:vAlign w:val="center"/>
          </w:tcPr>
          <w:p w14:paraId="0D0557EC" w14:textId="77777777" w:rsidR="007E17D6" w:rsidRDefault="007E17D6" w:rsidP="00A43138"/>
        </w:tc>
        <w:tc>
          <w:tcPr>
            <w:tcW w:w="1134" w:type="dxa"/>
            <w:tcBorders>
              <w:bottom w:val="single" w:sz="4" w:space="0" w:color="000000" w:themeColor="text1"/>
            </w:tcBorders>
            <w:vAlign w:val="center"/>
          </w:tcPr>
          <w:p w14:paraId="210AA804" w14:textId="77777777" w:rsidR="007E17D6" w:rsidRDefault="007E17D6" w:rsidP="00A43138">
            <w:pPr>
              <w:jc w:val="center"/>
            </w:pPr>
          </w:p>
        </w:tc>
        <w:tc>
          <w:tcPr>
            <w:tcW w:w="1134" w:type="dxa"/>
            <w:tcBorders>
              <w:bottom w:val="single" w:sz="4" w:space="0" w:color="000000" w:themeColor="text1"/>
            </w:tcBorders>
            <w:vAlign w:val="center"/>
          </w:tcPr>
          <w:p w14:paraId="30DC6C88" w14:textId="77777777" w:rsidR="007E17D6" w:rsidRDefault="007E17D6" w:rsidP="00A43138">
            <w:pPr>
              <w:jc w:val="center"/>
            </w:pPr>
          </w:p>
        </w:tc>
        <w:tc>
          <w:tcPr>
            <w:tcW w:w="1985" w:type="dxa"/>
            <w:tcBorders>
              <w:bottom w:val="single" w:sz="4" w:space="0" w:color="000000" w:themeColor="text1"/>
            </w:tcBorders>
            <w:vAlign w:val="center"/>
          </w:tcPr>
          <w:p w14:paraId="133C7766" w14:textId="77777777" w:rsidR="007E17D6" w:rsidRDefault="007E17D6" w:rsidP="00A43138">
            <w:pPr>
              <w:jc w:val="center"/>
            </w:pPr>
          </w:p>
        </w:tc>
        <w:tc>
          <w:tcPr>
            <w:tcW w:w="1134" w:type="dxa"/>
            <w:tcBorders>
              <w:bottom w:val="single" w:sz="4" w:space="0" w:color="000000" w:themeColor="text1"/>
            </w:tcBorders>
            <w:vAlign w:val="center"/>
          </w:tcPr>
          <w:p w14:paraId="11BD3D4E" w14:textId="77777777" w:rsidR="007E17D6" w:rsidRDefault="007E17D6" w:rsidP="00A43138">
            <w:pPr>
              <w:jc w:val="center"/>
            </w:pPr>
          </w:p>
        </w:tc>
        <w:tc>
          <w:tcPr>
            <w:tcW w:w="2125" w:type="dxa"/>
            <w:tcBorders>
              <w:bottom w:val="single" w:sz="4" w:space="0" w:color="000000" w:themeColor="text1"/>
            </w:tcBorders>
            <w:vAlign w:val="center"/>
          </w:tcPr>
          <w:p w14:paraId="23E5841F" w14:textId="77777777" w:rsidR="007E17D6" w:rsidRDefault="007E17D6" w:rsidP="00A43138">
            <w:pPr>
              <w:jc w:val="center"/>
            </w:pPr>
          </w:p>
        </w:tc>
      </w:tr>
      <w:tr w:rsidR="007E17D6" w14:paraId="4A6FB2B0" w14:textId="77777777" w:rsidTr="00A43138">
        <w:tc>
          <w:tcPr>
            <w:tcW w:w="1838" w:type="dxa"/>
            <w:tcBorders>
              <w:top w:val="single" w:sz="4" w:space="0" w:color="000000" w:themeColor="text1"/>
              <w:bottom w:val="nil"/>
            </w:tcBorders>
            <w:vAlign w:val="center"/>
          </w:tcPr>
          <w:p w14:paraId="254DB0DF" w14:textId="77777777" w:rsidR="007E17D6" w:rsidRPr="009502B2" w:rsidRDefault="007E17D6" w:rsidP="00A43138">
            <w:pPr>
              <w:rPr>
                <w:b/>
                <w:bCs/>
              </w:rPr>
            </w:pPr>
            <w:r w:rsidRPr="009502B2">
              <w:rPr>
                <w:b/>
                <w:bCs/>
              </w:rPr>
              <w:t>R²</w:t>
            </w:r>
          </w:p>
        </w:tc>
        <w:tc>
          <w:tcPr>
            <w:tcW w:w="1134" w:type="dxa"/>
            <w:tcBorders>
              <w:top w:val="single" w:sz="4" w:space="0" w:color="000000" w:themeColor="text1"/>
              <w:bottom w:val="nil"/>
            </w:tcBorders>
            <w:vAlign w:val="center"/>
          </w:tcPr>
          <w:p w14:paraId="30872425" w14:textId="77777777" w:rsidR="007E17D6" w:rsidRDefault="007E17D6" w:rsidP="00A43138">
            <w:pPr>
              <w:jc w:val="center"/>
            </w:pPr>
          </w:p>
        </w:tc>
        <w:tc>
          <w:tcPr>
            <w:tcW w:w="1134" w:type="dxa"/>
            <w:tcBorders>
              <w:top w:val="single" w:sz="4" w:space="0" w:color="000000" w:themeColor="text1"/>
              <w:bottom w:val="nil"/>
            </w:tcBorders>
            <w:vAlign w:val="center"/>
          </w:tcPr>
          <w:p w14:paraId="4B825DB5" w14:textId="77777777" w:rsidR="007E17D6" w:rsidRDefault="007E17D6" w:rsidP="00A43138">
            <w:pPr>
              <w:jc w:val="center"/>
            </w:pPr>
          </w:p>
        </w:tc>
        <w:tc>
          <w:tcPr>
            <w:tcW w:w="1985" w:type="dxa"/>
            <w:tcBorders>
              <w:top w:val="single" w:sz="4" w:space="0" w:color="000000" w:themeColor="text1"/>
              <w:bottom w:val="nil"/>
            </w:tcBorders>
            <w:vAlign w:val="center"/>
          </w:tcPr>
          <w:p w14:paraId="6351C06B" w14:textId="77777777" w:rsidR="007E17D6" w:rsidRDefault="007E17D6" w:rsidP="00A43138">
            <w:pPr>
              <w:jc w:val="center"/>
            </w:pPr>
          </w:p>
        </w:tc>
        <w:tc>
          <w:tcPr>
            <w:tcW w:w="1134" w:type="dxa"/>
            <w:tcBorders>
              <w:top w:val="single" w:sz="4" w:space="0" w:color="000000" w:themeColor="text1"/>
              <w:bottom w:val="nil"/>
            </w:tcBorders>
            <w:vAlign w:val="center"/>
          </w:tcPr>
          <w:p w14:paraId="524FB6A4" w14:textId="77777777" w:rsidR="007E17D6" w:rsidRDefault="007E17D6" w:rsidP="00A43138">
            <w:pPr>
              <w:jc w:val="center"/>
            </w:pPr>
          </w:p>
        </w:tc>
        <w:tc>
          <w:tcPr>
            <w:tcW w:w="2125" w:type="dxa"/>
            <w:tcBorders>
              <w:top w:val="single" w:sz="4" w:space="0" w:color="000000" w:themeColor="text1"/>
              <w:bottom w:val="nil"/>
            </w:tcBorders>
            <w:vAlign w:val="center"/>
          </w:tcPr>
          <w:p w14:paraId="571E8F63" w14:textId="77777777" w:rsidR="007E17D6" w:rsidRDefault="007E17D6" w:rsidP="00A43138">
            <w:pPr>
              <w:jc w:val="center"/>
            </w:pPr>
          </w:p>
        </w:tc>
      </w:tr>
      <w:tr w:rsidR="007E17D6" w14:paraId="34C24A70" w14:textId="77777777" w:rsidTr="00A43138">
        <w:tc>
          <w:tcPr>
            <w:tcW w:w="1838" w:type="dxa"/>
            <w:tcBorders>
              <w:top w:val="nil"/>
            </w:tcBorders>
            <w:vAlign w:val="center"/>
          </w:tcPr>
          <w:p w14:paraId="3A26EF17" w14:textId="77777777" w:rsidR="007E17D6" w:rsidRDefault="007E17D6" w:rsidP="00A43138">
            <w:r>
              <w:t xml:space="preserve">   Conditional</w:t>
            </w:r>
          </w:p>
        </w:tc>
        <w:tc>
          <w:tcPr>
            <w:tcW w:w="1134" w:type="dxa"/>
            <w:tcBorders>
              <w:top w:val="nil"/>
            </w:tcBorders>
            <w:vAlign w:val="center"/>
          </w:tcPr>
          <w:p w14:paraId="02AF2771" w14:textId="77777777" w:rsidR="007E17D6" w:rsidRDefault="007E17D6" w:rsidP="00A43138">
            <w:pPr>
              <w:jc w:val="center"/>
            </w:pPr>
            <w:r>
              <w:t>0.79</w:t>
            </w:r>
          </w:p>
        </w:tc>
        <w:tc>
          <w:tcPr>
            <w:tcW w:w="1134" w:type="dxa"/>
            <w:tcBorders>
              <w:top w:val="nil"/>
            </w:tcBorders>
            <w:vAlign w:val="center"/>
          </w:tcPr>
          <w:p w14:paraId="1488C49D" w14:textId="77777777" w:rsidR="007E17D6" w:rsidRDefault="007E17D6" w:rsidP="00A43138">
            <w:pPr>
              <w:jc w:val="center"/>
            </w:pPr>
          </w:p>
        </w:tc>
        <w:tc>
          <w:tcPr>
            <w:tcW w:w="1985" w:type="dxa"/>
            <w:tcBorders>
              <w:top w:val="nil"/>
            </w:tcBorders>
            <w:vAlign w:val="center"/>
          </w:tcPr>
          <w:p w14:paraId="5DEB751B" w14:textId="77777777" w:rsidR="007E17D6" w:rsidRDefault="007E17D6" w:rsidP="00A43138">
            <w:pPr>
              <w:jc w:val="center"/>
            </w:pPr>
          </w:p>
        </w:tc>
        <w:tc>
          <w:tcPr>
            <w:tcW w:w="1134" w:type="dxa"/>
            <w:tcBorders>
              <w:top w:val="nil"/>
            </w:tcBorders>
            <w:vAlign w:val="center"/>
          </w:tcPr>
          <w:p w14:paraId="2CF874E3" w14:textId="77777777" w:rsidR="007E17D6" w:rsidRDefault="007E17D6" w:rsidP="00A43138">
            <w:pPr>
              <w:jc w:val="center"/>
            </w:pPr>
          </w:p>
        </w:tc>
        <w:tc>
          <w:tcPr>
            <w:tcW w:w="2125" w:type="dxa"/>
            <w:tcBorders>
              <w:top w:val="nil"/>
            </w:tcBorders>
            <w:vAlign w:val="center"/>
          </w:tcPr>
          <w:p w14:paraId="52A8E767" w14:textId="77777777" w:rsidR="007E17D6" w:rsidRDefault="007E17D6" w:rsidP="00A43138">
            <w:pPr>
              <w:jc w:val="center"/>
            </w:pPr>
          </w:p>
        </w:tc>
      </w:tr>
      <w:tr w:rsidR="007E17D6" w14:paraId="191EC610" w14:textId="77777777" w:rsidTr="00A43138">
        <w:tc>
          <w:tcPr>
            <w:tcW w:w="1838" w:type="dxa"/>
            <w:vAlign w:val="center"/>
          </w:tcPr>
          <w:p w14:paraId="1CAE735F" w14:textId="77777777" w:rsidR="007E17D6" w:rsidRDefault="007E17D6" w:rsidP="00A43138">
            <w:r>
              <w:t xml:space="preserve">   Marginal</w:t>
            </w:r>
          </w:p>
        </w:tc>
        <w:tc>
          <w:tcPr>
            <w:tcW w:w="1134" w:type="dxa"/>
            <w:vAlign w:val="center"/>
          </w:tcPr>
          <w:p w14:paraId="6B8CBE54" w14:textId="77777777" w:rsidR="007E17D6" w:rsidRDefault="007E17D6" w:rsidP="00A43138">
            <w:pPr>
              <w:jc w:val="center"/>
            </w:pPr>
            <w:r>
              <w:t>0.09</w:t>
            </w:r>
          </w:p>
        </w:tc>
        <w:tc>
          <w:tcPr>
            <w:tcW w:w="1134" w:type="dxa"/>
            <w:vAlign w:val="center"/>
          </w:tcPr>
          <w:p w14:paraId="116E8CE9" w14:textId="77777777" w:rsidR="007E17D6" w:rsidRDefault="007E17D6" w:rsidP="00A43138">
            <w:pPr>
              <w:jc w:val="center"/>
            </w:pPr>
          </w:p>
        </w:tc>
        <w:tc>
          <w:tcPr>
            <w:tcW w:w="1985" w:type="dxa"/>
            <w:vAlign w:val="center"/>
          </w:tcPr>
          <w:p w14:paraId="59208BCD" w14:textId="77777777" w:rsidR="007E17D6" w:rsidRDefault="007E17D6" w:rsidP="00A43138">
            <w:pPr>
              <w:jc w:val="center"/>
            </w:pPr>
          </w:p>
        </w:tc>
        <w:tc>
          <w:tcPr>
            <w:tcW w:w="1134" w:type="dxa"/>
            <w:vAlign w:val="center"/>
          </w:tcPr>
          <w:p w14:paraId="50A02A69" w14:textId="77777777" w:rsidR="007E17D6" w:rsidRDefault="007E17D6" w:rsidP="00A43138">
            <w:pPr>
              <w:jc w:val="center"/>
            </w:pPr>
          </w:p>
        </w:tc>
        <w:tc>
          <w:tcPr>
            <w:tcW w:w="2125" w:type="dxa"/>
            <w:vAlign w:val="center"/>
          </w:tcPr>
          <w:p w14:paraId="2B87F069" w14:textId="77777777" w:rsidR="007E17D6" w:rsidRDefault="007E17D6" w:rsidP="00A43138">
            <w:pPr>
              <w:jc w:val="center"/>
            </w:pPr>
          </w:p>
        </w:tc>
      </w:tr>
    </w:tbl>
    <w:p w14:paraId="4CA10617" w14:textId="77777777" w:rsidR="007E17D6" w:rsidRDefault="007E17D6" w:rsidP="007E17D6">
      <w:pPr>
        <w:rPr>
          <w:i/>
          <w:iCs/>
        </w:rPr>
      </w:pPr>
    </w:p>
    <w:p w14:paraId="5873759F" w14:textId="56C83B20" w:rsidR="007E17D6" w:rsidRDefault="007E17D6" w:rsidP="007E17D6">
      <w:r>
        <w:rPr>
          <w:i/>
          <w:iCs/>
        </w:rPr>
        <w:t xml:space="preserve">Note. </w:t>
      </w:r>
      <w:r w:rsidR="00116FC1">
        <w:t>The final model</w:t>
      </w:r>
      <w:r>
        <w:t xml:space="preserve"> includes fixed effects for extraversion and neuroticism, random intercepts, and random slopes for both predictors. ICC = intraclass correlation coefficient. Marginal R² reflects variance explained by fixed effects only; conditional R² reflects variance explained by both fixed and random effects.</w:t>
      </w:r>
    </w:p>
    <w:p w14:paraId="5891BCBA" w14:textId="77777777" w:rsidR="007E17D6" w:rsidRDefault="007E17D6" w:rsidP="007F588A">
      <w:pPr>
        <w:spacing w:line="480" w:lineRule="auto"/>
      </w:pPr>
    </w:p>
    <w:p w14:paraId="43236109" w14:textId="0B81367B" w:rsidR="00FB66A3" w:rsidRDefault="00FB66A3" w:rsidP="007F588A">
      <w:pPr>
        <w:spacing w:line="480" w:lineRule="auto"/>
        <w:rPr>
          <w:b/>
          <w:bCs/>
          <w:i/>
          <w:iCs/>
        </w:rPr>
      </w:pPr>
      <w:r>
        <w:rPr>
          <w:b/>
          <w:bCs/>
          <w:i/>
          <w:iCs/>
        </w:rPr>
        <w:t>Final Model Visualization and Residual Diagnostics</w:t>
      </w:r>
    </w:p>
    <w:p w14:paraId="4A472782" w14:textId="6FEE59CD" w:rsidR="00FB66A3" w:rsidRDefault="00FB66A3" w:rsidP="007F588A">
      <w:pPr>
        <w:spacing w:line="480" w:lineRule="auto"/>
      </w:pPr>
      <w:r>
        <w:tab/>
        <w:t xml:space="preserve">To examine individual variability in slopes and potential interactions with neuroticism, the final model was visualized using a facet plot of satisfaction with life by extraversion across levels of neuroticism. The average slope between extraversion and life satisfaction (bold black line) remained positive across all neuroticism ranges, but the individual lines (coloured by </w:t>
      </w:r>
      <w:r>
        <w:lastRenderedPageBreak/>
        <w:t>participant ID) revealed variability in slope strength. This supports the inclusion of random slopes in the model and visually confirms that the relationship between personality traits and life satisfaction is not uniform across individuals</w:t>
      </w:r>
    </w:p>
    <w:p w14:paraId="66C95D7B" w14:textId="72ABBB4A" w:rsidR="00C51D20" w:rsidRDefault="00FB66A3" w:rsidP="007F588A">
      <w:pPr>
        <w:spacing w:line="480" w:lineRule="auto"/>
      </w:pPr>
      <w:r>
        <w:tab/>
        <w:t xml:space="preserve">Residual diagnostics were </w:t>
      </w:r>
      <w:r w:rsidR="00804C94">
        <w:t xml:space="preserve">then </w:t>
      </w:r>
      <w:r w:rsidR="002A7C04">
        <w:t>visualized</w:t>
      </w:r>
      <w:r>
        <w:t xml:space="preserve"> to evaluate </w:t>
      </w:r>
      <w:r w:rsidR="00553889">
        <w:t xml:space="preserve">whether </w:t>
      </w:r>
      <w:r>
        <w:t>the final linear mixed effects model</w:t>
      </w:r>
      <w:r w:rsidR="00553889">
        <w:t xml:space="preserve"> met </w:t>
      </w:r>
      <w:r w:rsidR="009925D1">
        <w:t>the</w:t>
      </w:r>
      <w:r w:rsidR="00553889">
        <w:t xml:space="preserve"> core assumptions</w:t>
      </w:r>
      <w:r w:rsidR="009925D1">
        <w:t xml:space="preserve"> of </w:t>
      </w:r>
      <w:r w:rsidR="00C51D20">
        <w:t>linearity, normality of residuals, homoscedasticity, independence of residuals, and appropriate specification of random effects. These</w:t>
      </w:r>
      <w:r w:rsidR="001E54E5">
        <w:t xml:space="preserve"> visual</w:t>
      </w:r>
      <w:r w:rsidR="00C51D20">
        <w:t xml:space="preserve"> diagnostics are presented in Figure 3.</w:t>
      </w:r>
    </w:p>
    <w:p w14:paraId="1A9044C7" w14:textId="4BB8F190" w:rsidR="00FB66A3" w:rsidRDefault="00C51D20" w:rsidP="00C51D20">
      <w:pPr>
        <w:spacing w:line="480" w:lineRule="auto"/>
      </w:pPr>
      <w:r>
        <w:tab/>
        <w:t xml:space="preserve"> The relationships between satisfaction with life and both predictors appeared mostly linear based on scatterplots and model visualizations. Therefore, the linearity assumption was reasonably satisfied. </w:t>
      </w:r>
      <w:r w:rsidR="00FB66A3">
        <w:t xml:space="preserve">The histogram of residuals appeared approximately normal, with a symmetric, bell-shaped distribution centered around zero. This supports the assumption that residuals are normally distributed, which is important for the accuracy of </w:t>
      </w:r>
      <w:r w:rsidR="00FB66A3">
        <w:rPr>
          <w:i/>
          <w:iCs/>
        </w:rPr>
        <w:t>p</w:t>
      </w:r>
      <w:r w:rsidR="00FB66A3">
        <w:t>-values and confidence intervals associated with fixed effects.</w:t>
      </w:r>
    </w:p>
    <w:p w14:paraId="5BAA4616" w14:textId="6FDE5BD0" w:rsidR="0041263D" w:rsidRDefault="0041263D" w:rsidP="007F588A">
      <w:pPr>
        <w:spacing w:line="480" w:lineRule="auto"/>
      </w:pPr>
      <w:r>
        <w:tab/>
        <w:t>The residuals vs. fitted values plot revealed some heteroskedasticity. Specifically, the spread of residuals was greater at lower fitted values (i.e., when predicted life satisfaction was low) and narrower at higher fitted values. This funneling pattern indicates non-constant variance across the range of predicted values, which technically violates the assumption of homoscedasticity. However, the degree of heteroskedasticity observed was modest and unlikely to have meaningfully distorted the fixed effect estimates, especially given the large sample size. Nevertheless, it does suggest that residual error varies depending on the level of life satisfaction being predicted.</w:t>
      </w:r>
      <w:r w:rsidR="00FA0142">
        <w:t xml:space="preserve"> In future analyses, this issue could be addressed by using robust standard errors or modeling the residual variance directly.</w:t>
      </w:r>
    </w:p>
    <w:p w14:paraId="36D10F47" w14:textId="02147DA7" w:rsidR="0041263D" w:rsidRDefault="0041263D" w:rsidP="007F588A">
      <w:pPr>
        <w:spacing w:line="480" w:lineRule="auto"/>
      </w:pPr>
      <w:r>
        <w:lastRenderedPageBreak/>
        <w:tab/>
        <w:t xml:space="preserve">The spread-location (S-L) plot also showed a mild downward trend, where the absolute value of residuals decreased as predicted satisfaction with life increased. This further supports the presence of non-constant error variance, but again, the pattern was not severe. </w:t>
      </w:r>
      <w:r w:rsidR="00C51D20">
        <w:t>In future analyses, weighted least squares estimation could help correct for this issue.</w:t>
      </w:r>
      <w:r w:rsidR="003842A2">
        <w:t xml:space="preserve"> Regardless, t</w:t>
      </w:r>
      <w:r>
        <w:t>he linear trendline remained relatively flat, and the majority of residuals were tightly clustered near the center, indicating that the model still performed reasonably well across most of the range of fitted values.</w:t>
      </w:r>
      <w:r w:rsidR="003842A2">
        <w:t xml:space="preserve"> </w:t>
      </w:r>
    </w:p>
    <w:p w14:paraId="180405A2" w14:textId="2BDFB992" w:rsidR="00C51D20" w:rsidRDefault="00C51D20" w:rsidP="007F588A">
      <w:pPr>
        <w:spacing w:line="480" w:lineRule="auto"/>
      </w:pPr>
      <w:r>
        <w:tab/>
        <w:t xml:space="preserve">Independence was accounted for by including random intercepts and slopes by participant ID, which control for the nested data structure. The absence of patterning in residual plots suggests this assumption was adequately addressed. </w:t>
      </w:r>
      <w:r w:rsidR="00F829F6">
        <w:t>Finally, our model comparison earlier showed that including random slopes significantly improved model fit, confirming the appropriateness of the random effects structure.</w:t>
      </w:r>
    </w:p>
    <w:p w14:paraId="58438DF6" w14:textId="69E8D089" w:rsidR="008A06B2" w:rsidRDefault="008A06B2" w:rsidP="003842A2">
      <w:pPr>
        <w:spacing w:line="480" w:lineRule="auto"/>
      </w:pPr>
      <w:r>
        <w:tab/>
        <w:t>Minor deviations from model assumptions warrant some caution when interpreting the precision of the estimates. However, the strong statistical significance and narrow confidence intervals suggest the findings are robust. That said, standard errors may be slightly underestimated, making some effects appear more precise than they truly are.</w:t>
      </w:r>
      <w:r w:rsidR="0041263D">
        <w:tab/>
      </w:r>
    </w:p>
    <w:p w14:paraId="730B09DD" w14:textId="77777777" w:rsidR="00543571" w:rsidRPr="00655DD4" w:rsidRDefault="00543571" w:rsidP="00543571">
      <w:pPr>
        <w:spacing w:line="480" w:lineRule="auto"/>
        <w:rPr>
          <w:b/>
          <w:bCs/>
        </w:rPr>
      </w:pPr>
      <w:r>
        <w:rPr>
          <w:b/>
          <w:bCs/>
        </w:rPr>
        <w:t>Figure 3</w:t>
      </w:r>
    </w:p>
    <w:p w14:paraId="09865BB3" w14:textId="77777777" w:rsidR="00543571" w:rsidRDefault="00543571" w:rsidP="00543571">
      <w:pPr>
        <w:spacing w:line="480" w:lineRule="auto"/>
        <w:rPr>
          <w:i/>
          <w:iCs/>
        </w:rPr>
      </w:pPr>
      <w:r>
        <w:rPr>
          <w:i/>
          <w:iCs/>
        </w:rPr>
        <w:t xml:space="preserve">Residual diagnostic plots for the final mixed effects model </w:t>
      </w:r>
    </w:p>
    <w:p w14:paraId="0278919C" w14:textId="77777777" w:rsidR="00543571" w:rsidRPr="00C37814" w:rsidRDefault="00543571" w:rsidP="00543571">
      <w:pPr>
        <w:spacing w:line="480" w:lineRule="auto"/>
      </w:pPr>
      <w:r>
        <w:rPr>
          <w:noProof/>
        </w:rPr>
        <w:lastRenderedPageBreak/>
        <w:drawing>
          <wp:inline distT="0" distB="0" distL="0" distR="0" wp14:anchorId="76D3A9D8" wp14:editId="7FDEE558">
            <wp:extent cx="5306856" cy="3274828"/>
            <wp:effectExtent l="0" t="0" r="1905" b="1905"/>
            <wp:docPr id="792370050" name="Picture 1" descr="A group of graphs showing residu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479" name="Picture 1" descr="A group of graphs showing residual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0322" cy="3326334"/>
                    </a:xfrm>
                    <a:prstGeom prst="rect">
                      <a:avLst/>
                    </a:prstGeom>
                  </pic:spPr>
                </pic:pic>
              </a:graphicData>
            </a:graphic>
          </wp:inline>
        </w:drawing>
      </w:r>
    </w:p>
    <w:p w14:paraId="656AABEA" w14:textId="44105F43" w:rsidR="007F588A" w:rsidRDefault="007F588A" w:rsidP="007F588A">
      <w:pPr>
        <w:spacing w:line="480" w:lineRule="auto"/>
        <w:rPr>
          <w:b/>
          <w:bCs/>
          <w:i/>
          <w:iCs/>
        </w:rPr>
      </w:pPr>
      <w:r>
        <w:rPr>
          <w:b/>
          <w:bCs/>
          <w:i/>
          <w:iCs/>
        </w:rPr>
        <w:t>Final Model Fit and Explained Variance</w:t>
      </w:r>
    </w:p>
    <w:p w14:paraId="544403D0" w14:textId="12180447" w:rsidR="00A51E97" w:rsidRDefault="00A51E97" w:rsidP="007F588A">
      <w:pPr>
        <w:spacing w:line="480" w:lineRule="auto"/>
      </w:pPr>
      <w:r>
        <w:tab/>
        <w:t>To evaluate how well the final model explained variance in satisfaction with life, both marginal and conditional R</w:t>
      </w:r>
      <w:r>
        <w:rPr>
          <w:vertAlign w:val="superscript"/>
        </w:rPr>
        <w:t xml:space="preserve">2 </w:t>
      </w:r>
      <w:r>
        <w:t>values were calculated</w:t>
      </w:r>
      <w:r w:rsidR="00BF5CA4">
        <w:t xml:space="preserve"> (Table 2)</w:t>
      </w:r>
      <w:r>
        <w:t xml:space="preserve">. The marginal </w:t>
      </w:r>
      <w:r>
        <w:t>R</w:t>
      </w:r>
      <w:r>
        <w:rPr>
          <w:vertAlign w:val="superscript"/>
        </w:rPr>
        <w:t>2</w:t>
      </w:r>
      <w:r>
        <w:rPr>
          <w:vertAlign w:val="superscript"/>
        </w:rPr>
        <w:t xml:space="preserve"> </w:t>
      </w:r>
      <w:r>
        <w:t xml:space="preserve">reflects the proportion of variance explained by the fixed effects alone (i.e., extraversion and neuroticism), while the conditional </w:t>
      </w:r>
      <w:r>
        <w:t>R</w:t>
      </w:r>
      <w:r>
        <w:rPr>
          <w:vertAlign w:val="superscript"/>
        </w:rPr>
        <w:t>2</w:t>
      </w:r>
      <w:r>
        <w:rPr>
          <w:vertAlign w:val="superscript"/>
        </w:rPr>
        <w:t xml:space="preserve"> </w:t>
      </w:r>
      <w:r>
        <w:t xml:space="preserve">reflects the proportion of variance explained by both fixed and random effects (i.e., personality traits </w:t>
      </w:r>
      <w:r>
        <w:rPr>
          <w:i/>
          <w:iCs/>
        </w:rPr>
        <w:t xml:space="preserve">plus </w:t>
      </w:r>
      <w:r>
        <w:t>individual differences in baseline levels and slopes).</w:t>
      </w:r>
    </w:p>
    <w:p w14:paraId="2EB90A97" w14:textId="05C75BB3" w:rsidR="00A51E97" w:rsidRDefault="00A51E97" w:rsidP="007F588A">
      <w:pPr>
        <w:spacing w:line="480" w:lineRule="auto"/>
      </w:pPr>
      <w:r>
        <w:tab/>
        <w:t xml:space="preserve">The marginal </w:t>
      </w:r>
      <w:r>
        <w:t>R</w:t>
      </w:r>
      <w:r>
        <w:rPr>
          <w:vertAlign w:val="superscript"/>
        </w:rPr>
        <w:t>2</w:t>
      </w:r>
      <w:r>
        <w:rPr>
          <w:vertAlign w:val="superscript"/>
        </w:rPr>
        <w:t xml:space="preserve"> </w:t>
      </w:r>
      <w:r>
        <w:t xml:space="preserve">was 0.094, indicating that the fixed effects of extraversion and neuroticism together explained approximately 9.4% of the variance in satisfaction with life. The conditional </w:t>
      </w:r>
      <w:r>
        <w:t>R</w:t>
      </w:r>
      <w:r>
        <w:rPr>
          <w:vertAlign w:val="superscript"/>
        </w:rPr>
        <w:t xml:space="preserve">2 </w:t>
      </w:r>
      <w:r>
        <w:t>was 0.788, indicating that the full model explained 78.8% of the total variance in satisfaction with life. This substantial difference suggests that a large portion of the variance in life satisfaction was due to stable individual differences (random intercepts and slopes)</w:t>
      </w:r>
      <w:r w:rsidR="00BF5CA4">
        <w:t>.</w:t>
      </w:r>
    </w:p>
    <w:p w14:paraId="0F88C1BC" w14:textId="49E6A03D" w:rsidR="00B32D87" w:rsidRDefault="00B32D87" w:rsidP="007F588A">
      <w:pPr>
        <w:spacing w:line="480" w:lineRule="auto"/>
      </w:pPr>
      <w:r>
        <w:tab/>
        <w:t xml:space="preserve">Consistent with this interpretation, the adjusted ICC for the final model was 0.77, meaning that 77% of the variance in satisfaction with life was attributable to between-person difference, even after accounting for daily fluctuations in extraversion and neuroticism. The </w:t>
      </w:r>
      <w:r>
        <w:lastRenderedPageBreak/>
        <w:t>unadjusted ICC from the intercept-only model was 0.69, suggesting that controlling for personality increased the relative contribution of person-level differences to overall model fit. Together, these metrics reinforce the importance of modeling individual variability and confirm that multilevel modeling was necessary to account for the nested structure of the data.</w:t>
      </w:r>
    </w:p>
    <w:p w14:paraId="2E8919EB" w14:textId="4279F4D4" w:rsidR="00974688" w:rsidRDefault="00D67A11" w:rsidP="007F588A">
      <w:pPr>
        <w:spacing w:line="480" w:lineRule="auto"/>
        <w:rPr>
          <w:b/>
          <w:bCs/>
        </w:rPr>
      </w:pPr>
      <w:r>
        <w:rPr>
          <w:b/>
          <w:bCs/>
        </w:rPr>
        <w:t>Testing H3</w:t>
      </w:r>
      <w:r w:rsidR="00974688">
        <w:rPr>
          <w:b/>
          <w:bCs/>
        </w:rPr>
        <w:t>: Comparing Within and Between-Person Effects</w:t>
      </w:r>
    </w:p>
    <w:p w14:paraId="59772CB2" w14:textId="1178C5FA" w:rsidR="00974688" w:rsidRDefault="00974688" w:rsidP="007F588A">
      <w:pPr>
        <w:spacing w:line="480" w:lineRule="auto"/>
      </w:pPr>
      <w:r>
        <w:tab/>
        <w:t xml:space="preserve">Although the previous linear mixed model provided evidence that extraversion and neuroticism predicted satisfaction with life, </w:t>
      </w:r>
      <w:r w:rsidR="002520B6">
        <w:t>it</w:t>
      </w:r>
      <w:r>
        <w:t xml:space="preserve"> did not formally test whether these associations differed within participants over time (Level 1) versus between participants on average (Level 2). Because extraversion and neuroticism scores varied both between participants (some individuals were more extraverted or neurotic than others) and within participants over time (daily fluctuations), simply including random slopes does not disentangle the sources of variation. Thus, the previous models could not determine whether personality traits predicted satisfaction with life consistently within people or only reflected between-person differences.</w:t>
      </w:r>
    </w:p>
    <w:p w14:paraId="790C82E4" w14:textId="3F7D7931" w:rsidR="00974688" w:rsidRDefault="00974688" w:rsidP="007F588A">
      <w:pPr>
        <w:spacing w:line="480" w:lineRule="auto"/>
      </w:pPr>
      <w:r>
        <w:tab/>
        <w:t xml:space="preserve">To formally evaluate this, a decomposition was fitted. This model separated each predictor into two components: (1) the participant’s mean score across all days, and (2) the daily deviation from their own mean on a given day. This approach allowed the model to isolate whether daily changes in personality trait levels predicted satisfaction with life (Level 1), and whether individuals with higher average personality trait levels reported higher or lower satisfaction with life overall (Level 2). The decomposition model was fit using REML, and included a random intercept for participant ID. </w:t>
      </w:r>
    </w:p>
    <w:p w14:paraId="4F63A2BD" w14:textId="77777777" w:rsidR="00E40C48" w:rsidRDefault="00974688" w:rsidP="00DC72CB">
      <w:pPr>
        <w:spacing w:line="480" w:lineRule="auto"/>
      </w:pPr>
      <w:r>
        <w:tab/>
        <w:t xml:space="preserve">The model revealed significant effects for both between- and within-person predictors (see Table 3). At the between-person level, participants who were generally higher in extraversion reported significantly higher satisfaction with life, </w:t>
      </w:r>
      <w:r>
        <w:rPr>
          <w:i/>
          <w:iCs/>
        </w:rPr>
        <w:t xml:space="preserve">b </w:t>
      </w:r>
      <w:r>
        <w:t xml:space="preserve">= 0.36, </w:t>
      </w:r>
      <w:r w:rsidRPr="00974688">
        <w:rPr>
          <w:i/>
          <w:iCs/>
        </w:rPr>
        <w:t>SE</w:t>
      </w:r>
      <w:r>
        <w:t xml:space="preserve"> = 0.07, </w:t>
      </w:r>
      <w:proofErr w:type="gramStart"/>
      <w:r w:rsidRPr="00974688">
        <w:rPr>
          <w:i/>
          <w:iCs/>
        </w:rPr>
        <w:t>t</w:t>
      </w:r>
      <w:r>
        <w:t>(</w:t>
      </w:r>
      <w:proofErr w:type="gramEnd"/>
      <w:r>
        <w:t xml:space="preserve">257.89) = </w:t>
      </w:r>
      <w:r>
        <w:lastRenderedPageBreak/>
        <w:t xml:space="preserve">5.33, </w:t>
      </w:r>
      <w:r w:rsidRPr="00974688">
        <w:rPr>
          <w:i/>
          <w:iCs/>
        </w:rPr>
        <w:t>p</w:t>
      </w:r>
      <w:r>
        <w:t xml:space="preserve"> &lt; .001</w:t>
      </w:r>
      <w:r w:rsidR="00EF21E9">
        <w:t>, 95% CI [0.23, 0.50]</w:t>
      </w:r>
      <w:r>
        <w:t xml:space="preserve">. </w:t>
      </w:r>
      <w:r w:rsidR="00DC72CB">
        <w:t xml:space="preserve">This means that for every one-point increase in a participant’s average extraversion score, their average satisfaction with life score increased by approximately 0.36 points, holding daily fluctuations constant. The relatively narrow range of the confidence interval and the fact that it does not include zero suggests this estimate is reliable and precise. </w:t>
      </w:r>
    </w:p>
    <w:p w14:paraId="729CAFBF" w14:textId="5EC53A8A" w:rsidR="00974688" w:rsidRDefault="00974688" w:rsidP="00E40C48">
      <w:pPr>
        <w:spacing w:line="480" w:lineRule="auto"/>
        <w:ind w:firstLine="720"/>
      </w:pPr>
      <w:r>
        <w:t xml:space="preserve">Similarly, individuals higher in average neuroticism reported significantly lower life satisfaction, </w:t>
      </w:r>
      <w:r>
        <w:rPr>
          <w:i/>
          <w:iCs/>
        </w:rPr>
        <w:t xml:space="preserve">b </w:t>
      </w:r>
      <w:r>
        <w:t xml:space="preserve">= </w:t>
      </w:r>
      <w:r>
        <w:t>-0.52</w:t>
      </w:r>
      <w:r>
        <w:t xml:space="preserve">, </w:t>
      </w:r>
      <w:r w:rsidRPr="00974688">
        <w:rPr>
          <w:i/>
          <w:iCs/>
        </w:rPr>
        <w:t>SE</w:t>
      </w:r>
      <w:r>
        <w:t xml:space="preserve"> = 0.07, </w:t>
      </w:r>
      <w:proofErr w:type="gramStart"/>
      <w:r w:rsidRPr="00974688">
        <w:rPr>
          <w:i/>
          <w:iCs/>
        </w:rPr>
        <w:t>t</w:t>
      </w:r>
      <w:r>
        <w:t>(</w:t>
      </w:r>
      <w:proofErr w:type="gramEnd"/>
      <w:r>
        <w:t>25</w:t>
      </w:r>
      <w:r>
        <w:t>8</w:t>
      </w:r>
      <w:r>
        <w:t>.</w:t>
      </w:r>
      <w:r>
        <w:t>21</w:t>
      </w:r>
      <w:r>
        <w:t xml:space="preserve">) = </w:t>
      </w:r>
      <w:r>
        <w:t>-7.81</w:t>
      </w:r>
      <w:r>
        <w:t xml:space="preserve">, </w:t>
      </w:r>
      <w:r w:rsidRPr="00974688">
        <w:rPr>
          <w:i/>
          <w:iCs/>
        </w:rPr>
        <w:t>p</w:t>
      </w:r>
      <w:r>
        <w:t xml:space="preserve"> &lt; .001</w:t>
      </w:r>
      <w:r w:rsidR="00EF21E9">
        <w:t>, 95% CI [-0.66, -0.39]</w:t>
      </w:r>
      <w:r>
        <w:t>.</w:t>
      </w:r>
      <w:r w:rsidR="00DC72CB">
        <w:t xml:space="preserve"> This means that for every one-point increase in a participant’s mean neuroticism score, their mean satisfaction with life decreased by approximately 0.52 points. The narrow confidence interval that excludes zero supports the strength and precision of this negative association.</w:t>
      </w:r>
    </w:p>
    <w:p w14:paraId="57AAAB96" w14:textId="77777777" w:rsidR="00E40C48" w:rsidRDefault="00974688" w:rsidP="00FD1E59">
      <w:pPr>
        <w:spacing w:line="480" w:lineRule="auto"/>
      </w:pPr>
      <w:r>
        <w:tab/>
        <w:t xml:space="preserve">At the within-person level, day-to-day increases in extraversion were also significantly associated with increased satisfaction with life, </w:t>
      </w:r>
      <w:r>
        <w:rPr>
          <w:i/>
          <w:iCs/>
        </w:rPr>
        <w:t xml:space="preserve">b </w:t>
      </w:r>
      <w:r>
        <w:t>= 0.</w:t>
      </w:r>
      <w:r>
        <w:t>15</w:t>
      </w:r>
      <w:r>
        <w:t xml:space="preserve">, </w:t>
      </w:r>
      <w:r w:rsidRPr="00974688">
        <w:rPr>
          <w:i/>
          <w:iCs/>
        </w:rPr>
        <w:t>SE</w:t>
      </w:r>
      <w:r>
        <w:t xml:space="preserve"> = 0.0</w:t>
      </w:r>
      <w:r>
        <w:t>1</w:t>
      </w:r>
      <w:r>
        <w:t xml:space="preserve">, </w:t>
      </w:r>
      <w:proofErr w:type="gramStart"/>
      <w:r w:rsidRPr="00974688">
        <w:rPr>
          <w:i/>
          <w:iCs/>
        </w:rPr>
        <w:t>t</w:t>
      </w:r>
      <w:r>
        <w:t>(</w:t>
      </w:r>
      <w:proofErr w:type="gramEnd"/>
      <w:r>
        <w:t>3986.15</w:t>
      </w:r>
      <w:r>
        <w:t xml:space="preserve">) = </w:t>
      </w:r>
      <w:r>
        <w:t>12.73</w:t>
      </w:r>
      <w:r>
        <w:t xml:space="preserve">, </w:t>
      </w:r>
      <w:r w:rsidRPr="00974688">
        <w:rPr>
          <w:i/>
          <w:iCs/>
        </w:rPr>
        <w:t>p</w:t>
      </w:r>
      <w:r>
        <w:t xml:space="preserve"> &lt; .001</w:t>
      </w:r>
      <w:r w:rsidR="00023E10">
        <w:t>, 95% CI [0.13, 0.17]</w:t>
      </w:r>
      <w:r>
        <w:t>.</w:t>
      </w:r>
      <w:r>
        <w:t xml:space="preserve"> </w:t>
      </w:r>
      <w:r w:rsidR="00FD1E59">
        <w:t xml:space="preserve">This unstandardized coefficient indicates that, holding trait-level personality constant, a one-point increase in extraversion relative to a participant’s own average was associated with a 0.15-point increase in their daily satisfaction with life score. The narrow confidence interval around this estimate suggests great precision, and because it does not include zero, the effect is statistically reliable. </w:t>
      </w:r>
    </w:p>
    <w:p w14:paraId="11932008" w14:textId="3C670800" w:rsidR="00974688" w:rsidRDefault="00FD1E59" w:rsidP="00E40C48">
      <w:pPr>
        <w:spacing w:line="480" w:lineRule="auto"/>
        <w:ind w:firstLine="720"/>
      </w:pPr>
      <w:r>
        <w:t>Conversely</w:t>
      </w:r>
      <w:r w:rsidR="00974688">
        <w:t xml:space="preserve">, daily increases in neuroticism were associated with significantly lower satisfaction with life, </w:t>
      </w:r>
      <w:r w:rsidR="00974688">
        <w:rPr>
          <w:i/>
          <w:iCs/>
        </w:rPr>
        <w:t xml:space="preserve">b </w:t>
      </w:r>
      <w:r w:rsidR="00974688">
        <w:t xml:space="preserve">= </w:t>
      </w:r>
      <w:r w:rsidR="00974688">
        <w:t>-0.22</w:t>
      </w:r>
      <w:r w:rsidR="00974688">
        <w:t xml:space="preserve">, </w:t>
      </w:r>
      <w:r w:rsidR="00974688" w:rsidRPr="00974688">
        <w:rPr>
          <w:i/>
          <w:iCs/>
        </w:rPr>
        <w:t>SE</w:t>
      </w:r>
      <w:r w:rsidR="00974688">
        <w:t xml:space="preserve"> = 0.0</w:t>
      </w:r>
      <w:r w:rsidR="00974688">
        <w:t>1</w:t>
      </w:r>
      <w:r w:rsidR="00974688">
        <w:t xml:space="preserve">, </w:t>
      </w:r>
      <w:proofErr w:type="gramStart"/>
      <w:r w:rsidR="00974688" w:rsidRPr="00974688">
        <w:rPr>
          <w:i/>
          <w:iCs/>
        </w:rPr>
        <w:t>t</w:t>
      </w:r>
      <w:r w:rsidR="00974688">
        <w:t>(</w:t>
      </w:r>
      <w:proofErr w:type="gramEnd"/>
      <w:r w:rsidR="00974688">
        <w:t>3986.15</w:t>
      </w:r>
      <w:r w:rsidR="00974688">
        <w:t xml:space="preserve">) = </w:t>
      </w:r>
      <w:r w:rsidR="00974688">
        <w:t xml:space="preserve">-19.36, </w:t>
      </w:r>
      <w:r w:rsidR="00974688" w:rsidRPr="00974688">
        <w:rPr>
          <w:i/>
          <w:iCs/>
        </w:rPr>
        <w:t>p</w:t>
      </w:r>
      <w:r w:rsidR="00974688">
        <w:t xml:space="preserve"> &lt; .001</w:t>
      </w:r>
      <w:r w:rsidR="00CF535B">
        <w:t>, 95% CI [-0.24, -0.20]</w:t>
      </w:r>
      <w:r w:rsidR="00974688">
        <w:t>.</w:t>
      </w:r>
      <w:r>
        <w:t xml:space="preserve"> This means that a one-point increase in daily neuroticism, </w:t>
      </w:r>
      <w:proofErr w:type="spellStart"/>
      <w:r>
        <w:t>relatice</w:t>
      </w:r>
      <w:proofErr w:type="spellEnd"/>
      <w:r>
        <w:t xml:space="preserve"> to the participant’s average, was associated with a 0.22-point decrease in life satisfaction on that day. Again, the confidence interval is narrow and does not cross zero, suggesting the estimate is statistically meaningful and reliable.</w:t>
      </w:r>
    </w:p>
    <w:p w14:paraId="184A6AE2" w14:textId="40C46396" w:rsidR="00DB0C22" w:rsidRDefault="00DB0C22" w:rsidP="007F588A">
      <w:pPr>
        <w:spacing w:line="480" w:lineRule="auto"/>
      </w:pPr>
      <w:r>
        <w:lastRenderedPageBreak/>
        <w:tab/>
        <w:t>These results provide partial support for H3. The effects of personality traits on satisfaction with life were evident at both the between- and within-person levels. However, the effect size differed. For extraversion, the between-person effect (</w:t>
      </w:r>
      <w:r>
        <w:rPr>
          <w:i/>
          <w:iCs/>
        </w:rPr>
        <w:t xml:space="preserve">b </w:t>
      </w:r>
      <w:r>
        <w:t>= 0.</w:t>
      </w:r>
      <w:r>
        <w:t>36</w:t>
      </w:r>
      <w:r>
        <w:t>)</w:t>
      </w:r>
      <w:r>
        <w:t xml:space="preserve"> was more than twice as large as the within-person effect (</w:t>
      </w:r>
      <w:r>
        <w:rPr>
          <w:i/>
          <w:iCs/>
        </w:rPr>
        <w:t xml:space="preserve">b </w:t>
      </w:r>
      <w:r>
        <w:t>= 0.15</w:t>
      </w:r>
      <w:r>
        <w:t xml:space="preserve">). For neuroticism, the between-person effect </w:t>
      </w:r>
      <w:r>
        <w:t>(</w:t>
      </w:r>
      <w:r>
        <w:rPr>
          <w:i/>
          <w:iCs/>
        </w:rPr>
        <w:t xml:space="preserve">b </w:t>
      </w:r>
      <w:r>
        <w:t xml:space="preserve">= </w:t>
      </w:r>
      <w:r>
        <w:t>-0.52</w:t>
      </w:r>
      <w:r>
        <w:t>)</w:t>
      </w:r>
      <w:r>
        <w:t xml:space="preserve"> was also stronger than the within-person effect </w:t>
      </w:r>
      <w:r>
        <w:t>(</w:t>
      </w:r>
      <w:r>
        <w:rPr>
          <w:i/>
          <w:iCs/>
        </w:rPr>
        <w:t xml:space="preserve">b </w:t>
      </w:r>
      <w:r>
        <w:t xml:space="preserve">= </w:t>
      </w:r>
      <w:r>
        <w:t>-</w:t>
      </w:r>
      <w:r>
        <w:t>0.</w:t>
      </w:r>
      <w:r>
        <w:t>22</w:t>
      </w:r>
      <w:r>
        <w:t>)</w:t>
      </w:r>
      <w:r>
        <w:t>. This suggests that while personality traits fluctuate over time and impact daily life satisfaction, an individual’s typical level of extraversion or neuroticism is a stronger predictor of life satisfaction than short-term fluctuations.</w:t>
      </w:r>
    </w:p>
    <w:p w14:paraId="6CF0158B" w14:textId="77777777" w:rsidR="00512A6E" w:rsidRDefault="004069D9" w:rsidP="00512A6E">
      <w:pPr>
        <w:spacing w:line="480" w:lineRule="auto"/>
      </w:pPr>
      <w:r>
        <w:tab/>
        <w:t xml:space="preserve">As with the final model selected for testing H1 and H2, residual diagnostics were conducted to assess the assumptions of the decomposition model. The histogram of residuals appeared approximately normally distributed, supporting the assumption of normality. The residuals vs. fitted values plot showed a familiar pattern of mild </w:t>
      </w:r>
      <w:r w:rsidR="00512A6E">
        <w:t>heteroskedasticity</w:t>
      </w:r>
      <w:r>
        <w:t>,</w:t>
      </w:r>
      <w:r w:rsidR="00512A6E">
        <w:t xml:space="preserve"> with slightly wider residual spread at lower predicted life satisfaction levels. T</w:t>
      </w:r>
      <w:r>
        <w:t xml:space="preserve">he S-L plot showed a slight downward trend, </w:t>
      </w:r>
      <w:r w:rsidR="00512A6E">
        <w:t>indicating that absolute residuals were slightly smaller at higher predicted values. Although these patterns suggest minor deviations from homoscedasticity, the trends were no pronounced and the majority of residuals remained tightly clustered. These findings indicate that the deviations from assumptions were not severe enough to undermine interpretability.</w:t>
      </w:r>
    </w:p>
    <w:p w14:paraId="1B333718" w14:textId="338CCAB2" w:rsidR="00512A6E" w:rsidRDefault="00512A6E" w:rsidP="00512A6E">
      <w:pPr>
        <w:spacing w:line="480" w:lineRule="auto"/>
      </w:pPr>
      <w:r>
        <w:tab/>
        <w:t>To further evaluate model performance, the ICC and R</w:t>
      </w:r>
      <w:r>
        <w:rPr>
          <w:vertAlign w:val="superscript"/>
        </w:rPr>
        <w:t xml:space="preserve">2 </w:t>
      </w:r>
      <w:r>
        <w:t xml:space="preserve">values were calculated. The adjusted ICC was 0.69, meaning that approximately 69% of the total variance in satisfaction with life was attributable to stable between-person differences, even after accounting for daily fluctuations in personality traits. The marginal </w:t>
      </w:r>
      <w:r>
        <w:t>R</w:t>
      </w:r>
      <w:r>
        <w:rPr>
          <w:vertAlign w:val="superscript"/>
        </w:rPr>
        <w:t xml:space="preserve">2 </w:t>
      </w:r>
      <w:r>
        <w:t xml:space="preserve">was 0.305, indicating that the fixed effects (i.e., between- and within-person components of extraversion and neuroticism) explained 30.5% of the variance in satisfaction with life. The conditional </w:t>
      </w:r>
      <w:r>
        <w:t>R</w:t>
      </w:r>
      <w:r>
        <w:rPr>
          <w:vertAlign w:val="superscript"/>
        </w:rPr>
        <w:t xml:space="preserve">2 </w:t>
      </w:r>
      <w:r>
        <w:t xml:space="preserve">was 0.785, indicating that the full </w:t>
      </w:r>
      <w:r>
        <w:lastRenderedPageBreak/>
        <w:t>decomposed model (fixed and random effects) explained 78.5% of the variance. These model fit statistics reinforce the robustness of the decomposition model used to test H3.</w:t>
      </w:r>
    </w:p>
    <w:p w14:paraId="27147889" w14:textId="77777777" w:rsidR="001A03F6" w:rsidRDefault="001A03F6" w:rsidP="001A03F6">
      <w:pPr>
        <w:spacing w:line="480" w:lineRule="auto"/>
        <w:rPr>
          <w:b/>
          <w:bCs/>
        </w:rPr>
      </w:pPr>
      <w:r>
        <w:rPr>
          <w:b/>
          <w:bCs/>
        </w:rPr>
        <w:t>Table 3</w:t>
      </w:r>
    </w:p>
    <w:p w14:paraId="5760DE1C" w14:textId="77777777" w:rsidR="001A03F6" w:rsidRDefault="001A03F6" w:rsidP="001A03F6">
      <w:pPr>
        <w:spacing w:line="480" w:lineRule="auto"/>
        <w:rPr>
          <w:i/>
          <w:iCs/>
        </w:rPr>
      </w:pPr>
      <w:r>
        <w:rPr>
          <w:i/>
          <w:iCs/>
        </w:rPr>
        <w:t>Fixed effects estimates for within- and between-person effects (disaggregated model)</w:t>
      </w:r>
    </w:p>
    <w:tbl>
      <w:tblPr>
        <w:tblStyle w:val="TableGrid"/>
        <w:tblW w:w="0" w:type="auto"/>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838"/>
        <w:gridCol w:w="1134"/>
        <w:gridCol w:w="1134"/>
        <w:gridCol w:w="1985"/>
        <w:gridCol w:w="1134"/>
        <w:gridCol w:w="2125"/>
      </w:tblGrid>
      <w:tr w:rsidR="001A03F6" w14:paraId="2072E46D" w14:textId="77777777" w:rsidTr="00F1798E">
        <w:tc>
          <w:tcPr>
            <w:tcW w:w="1838" w:type="dxa"/>
            <w:tcBorders>
              <w:top w:val="single" w:sz="4" w:space="0" w:color="000000" w:themeColor="text1"/>
              <w:bottom w:val="single" w:sz="4" w:space="0" w:color="000000" w:themeColor="text1"/>
            </w:tcBorders>
            <w:vAlign w:val="center"/>
          </w:tcPr>
          <w:p w14:paraId="3A35B6CF" w14:textId="77777777" w:rsidR="001A03F6" w:rsidRPr="0072619F" w:rsidRDefault="001A03F6" w:rsidP="001A03F6">
            <w:pPr>
              <w:rPr>
                <w:b/>
                <w:bCs/>
              </w:rPr>
            </w:pPr>
            <w:r w:rsidRPr="0072619F">
              <w:rPr>
                <w:b/>
                <w:bCs/>
              </w:rPr>
              <w:t>Predictor</w:t>
            </w:r>
          </w:p>
        </w:tc>
        <w:tc>
          <w:tcPr>
            <w:tcW w:w="1134" w:type="dxa"/>
            <w:tcBorders>
              <w:top w:val="single" w:sz="4" w:space="0" w:color="000000" w:themeColor="text1"/>
              <w:bottom w:val="single" w:sz="4" w:space="0" w:color="000000" w:themeColor="text1"/>
            </w:tcBorders>
            <w:vAlign w:val="center"/>
          </w:tcPr>
          <w:p w14:paraId="39B2E67C" w14:textId="77777777" w:rsidR="001A03F6" w:rsidRPr="005A24C1" w:rsidRDefault="001A03F6" w:rsidP="001A03F6">
            <w:pPr>
              <w:jc w:val="center"/>
              <w:rPr>
                <w:b/>
                <w:bCs/>
                <w:i/>
                <w:iCs/>
              </w:rPr>
            </w:pPr>
            <w:r w:rsidRPr="005A24C1">
              <w:rPr>
                <w:b/>
                <w:bCs/>
                <w:i/>
                <w:iCs/>
              </w:rPr>
              <w:t>b</w:t>
            </w:r>
          </w:p>
        </w:tc>
        <w:tc>
          <w:tcPr>
            <w:tcW w:w="1134" w:type="dxa"/>
            <w:tcBorders>
              <w:top w:val="single" w:sz="4" w:space="0" w:color="000000" w:themeColor="text1"/>
              <w:bottom w:val="single" w:sz="4" w:space="0" w:color="000000" w:themeColor="text1"/>
            </w:tcBorders>
            <w:vAlign w:val="center"/>
          </w:tcPr>
          <w:p w14:paraId="1F41013C" w14:textId="77777777" w:rsidR="001A03F6" w:rsidRPr="005A24C1" w:rsidRDefault="001A03F6" w:rsidP="001A03F6">
            <w:pPr>
              <w:jc w:val="center"/>
              <w:rPr>
                <w:b/>
                <w:bCs/>
                <w:i/>
                <w:iCs/>
              </w:rPr>
            </w:pPr>
            <w:r w:rsidRPr="005A24C1">
              <w:rPr>
                <w:b/>
                <w:bCs/>
                <w:i/>
                <w:iCs/>
              </w:rPr>
              <w:t>SE</w:t>
            </w:r>
          </w:p>
        </w:tc>
        <w:tc>
          <w:tcPr>
            <w:tcW w:w="1985" w:type="dxa"/>
            <w:tcBorders>
              <w:top w:val="single" w:sz="4" w:space="0" w:color="000000" w:themeColor="text1"/>
              <w:bottom w:val="single" w:sz="4" w:space="0" w:color="000000" w:themeColor="text1"/>
            </w:tcBorders>
            <w:vAlign w:val="center"/>
          </w:tcPr>
          <w:p w14:paraId="1BD91AA3" w14:textId="77777777" w:rsidR="001A03F6" w:rsidRPr="0072619F" w:rsidRDefault="001A03F6" w:rsidP="001A03F6">
            <w:pPr>
              <w:jc w:val="center"/>
              <w:rPr>
                <w:b/>
                <w:bCs/>
              </w:rPr>
            </w:pPr>
            <w:r w:rsidRPr="004E76F3">
              <w:rPr>
                <w:b/>
                <w:bCs/>
                <w:i/>
                <w:iCs/>
              </w:rPr>
              <w:t>t</w:t>
            </w:r>
            <w:r w:rsidRPr="0072619F">
              <w:rPr>
                <w:b/>
                <w:bCs/>
              </w:rPr>
              <w:t>(</w:t>
            </w:r>
            <w:proofErr w:type="spellStart"/>
            <w:r w:rsidRPr="0072619F">
              <w:rPr>
                <w:b/>
                <w:bCs/>
              </w:rPr>
              <w:t>df</w:t>
            </w:r>
            <w:proofErr w:type="spellEnd"/>
            <w:r w:rsidRPr="0072619F">
              <w:rPr>
                <w:b/>
                <w:bCs/>
              </w:rPr>
              <w:t>)</w:t>
            </w:r>
          </w:p>
        </w:tc>
        <w:tc>
          <w:tcPr>
            <w:tcW w:w="1134" w:type="dxa"/>
            <w:tcBorders>
              <w:top w:val="single" w:sz="4" w:space="0" w:color="000000" w:themeColor="text1"/>
              <w:bottom w:val="single" w:sz="4" w:space="0" w:color="000000" w:themeColor="text1"/>
            </w:tcBorders>
            <w:vAlign w:val="center"/>
          </w:tcPr>
          <w:p w14:paraId="72DFAFC3" w14:textId="77777777" w:rsidR="001A03F6" w:rsidRPr="005A24C1" w:rsidRDefault="001A03F6" w:rsidP="001A03F6">
            <w:pPr>
              <w:jc w:val="center"/>
              <w:rPr>
                <w:b/>
                <w:bCs/>
                <w:i/>
                <w:iCs/>
              </w:rPr>
            </w:pPr>
            <w:r w:rsidRPr="005A24C1">
              <w:rPr>
                <w:b/>
                <w:bCs/>
                <w:i/>
                <w:iCs/>
              </w:rPr>
              <w:t>p</w:t>
            </w:r>
          </w:p>
        </w:tc>
        <w:tc>
          <w:tcPr>
            <w:tcW w:w="2125" w:type="dxa"/>
            <w:tcBorders>
              <w:top w:val="single" w:sz="4" w:space="0" w:color="000000" w:themeColor="text1"/>
              <w:bottom w:val="single" w:sz="4" w:space="0" w:color="000000" w:themeColor="text1"/>
            </w:tcBorders>
            <w:vAlign w:val="center"/>
          </w:tcPr>
          <w:p w14:paraId="0A66AFCC" w14:textId="77777777" w:rsidR="001A03F6" w:rsidRPr="0072619F" w:rsidRDefault="001A03F6" w:rsidP="001A03F6">
            <w:pPr>
              <w:jc w:val="center"/>
              <w:rPr>
                <w:b/>
                <w:bCs/>
              </w:rPr>
            </w:pPr>
            <w:r w:rsidRPr="0072619F">
              <w:rPr>
                <w:b/>
                <w:bCs/>
              </w:rPr>
              <w:t>95% CI</w:t>
            </w:r>
          </w:p>
        </w:tc>
      </w:tr>
      <w:tr w:rsidR="001A03F6" w14:paraId="64D6064E" w14:textId="77777777" w:rsidTr="00F1798E">
        <w:tc>
          <w:tcPr>
            <w:tcW w:w="1838" w:type="dxa"/>
            <w:tcBorders>
              <w:top w:val="single" w:sz="4" w:space="0" w:color="000000" w:themeColor="text1"/>
              <w:bottom w:val="nil"/>
            </w:tcBorders>
            <w:vAlign w:val="center"/>
          </w:tcPr>
          <w:p w14:paraId="7AD1A390" w14:textId="0C6517C5" w:rsidR="001A03F6" w:rsidRPr="00AF7711" w:rsidRDefault="001A03F6" w:rsidP="001A03F6">
            <w:pPr>
              <w:rPr>
                <w:b/>
                <w:bCs/>
              </w:rPr>
            </w:pPr>
            <w:r w:rsidRPr="00AF7711">
              <w:rPr>
                <w:b/>
                <w:bCs/>
              </w:rPr>
              <w:t>Fixed Effects</w:t>
            </w:r>
          </w:p>
        </w:tc>
        <w:tc>
          <w:tcPr>
            <w:tcW w:w="1134" w:type="dxa"/>
            <w:tcBorders>
              <w:top w:val="single" w:sz="4" w:space="0" w:color="000000" w:themeColor="text1"/>
              <w:bottom w:val="nil"/>
            </w:tcBorders>
          </w:tcPr>
          <w:p w14:paraId="577CB436" w14:textId="77777777" w:rsidR="001A03F6" w:rsidRDefault="001A03F6" w:rsidP="001A03F6">
            <w:pPr>
              <w:jc w:val="center"/>
            </w:pPr>
          </w:p>
        </w:tc>
        <w:tc>
          <w:tcPr>
            <w:tcW w:w="1134" w:type="dxa"/>
            <w:tcBorders>
              <w:top w:val="single" w:sz="4" w:space="0" w:color="000000" w:themeColor="text1"/>
              <w:bottom w:val="nil"/>
            </w:tcBorders>
          </w:tcPr>
          <w:p w14:paraId="661A60D8" w14:textId="77777777" w:rsidR="001A03F6" w:rsidRDefault="001A03F6" w:rsidP="001A03F6">
            <w:pPr>
              <w:jc w:val="center"/>
            </w:pPr>
          </w:p>
        </w:tc>
        <w:tc>
          <w:tcPr>
            <w:tcW w:w="1985" w:type="dxa"/>
            <w:tcBorders>
              <w:top w:val="single" w:sz="4" w:space="0" w:color="000000" w:themeColor="text1"/>
              <w:bottom w:val="nil"/>
            </w:tcBorders>
          </w:tcPr>
          <w:p w14:paraId="1D022785" w14:textId="77777777" w:rsidR="001A03F6" w:rsidRDefault="001A03F6" w:rsidP="001A03F6">
            <w:pPr>
              <w:jc w:val="center"/>
            </w:pPr>
          </w:p>
        </w:tc>
        <w:tc>
          <w:tcPr>
            <w:tcW w:w="1134" w:type="dxa"/>
            <w:tcBorders>
              <w:top w:val="single" w:sz="4" w:space="0" w:color="000000" w:themeColor="text1"/>
              <w:bottom w:val="nil"/>
            </w:tcBorders>
          </w:tcPr>
          <w:p w14:paraId="76B2E61D" w14:textId="77777777" w:rsidR="001A03F6" w:rsidRDefault="001A03F6" w:rsidP="001A03F6">
            <w:pPr>
              <w:jc w:val="center"/>
            </w:pPr>
          </w:p>
        </w:tc>
        <w:tc>
          <w:tcPr>
            <w:tcW w:w="2125" w:type="dxa"/>
            <w:tcBorders>
              <w:top w:val="single" w:sz="4" w:space="0" w:color="000000" w:themeColor="text1"/>
              <w:bottom w:val="nil"/>
            </w:tcBorders>
          </w:tcPr>
          <w:p w14:paraId="4832EDB5" w14:textId="77777777" w:rsidR="001A03F6" w:rsidRDefault="001A03F6" w:rsidP="001A03F6">
            <w:pPr>
              <w:jc w:val="center"/>
            </w:pPr>
          </w:p>
        </w:tc>
      </w:tr>
      <w:tr w:rsidR="001A03F6" w14:paraId="1F7FCCEF" w14:textId="77777777" w:rsidTr="00F1798E">
        <w:tc>
          <w:tcPr>
            <w:tcW w:w="1838" w:type="dxa"/>
            <w:tcBorders>
              <w:top w:val="nil"/>
              <w:bottom w:val="nil"/>
            </w:tcBorders>
            <w:vAlign w:val="center"/>
          </w:tcPr>
          <w:p w14:paraId="72B1EFBA" w14:textId="2E02DE15" w:rsidR="001A03F6" w:rsidRDefault="001A03F6" w:rsidP="00AE38A8">
            <w:pPr>
              <w:spacing w:after="20"/>
            </w:pPr>
            <w:r>
              <w:t xml:space="preserve">   </w:t>
            </w:r>
            <w:r>
              <w:t>(Intercept)</w:t>
            </w:r>
          </w:p>
        </w:tc>
        <w:tc>
          <w:tcPr>
            <w:tcW w:w="1134" w:type="dxa"/>
            <w:tcBorders>
              <w:top w:val="nil"/>
              <w:bottom w:val="nil"/>
            </w:tcBorders>
          </w:tcPr>
          <w:p w14:paraId="2F46B360" w14:textId="77777777" w:rsidR="001A03F6" w:rsidRDefault="001A03F6" w:rsidP="00783EB4">
            <w:pPr>
              <w:spacing w:before="20"/>
              <w:jc w:val="center"/>
            </w:pPr>
            <w:r>
              <w:t>4.76</w:t>
            </w:r>
          </w:p>
        </w:tc>
        <w:tc>
          <w:tcPr>
            <w:tcW w:w="1134" w:type="dxa"/>
            <w:tcBorders>
              <w:top w:val="nil"/>
              <w:bottom w:val="nil"/>
            </w:tcBorders>
          </w:tcPr>
          <w:p w14:paraId="465C26A4" w14:textId="77777777" w:rsidR="001A03F6" w:rsidRDefault="001A03F6" w:rsidP="00783EB4">
            <w:pPr>
              <w:spacing w:before="20"/>
              <w:jc w:val="center"/>
            </w:pPr>
            <w:r>
              <w:t>0.44</w:t>
            </w:r>
          </w:p>
        </w:tc>
        <w:tc>
          <w:tcPr>
            <w:tcW w:w="1985" w:type="dxa"/>
            <w:tcBorders>
              <w:top w:val="nil"/>
              <w:bottom w:val="nil"/>
            </w:tcBorders>
          </w:tcPr>
          <w:p w14:paraId="58434754" w14:textId="77777777" w:rsidR="001A03F6" w:rsidRDefault="001A03F6" w:rsidP="00783EB4">
            <w:pPr>
              <w:spacing w:before="20"/>
              <w:jc w:val="center"/>
            </w:pPr>
            <w:r>
              <w:t>10.86 (257.26)</w:t>
            </w:r>
          </w:p>
        </w:tc>
        <w:tc>
          <w:tcPr>
            <w:tcW w:w="1134" w:type="dxa"/>
            <w:tcBorders>
              <w:top w:val="nil"/>
              <w:bottom w:val="nil"/>
            </w:tcBorders>
          </w:tcPr>
          <w:p w14:paraId="281454FB" w14:textId="77777777" w:rsidR="001A03F6" w:rsidRDefault="001A03F6" w:rsidP="00783EB4">
            <w:pPr>
              <w:spacing w:before="20"/>
              <w:jc w:val="center"/>
            </w:pPr>
            <w:r>
              <w:t>&lt; .001</w:t>
            </w:r>
          </w:p>
        </w:tc>
        <w:tc>
          <w:tcPr>
            <w:tcW w:w="2125" w:type="dxa"/>
            <w:tcBorders>
              <w:top w:val="nil"/>
              <w:bottom w:val="nil"/>
            </w:tcBorders>
          </w:tcPr>
          <w:p w14:paraId="2F0CF781" w14:textId="77777777" w:rsidR="001A03F6" w:rsidRDefault="001A03F6" w:rsidP="00783EB4">
            <w:pPr>
              <w:spacing w:before="20"/>
              <w:jc w:val="center"/>
            </w:pPr>
            <w:r>
              <w:t>[3.90, 5.63]</w:t>
            </w:r>
          </w:p>
        </w:tc>
      </w:tr>
      <w:tr w:rsidR="001A03F6" w14:paraId="6D4FEC97" w14:textId="77777777" w:rsidTr="00A43138">
        <w:tc>
          <w:tcPr>
            <w:tcW w:w="1838" w:type="dxa"/>
            <w:tcBorders>
              <w:top w:val="nil"/>
              <w:bottom w:val="nil"/>
            </w:tcBorders>
            <w:vAlign w:val="center"/>
          </w:tcPr>
          <w:p w14:paraId="2F868712" w14:textId="77777777" w:rsidR="00844F6A" w:rsidRDefault="001A03F6" w:rsidP="00783EB4">
            <w:pPr>
              <w:spacing w:before="20"/>
            </w:pPr>
            <w:r>
              <w:t xml:space="preserve">   </w:t>
            </w:r>
            <w:r>
              <w:t>Extraversion</w:t>
            </w:r>
          </w:p>
          <w:p w14:paraId="04E5A1BA" w14:textId="0BB69EDE" w:rsidR="001A03F6" w:rsidRDefault="00844F6A" w:rsidP="001A03F6">
            <w:r>
              <w:t xml:space="preserve">   </w:t>
            </w:r>
            <w:r w:rsidR="001A03F6">
              <w:t>(within)</w:t>
            </w:r>
          </w:p>
        </w:tc>
        <w:tc>
          <w:tcPr>
            <w:tcW w:w="1134" w:type="dxa"/>
            <w:tcBorders>
              <w:top w:val="nil"/>
              <w:bottom w:val="nil"/>
            </w:tcBorders>
          </w:tcPr>
          <w:p w14:paraId="787A192F" w14:textId="77777777" w:rsidR="001A03F6" w:rsidRDefault="001A03F6" w:rsidP="00AE38A8">
            <w:pPr>
              <w:spacing w:before="20" w:after="20"/>
              <w:jc w:val="center"/>
            </w:pPr>
            <w:r>
              <w:t>0.15</w:t>
            </w:r>
          </w:p>
        </w:tc>
        <w:tc>
          <w:tcPr>
            <w:tcW w:w="1134" w:type="dxa"/>
            <w:tcBorders>
              <w:top w:val="nil"/>
              <w:bottom w:val="nil"/>
            </w:tcBorders>
          </w:tcPr>
          <w:p w14:paraId="7F251E40" w14:textId="77777777" w:rsidR="001A03F6" w:rsidRDefault="001A03F6" w:rsidP="00AE38A8">
            <w:pPr>
              <w:spacing w:before="20" w:after="20"/>
              <w:jc w:val="center"/>
            </w:pPr>
            <w:r>
              <w:t>0.01</w:t>
            </w:r>
          </w:p>
        </w:tc>
        <w:tc>
          <w:tcPr>
            <w:tcW w:w="1985" w:type="dxa"/>
            <w:tcBorders>
              <w:top w:val="nil"/>
              <w:bottom w:val="nil"/>
            </w:tcBorders>
          </w:tcPr>
          <w:p w14:paraId="4E0678F5" w14:textId="77777777" w:rsidR="001A03F6" w:rsidRDefault="001A03F6" w:rsidP="00AE38A8">
            <w:pPr>
              <w:spacing w:before="20" w:after="20"/>
              <w:jc w:val="center"/>
            </w:pPr>
            <w:r>
              <w:t>12.73 (3986.15)</w:t>
            </w:r>
          </w:p>
        </w:tc>
        <w:tc>
          <w:tcPr>
            <w:tcW w:w="1134" w:type="dxa"/>
            <w:tcBorders>
              <w:top w:val="nil"/>
              <w:bottom w:val="nil"/>
            </w:tcBorders>
          </w:tcPr>
          <w:p w14:paraId="695B24A5" w14:textId="77777777" w:rsidR="001A03F6" w:rsidRDefault="001A03F6" w:rsidP="00AE38A8">
            <w:pPr>
              <w:spacing w:before="20" w:after="20"/>
              <w:jc w:val="center"/>
            </w:pPr>
            <w:r>
              <w:t>&lt; .001</w:t>
            </w:r>
          </w:p>
        </w:tc>
        <w:tc>
          <w:tcPr>
            <w:tcW w:w="2125" w:type="dxa"/>
            <w:tcBorders>
              <w:top w:val="nil"/>
              <w:bottom w:val="nil"/>
            </w:tcBorders>
          </w:tcPr>
          <w:p w14:paraId="6899BF61" w14:textId="77777777" w:rsidR="001A03F6" w:rsidRDefault="001A03F6" w:rsidP="00AE38A8">
            <w:pPr>
              <w:spacing w:before="20" w:after="20"/>
              <w:jc w:val="center"/>
            </w:pPr>
            <w:r>
              <w:t>[0.13, 0.17]</w:t>
            </w:r>
          </w:p>
        </w:tc>
      </w:tr>
      <w:tr w:rsidR="001A03F6" w14:paraId="6314CB85" w14:textId="77777777" w:rsidTr="00A43138">
        <w:tc>
          <w:tcPr>
            <w:tcW w:w="1838" w:type="dxa"/>
            <w:vAlign w:val="center"/>
          </w:tcPr>
          <w:p w14:paraId="695C99E6" w14:textId="77777777" w:rsidR="00844F6A" w:rsidRDefault="001A03F6" w:rsidP="00783EB4">
            <w:pPr>
              <w:spacing w:before="20"/>
            </w:pPr>
            <w:r>
              <w:t xml:space="preserve">   </w:t>
            </w:r>
            <w:r>
              <w:t>Extraversion</w:t>
            </w:r>
          </w:p>
          <w:p w14:paraId="2E343C77" w14:textId="4768C31B" w:rsidR="001A03F6" w:rsidRDefault="00844F6A" w:rsidP="001A03F6">
            <w:r>
              <w:t xml:space="preserve">   </w:t>
            </w:r>
            <w:r w:rsidR="001A03F6">
              <w:t>(between)</w:t>
            </w:r>
          </w:p>
        </w:tc>
        <w:tc>
          <w:tcPr>
            <w:tcW w:w="1134" w:type="dxa"/>
          </w:tcPr>
          <w:p w14:paraId="25007261" w14:textId="77777777" w:rsidR="001A03F6" w:rsidRDefault="001A03F6" w:rsidP="00783EB4">
            <w:pPr>
              <w:spacing w:before="20"/>
              <w:jc w:val="center"/>
            </w:pPr>
            <w:r>
              <w:t>0.36</w:t>
            </w:r>
          </w:p>
        </w:tc>
        <w:tc>
          <w:tcPr>
            <w:tcW w:w="1134" w:type="dxa"/>
          </w:tcPr>
          <w:p w14:paraId="1D30C237" w14:textId="77777777" w:rsidR="001A03F6" w:rsidRDefault="001A03F6" w:rsidP="00783EB4">
            <w:pPr>
              <w:spacing w:before="20"/>
              <w:jc w:val="center"/>
            </w:pPr>
            <w:r>
              <w:t>0.07</w:t>
            </w:r>
          </w:p>
        </w:tc>
        <w:tc>
          <w:tcPr>
            <w:tcW w:w="1985" w:type="dxa"/>
          </w:tcPr>
          <w:p w14:paraId="72977CB0" w14:textId="77777777" w:rsidR="001A03F6" w:rsidRDefault="001A03F6" w:rsidP="00783EB4">
            <w:pPr>
              <w:spacing w:before="20"/>
              <w:jc w:val="center"/>
            </w:pPr>
            <w:r>
              <w:t>5.33 (257.89)</w:t>
            </w:r>
          </w:p>
        </w:tc>
        <w:tc>
          <w:tcPr>
            <w:tcW w:w="1134" w:type="dxa"/>
          </w:tcPr>
          <w:p w14:paraId="38975B6E" w14:textId="77777777" w:rsidR="001A03F6" w:rsidRDefault="001A03F6" w:rsidP="00783EB4">
            <w:pPr>
              <w:spacing w:before="20"/>
              <w:jc w:val="center"/>
            </w:pPr>
            <w:r>
              <w:t>&lt; .001</w:t>
            </w:r>
          </w:p>
        </w:tc>
        <w:tc>
          <w:tcPr>
            <w:tcW w:w="2125" w:type="dxa"/>
          </w:tcPr>
          <w:p w14:paraId="219B6F98" w14:textId="77777777" w:rsidR="001A03F6" w:rsidRDefault="001A03F6" w:rsidP="00783EB4">
            <w:pPr>
              <w:spacing w:before="20"/>
              <w:jc w:val="center"/>
            </w:pPr>
            <w:r>
              <w:t>[0.23, 0.49]</w:t>
            </w:r>
          </w:p>
        </w:tc>
      </w:tr>
      <w:tr w:rsidR="001A03F6" w14:paraId="43A4B471" w14:textId="77777777" w:rsidTr="00F1798E">
        <w:tc>
          <w:tcPr>
            <w:tcW w:w="1838" w:type="dxa"/>
            <w:tcBorders>
              <w:bottom w:val="nil"/>
            </w:tcBorders>
            <w:vAlign w:val="center"/>
          </w:tcPr>
          <w:p w14:paraId="08CB4BC9" w14:textId="77777777" w:rsidR="00844F6A" w:rsidRDefault="001A03F6" w:rsidP="00783EB4">
            <w:pPr>
              <w:spacing w:before="20"/>
            </w:pPr>
            <w:r>
              <w:t xml:space="preserve">   </w:t>
            </w:r>
            <w:r>
              <w:t>Neuroticism</w:t>
            </w:r>
          </w:p>
          <w:p w14:paraId="2FD09B16" w14:textId="6670BC6B" w:rsidR="001A03F6" w:rsidRDefault="00844F6A" w:rsidP="001A03F6">
            <w:r>
              <w:t xml:space="preserve">   </w:t>
            </w:r>
            <w:r w:rsidR="001A03F6">
              <w:t>(within)</w:t>
            </w:r>
          </w:p>
        </w:tc>
        <w:tc>
          <w:tcPr>
            <w:tcW w:w="1134" w:type="dxa"/>
            <w:tcBorders>
              <w:bottom w:val="nil"/>
            </w:tcBorders>
          </w:tcPr>
          <w:p w14:paraId="70DA78CD" w14:textId="738FE9AC" w:rsidR="001A03F6" w:rsidRDefault="00783EB4" w:rsidP="00783EB4">
            <w:pPr>
              <w:spacing w:before="20"/>
              <w:jc w:val="center"/>
            </w:pPr>
            <w:r>
              <w:t>-</w:t>
            </w:r>
            <w:r w:rsidR="001A03F6">
              <w:t>0.22</w:t>
            </w:r>
          </w:p>
        </w:tc>
        <w:tc>
          <w:tcPr>
            <w:tcW w:w="1134" w:type="dxa"/>
            <w:tcBorders>
              <w:bottom w:val="nil"/>
            </w:tcBorders>
          </w:tcPr>
          <w:p w14:paraId="08593A33" w14:textId="77777777" w:rsidR="001A03F6" w:rsidRDefault="001A03F6" w:rsidP="00783EB4">
            <w:pPr>
              <w:spacing w:before="20"/>
              <w:jc w:val="center"/>
            </w:pPr>
            <w:r>
              <w:t>0.01</w:t>
            </w:r>
          </w:p>
        </w:tc>
        <w:tc>
          <w:tcPr>
            <w:tcW w:w="1985" w:type="dxa"/>
            <w:tcBorders>
              <w:bottom w:val="nil"/>
            </w:tcBorders>
          </w:tcPr>
          <w:p w14:paraId="621A7564" w14:textId="77777777" w:rsidR="001A03F6" w:rsidRDefault="001A03F6" w:rsidP="00783EB4">
            <w:pPr>
              <w:spacing w:before="20"/>
              <w:jc w:val="center"/>
            </w:pPr>
            <w:r>
              <w:t>–19.36 (3986.15)</w:t>
            </w:r>
          </w:p>
        </w:tc>
        <w:tc>
          <w:tcPr>
            <w:tcW w:w="1134" w:type="dxa"/>
            <w:tcBorders>
              <w:bottom w:val="nil"/>
            </w:tcBorders>
          </w:tcPr>
          <w:p w14:paraId="2C166661" w14:textId="77777777" w:rsidR="001A03F6" w:rsidRDefault="001A03F6" w:rsidP="00783EB4">
            <w:pPr>
              <w:spacing w:before="20"/>
              <w:jc w:val="center"/>
            </w:pPr>
            <w:r>
              <w:t>&lt; .001</w:t>
            </w:r>
          </w:p>
        </w:tc>
        <w:tc>
          <w:tcPr>
            <w:tcW w:w="2125" w:type="dxa"/>
            <w:tcBorders>
              <w:bottom w:val="nil"/>
            </w:tcBorders>
          </w:tcPr>
          <w:p w14:paraId="72626409" w14:textId="150257B7" w:rsidR="001A03F6" w:rsidRDefault="001A03F6" w:rsidP="00783EB4">
            <w:pPr>
              <w:spacing w:before="20"/>
              <w:jc w:val="center"/>
            </w:pPr>
            <w:r>
              <w:t>[</w:t>
            </w:r>
            <w:r w:rsidR="00783EB4">
              <w:t>-</w:t>
            </w:r>
            <w:r>
              <w:t xml:space="preserve">0.24, </w:t>
            </w:r>
            <w:r w:rsidR="00783EB4">
              <w:t>-</w:t>
            </w:r>
            <w:r>
              <w:t>0.20]</w:t>
            </w:r>
          </w:p>
        </w:tc>
      </w:tr>
      <w:tr w:rsidR="001A03F6" w14:paraId="1A2C912F" w14:textId="77777777" w:rsidTr="00F341E5">
        <w:tc>
          <w:tcPr>
            <w:tcW w:w="1838" w:type="dxa"/>
            <w:tcBorders>
              <w:top w:val="nil"/>
              <w:bottom w:val="nil"/>
            </w:tcBorders>
            <w:vAlign w:val="center"/>
          </w:tcPr>
          <w:p w14:paraId="0380B967" w14:textId="77777777" w:rsidR="00844F6A" w:rsidRDefault="001A03F6" w:rsidP="00783EB4">
            <w:pPr>
              <w:spacing w:before="20"/>
            </w:pPr>
            <w:r>
              <w:t xml:space="preserve">   </w:t>
            </w:r>
            <w:r>
              <w:t>Neuroticism</w:t>
            </w:r>
          </w:p>
          <w:p w14:paraId="20AB209B" w14:textId="38650BAF" w:rsidR="001A03F6" w:rsidRDefault="00844F6A" w:rsidP="001A03F6">
            <w:r>
              <w:t xml:space="preserve">   </w:t>
            </w:r>
            <w:r w:rsidR="001A03F6">
              <w:t>(between)</w:t>
            </w:r>
          </w:p>
        </w:tc>
        <w:tc>
          <w:tcPr>
            <w:tcW w:w="1134" w:type="dxa"/>
            <w:tcBorders>
              <w:top w:val="nil"/>
              <w:bottom w:val="nil"/>
            </w:tcBorders>
          </w:tcPr>
          <w:p w14:paraId="600E8DB5" w14:textId="088214B2" w:rsidR="001A03F6" w:rsidRDefault="00783EB4" w:rsidP="00783EB4">
            <w:pPr>
              <w:spacing w:before="20"/>
              <w:jc w:val="center"/>
            </w:pPr>
            <w:r>
              <w:t>-</w:t>
            </w:r>
            <w:r w:rsidR="001A03F6">
              <w:t>0.52</w:t>
            </w:r>
          </w:p>
        </w:tc>
        <w:tc>
          <w:tcPr>
            <w:tcW w:w="1134" w:type="dxa"/>
            <w:tcBorders>
              <w:top w:val="nil"/>
              <w:bottom w:val="nil"/>
            </w:tcBorders>
          </w:tcPr>
          <w:p w14:paraId="295F49D3" w14:textId="77777777" w:rsidR="001A03F6" w:rsidRDefault="001A03F6" w:rsidP="00783EB4">
            <w:pPr>
              <w:spacing w:before="20"/>
              <w:jc w:val="center"/>
            </w:pPr>
            <w:r>
              <w:t>0.07</w:t>
            </w:r>
          </w:p>
        </w:tc>
        <w:tc>
          <w:tcPr>
            <w:tcW w:w="1985" w:type="dxa"/>
            <w:tcBorders>
              <w:top w:val="nil"/>
              <w:bottom w:val="nil"/>
            </w:tcBorders>
          </w:tcPr>
          <w:p w14:paraId="479FDACD" w14:textId="77777777" w:rsidR="001A03F6" w:rsidRDefault="001A03F6" w:rsidP="00783EB4">
            <w:pPr>
              <w:spacing w:before="20"/>
              <w:jc w:val="center"/>
            </w:pPr>
            <w:r>
              <w:t>–7.81 (258.21)</w:t>
            </w:r>
          </w:p>
        </w:tc>
        <w:tc>
          <w:tcPr>
            <w:tcW w:w="1134" w:type="dxa"/>
            <w:tcBorders>
              <w:top w:val="nil"/>
              <w:bottom w:val="nil"/>
            </w:tcBorders>
          </w:tcPr>
          <w:p w14:paraId="5A99B852" w14:textId="77777777" w:rsidR="001A03F6" w:rsidRDefault="001A03F6" w:rsidP="00783EB4">
            <w:pPr>
              <w:spacing w:before="20"/>
              <w:jc w:val="center"/>
            </w:pPr>
            <w:r>
              <w:t>&lt; .001</w:t>
            </w:r>
          </w:p>
        </w:tc>
        <w:tc>
          <w:tcPr>
            <w:tcW w:w="2125" w:type="dxa"/>
            <w:tcBorders>
              <w:top w:val="nil"/>
              <w:bottom w:val="nil"/>
            </w:tcBorders>
          </w:tcPr>
          <w:p w14:paraId="5641176D" w14:textId="386BF55B" w:rsidR="001A03F6" w:rsidRDefault="001A03F6" w:rsidP="00783EB4">
            <w:pPr>
              <w:spacing w:before="20"/>
              <w:jc w:val="center"/>
            </w:pPr>
            <w:r>
              <w:t>[</w:t>
            </w:r>
            <w:r w:rsidR="00783EB4">
              <w:t>-</w:t>
            </w:r>
            <w:r>
              <w:t xml:space="preserve">0.66, </w:t>
            </w:r>
            <w:r w:rsidR="00783EB4">
              <w:t>-</w:t>
            </w:r>
            <w:r>
              <w:t>0.39]</w:t>
            </w:r>
          </w:p>
        </w:tc>
      </w:tr>
      <w:tr w:rsidR="00F341E5" w14:paraId="2B525099" w14:textId="77777777" w:rsidTr="00F1798E">
        <w:tc>
          <w:tcPr>
            <w:tcW w:w="1838" w:type="dxa"/>
            <w:tcBorders>
              <w:top w:val="nil"/>
              <w:bottom w:val="single" w:sz="4" w:space="0" w:color="000000" w:themeColor="text1"/>
            </w:tcBorders>
            <w:vAlign w:val="center"/>
          </w:tcPr>
          <w:p w14:paraId="7CD0E007" w14:textId="77777777" w:rsidR="00F341E5" w:rsidRDefault="00F341E5" w:rsidP="00F341E5"/>
        </w:tc>
        <w:tc>
          <w:tcPr>
            <w:tcW w:w="1134" w:type="dxa"/>
            <w:tcBorders>
              <w:top w:val="nil"/>
              <w:bottom w:val="single" w:sz="4" w:space="0" w:color="000000" w:themeColor="text1"/>
            </w:tcBorders>
          </w:tcPr>
          <w:p w14:paraId="742F61E1" w14:textId="77777777" w:rsidR="00F341E5" w:rsidRDefault="00F341E5" w:rsidP="00F341E5">
            <w:pPr>
              <w:jc w:val="center"/>
            </w:pPr>
          </w:p>
        </w:tc>
        <w:tc>
          <w:tcPr>
            <w:tcW w:w="1134" w:type="dxa"/>
            <w:tcBorders>
              <w:top w:val="nil"/>
              <w:bottom w:val="single" w:sz="4" w:space="0" w:color="000000" w:themeColor="text1"/>
            </w:tcBorders>
          </w:tcPr>
          <w:p w14:paraId="58CADFCF" w14:textId="77777777" w:rsidR="00F341E5" w:rsidRDefault="00F341E5" w:rsidP="00F341E5">
            <w:pPr>
              <w:jc w:val="center"/>
            </w:pPr>
          </w:p>
        </w:tc>
        <w:tc>
          <w:tcPr>
            <w:tcW w:w="1985" w:type="dxa"/>
            <w:tcBorders>
              <w:top w:val="nil"/>
              <w:bottom w:val="single" w:sz="4" w:space="0" w:color="000000" w:themeColor="text1"/>
            </w:tcBorders>
          </w:tcPr>
          <w:p w14:paraId="79F8F7C4" w14:textId="77777777" w:rsidR="00F341E5" w:rsidRDefault="00F341E5" w:rsidP="00F341E5">
            <w:pPr>
              <w:jc w:val="center"/>
            </w:pPr>
          </w:p>
        </w:tc>
        <w:tc>
          <w:tcPr>
            <w:tcW w:w="1134" w:type="dxa"/>
            <w:tcBorders>
              <w:top w:val="nil"/>
              <w:bottom w:val="single" w:sz="4" w:space="0" w:color="000000" w:themeColor="text1"/>
            </w:tcBorders>
          </w:tcPr>
          <w:p w14:paraId="5F4605CC" w14:textId="77777777" w:rsidR="00F341E5" w:rsidRDefault="00F341E5" w:rsidP="00F341E5">
            <w:pPr>
              <w:jc w:val="center"/>
            </w:pPr>
          </w:p>
        </w:tc>
        <w:tc>
          <w:tcPr>
            <w:tcW w:w="2125" w:type="dxa"/>
            <w:tcBorders>
              <w:top w:val="nil"/>
              <w:bottom w:val="single" w:sz="4" w:space="0" w:color="000000" w:themeColor="text1"/>
            </w:tcBorders>
          </w:tcPr>
          <w:p w14:paraId="1C595D05" w14:textId="77777777" w:rsidR="00F341E5" w:rsidRDefault="00F341E5" w:rsidP="00F341E5">
            <w:pPr>
              <w:jc w:val="center"/>
            </w:pPr>
          </w:p>
        </w:tc>
      </w:tr>
      <w:tr w:rsidR="00F1798E" w14:paraId="70A3EF84" w14:textId="77777777" w:rsidTr="00F1798E">
        <w:tc>
          <w:tcPr>
            <w:tcW w:w="1838" w:type="dxa"/>
            <w:tcBorders>
              <w:top w:val="single" w:sz="4" w:space="0" w:color="000000" w:themeColor="text1"/>
            </w:tcBorders>
            <w:vAlign w:val="center"/>
          </w:tcPr>
          <w:p w14:paraId="6E2550DE" w14:textId="58DEEE9F" w:rsidR="00F1798E" w:rsidRPr="00F1798E" w:rsidRDefault="00F1798E" w:rsidP="007947B1">
            <w:pPr>
              <w:rPr>
                <w:b/>
                <w:bCs/>
              </w:rPr>
            </w:pPr>
            <w:r>
              <w:rPr>
                <w:b/>
                <w:bCs/>
              </w:rPr>
              <w:t>ICC</w:t>
            </w:r>
          </w:p>
        </w:tc>
        <w:tc>
          <w:tcPr>
            <w:tcW w:w="1134" w:type="dxa"/>
            <w:tcBorders>
              <w:top w:val="single" w:sz="4" w:space="0" w:color="000000" w:themeColor="text1"/>
            </w:tcBorders>
          </w:tcPr>
          <w:p w14:paraId="289C4B7D" w14:textId="77777777" w:rsidR="00F1798E" w:rsidRDefault="00F1798E" w:rsidP="001A03F6">
            <w:pPr>
              <w:jc w:val="center"/>
            </w:pPr>
          </w:p>
        </w:tc>
        <w:tc>
          <w:tcPr>
            <w:tcW w:w="1134" w:type="dxa"/>
            <w:tcBorders>
              <w:top w:val="single" w:sz="4" w:space="0" w:color="000000" w:themeColor="text1"/>
            </w:tcBorders>
          </w:tcPr>
          <w:p w14:paraId="0F08B109" w14:textId="77777777" w:rsidR="00F1798E" w:rsidRDefault="00F1798E" w:rsidP="001A03F6">
            <w:pPr>
              <w:jc w:val="center"/>
            </w:pPr>
          </w:p>
        </w:tc>
        <w:tc>
          <w:tcPr>
            <w:tcW w:w="1985" w:type="dxa"/>
            <w:tcBorders>
              <w:top w:val="single" w:sz="4" w:space="0" w:color="000000" w:themeColor="text1"/>
            </w:tcBorders>
          </w:tcPr>
          <w:p w14:paraId="5B7C69B4" w14:textId="77777777" w:rsidR="00F1798E" w:rsidRDefault="00F1798E" w:rsidP="001A03F6">
            <w:pPr>
              <w:jc w:val="center"/>
            </w:pPr>
          </w:p>
        </w:tc>
        <w:tc>
          <w:tcPr>
            <w:tcW w:w="1134" w:type="dxa"/>
            <w:tcBorders>
              <w:top w:val="single" w:sz="4" w:space="0" w:color="000000" w:themeColor="text1"/>
            </w:tcBorders>
          </w:tcPr>
          <w:p w14:paraId="4EF00A83" w14:textId="77777777" w:rsidR="00F1798E" w:rsidRDefault="00F1798E" w:rsidP="001A03F6">
            <w:pPr>
              <w:jc w:val="center"/>
            </w:pPr>
          </w:p>
        </w:tc>
        <w:tc>
          <w:tcPr>
            <w:tcW w:w="2125" w:type="dxa"/>
            <w:tcBorders>
              <w:top w:val="single" w:sz="4" w:space="0" w:color="000000" w:themeColor="text1"/>
            </w:tcBorders>
          </w:tcPr>
          <w:p w14:paraId="69D0218C" w14:textId="77777777" w:rsidR="00F1798E" w:rsidRDefault="00F1798E" w:rsidP="001A03F6">
            <w:pPr>
              <w:jc w:val="center"/>
            </w:pPr>
          </w:p>
        </w:tc>
      </w:tr>
      <w:tr w:rsidR="00F1798E" w14:paraId="7A618E74" w14:textId="77777777" w:rsidTr="00A43138">
        <w:tc>
          <w:tcPr>
            <w:tcW w:w="1838" w:type="dxa"/>
            <w:vAlign w:val="center"/>
          </w:tcPr>
          <w:p w14:paraId="5BF5758F" w14:textId="6EF616DC" w:rsidR="00F1798E" w:rsidRDefault="00F1798E" w:rsidP="00F1798E">
            <w:r>
              <w:t xml:space="preserve">   Adjusted</w:t>
            </w:r>
          </w:p>
        </w:tc>
        <w:tc>
          <w:tcPr>
            <w:tcW w:w="1134" w:type="dxa"/>
          </w:tcPr>
          <w:p w14:paraId="72ABD167" w14:textId="79D743FE" w:rsidR="00F1798E" w:rsidRDefault="00F1798E" w:rsidP="00F1798E">
            <w:pPr>
              <w:jc w:val="center"/>
            </w:pPr>
            <w:r>
              <w:t>0.69</w:t>
            </w:r>
          </w:p>
        </w:tc>
        <w:tc>
          <w:tcPr>
            <w:tcW w:w="1134" w:type="dxa"/>
          </w:tcPr>
          <w:p w14:paraId="448D502F" w14:textId="77777777" w:rsidR="00F1798E" w:rsidRDefault="00F1798E" w:rsidP="001A03F6">
            <w:pPr>
              <w:jc w:val="center"/>
            </w:pPr>
          </w:p>
        </w:tc>
        <w:tc>
          <w:tcPr>
            <w:tcW w:w="1985" w:type="dxa"/>
          </w:tcPr>
          <w:p w14:paraId="7C49E6F9" w14:textId="77777777" w:rsidR="00F1798E" w:rsidRDefault="00F1798E" w:rsidP="001A03F6">
            <w:pPr>
              <w:jc w:val="center"/>
            </w:pPr>
          </w:p>
        </w:tc>
        <w:tc>
          <w:tcPr>
            <w:tcW w:w="1134" w:type="dxa"/>
          </w:tcPr>
          <w:p w14:paraId="3A2EDEBC" w14:textId="77777777" w:rsidR="00F1798E" w:rsidRDefault="00F1798E" w:rsidP="001A03F6">
            <w:pPr>
              <w:jc w:val="center"/>
            </w:pPr>
          </w:p>
        </w:tc>
        <w:tc>
          <w:tcPr>
            <w:tcW w:w="2125" w:type="dxa"/>
          </w:tcPr>
          <w:p w14:paraId="3323AAF0" w14:textId="77777777" w:rsidR="00F1798E" w:rsidRDefault="00F1798E" w:rsidP="001A03F6">
            <w:pPr>
              <w:jc w:val="center"/>
            </w:pPr>
          </w:p>
        </w:tc>
      </w:tr>
      <w:tr w:rsidR="00F1798E" w14:paraId="4166BF1A" w14:textId="77777777" w:rsidTr="00A43138">
        <w:tc>
          <w:tcPr>
            <w:tcW w:w="1838" w:type="dxa"/>
            <w:vAlign w:val="center"/>
          </w:tcPr>
          <w:p w14:paraId="087A7495" w14:textId="60EE2D68" w:rsidR="00F1798E" w:rsidRDefault="00F1798E" w:rsidP="00F1798E">
            <w:r>
              <w:t xml:space="preserve">   Unadjusted </w:t>
            </w:r>
          </w:p>
        </w:tc>
        <w:tc>
          <w:tcPr>
            <w:tcW w:w="1134" w:type="dxa"/>
          </w:tcPr>
          <w:p w14:paraId="5CD72250" w14:textId="7A67A05F" w:rsidR="00F1798E" w:rsidRDefault="00F1798E" w:rsidP="00F1798E">
            <w:pPr>
              <w:jc w:val="center"/>
            </w:pPr>
            <w:r>
              <w:t>0.48</w:t>
            </w:r>
          </w:p>
        </w:tc>
        <w:tc>
          <w:tcPr>
            <w:tcW w:w="1134" w:type="dxa"/>
          </w:tcPr>
          <w:p w14:paraId="444C3B04" w14:textId="77777777" w:rsidR="00F1798E" w:rsidRDefault="00F1798E" w:rsidP="001A03F6">
            <w:pPr>
              <w:jc w:val="center"/>
            </w:pPr>
          </w:p>
        </w:tc>
        <w:tc>
          <w:tcPr>
            <w:tcW w:w="1985" w:type="dxa"/>
          </w:tcPr>
          <w:p w14:paraId="3B80EE22" w14:textId="77777777" w:rsidR="00F1798E" w:rsidRDefault="00F1798E" w:rsidP="001A03F6">
            <w:pPr>
              <w:jc w:val="center"/>
            </w:pPr>
          </w:p>
        </w:tc>
        <w:tc>
          <w:tcPr>
            <w:tcW w:w="1134" w:type="dxa"/>
          </w:tcPr>
          <w:p w14:paraId="5C3C547C" w14:textId="77777777" w:rsidR="00F1798E" w:rsidRDefault="00F1798E" w:rsidP="001A03F6">
            <w:pPr>
              <w:jc w:val="center"/>
            </w:pPr>
          </w:p>
        </w:tc>
        <w:tc>
          <w:tcPr>
            <w:tcW w:w="2125" w:type="dxa"/>
          </w:tcPr>
          <w:p w14:paraId="1181F37D" w14:textId="77777777" w:rsidR="00F1798E" w:rsidRDefault="00F1798E" w:rsidP="001A03F6">
            <w:pPr>
              <w:jc w:val="center"/>
            </w:pPr>
          </w:p>
        </w:tc>
      </w:tr>
      <w:tr w:rsidR="00F1798E" w14:paraId="0881E0FC" w14:textId="77777777" w:rsidTr="00AF7711">
        <w:tc>
          <w:tcPr>
            <w:tcW w:w="1838" w:type="dxa"/>
            <w:tcBorders>
              <w:bottom w:val="single" w:sz="4" w:space="0" w:color="000000" w:themeColor="text1"/>
            </w:tcBorders>
            <w:vAlign w:val="center"/>
          </w:tcPr>
          <w:p w14:paraId="46891B70" w14:textId="77777777" w:rsidR="00F1798E" w:rsidRDefault="00F1798E" w:rsidP="00F1798E"/>
        </w:tc>
        <w:tc>
          <w:tcPr>
            <w:tcW w:w="1134" w:type="dxa"/>
            <w:tcBorders>
              <w:bottom w:val="single" w:sz="4" w:space="0" w:color="000000" w:themeColor="text1"/>
            </w:tcBorders>
          </w:tcPr>
          <w:p w14:paraId="14EE8336" w14:textId="77777777" w:rsidR="00F1798E" w:rsidRDefault="00F1798E" w:rsidP="00F1798E">
            <w:pPr>
              <w:jc w:val="center"/>
            </w:pPr>
          </w:p>
        </w:tc>
        <w:tc>
          <w:tcPr>
            <w:tcW w:w="1134" w:type="dxa"/>
            <w:tcBorders>
              <w:bottom w:val="single" w:sz="4" w:space="0" w:color="000000" w:themeColor="text1"/>
            </w:tcBorders>
          </w:tcPr>
          <w:p w14:paraId="1D2C7B32" w14:textId="77777777" w:rsidR="00F1798E" w:rsidRDefault="00F1798E" w:rsidP="00F1798E">
            <w:pPr>
              <w:jc w:val="center"/>
            </w:pPr>
          </w:p>
        </w:tc>
        <w:tc>
          <w:tcPr>
            <w:tcW w:w="1985" w:type="dxa"/>
            <w:tcBorders>
              <w:bottom w:val="single" w:sz="4" w:space="0" w:color="000000" w:themeColor="text1"/>
            </w:tcBorders>
          </w:tcPr>
          <w:p w14:paraId="4E7EF911" w14:textId="77777777" w:rsidR="00F1798E" w:rsidRDefault="00F1798E" w:rsidP="00F1798E">
            <w:pPr>
              <w:jc w:val="center"/>
            </w:pPr>
          </w:p>
        </w:tc>
        <w:tc>
          <w:tcPr>
            <w:tcW w:w="1134" w:type="dxa"/>
            <w:tcBorders>
              <w:bottom w:val="single" w:sz="4" w:space="0" w:color="000000" w:themeColor="text1"/>
            </w:tcBorders>
          </w:tcPr>
          <w:p w14:paraId="7825DB16" w14:textId="77777777" w:rsidR="00F1798E" w:rsidRDefault="00F1798E" w:rsidP="00F1798E">
            <w:pPr>
              <w:jc w:val="center"/>
            </w:pPr>
          </w:p>
        </w:tc>
        <w:tc>
          <w:tcPr>
            <w:tcW w:w="2125" w:type="dxa"/>
            <w:tcBorders>
              <w:bottom w:val="single" w:sz="4" w:space="0" w:color="000000" w:themeColor="text1"/>
            </w:tcBorders>
          </w:tcPr>
          <w:p w14:paraId="5F52D9FE" w14:textId="77777777" w:rsidR="00F1798E" w:rsidRDefault="00F1798E" w:rsidP="00F1798E">
            <w:pPr>
              <w:jc w:val="center"/>
            </w:pPr>
          </w:p>
        </w:tc>
      </w:tr>
      <w:tr w:rsidR="00F1798E" w14:paraId="31CDA6C5" w14:textId="77777777" w:rsidTr="00AF7711">
        <w:tc>
          <w:tcPr>
            <w:tcW w:w="1838" w:type="dxa"/>
            <w:tcBorders>
              <w:top w:val="single" w:sz="4" w:space="0" w:color="000000" w:themeColor="text1"/>
              <w:bottom w:val="nil"/>
            </w:tcBorders>
            <w:vAlign w:val="center"/>
          </w:tcPr>
          <w:p w14:paraId="585CF665" w14:textId="149BFC92" w:rsidR="00F1798E" w:rsidRDefault="00F1798E" w:rsidP="007947B1">
            <w:r w:rsidRPr="009502B2">
              <w:rPr>
                <w:b/>
                <w:bCs/>
              </w:rPr>
              <w:t>R²</w:t>
            </w:r>
          </w:p>
        </w:tc>
        <w:tc>
          <w:tcPr>
            <w:tcW w:w="1134" w:type="dxa"/>
            <w:tcBorders>
              <w:top w:val="single" w:sz="4" w:space="0" w:color="000000" w:themeColor="text1"/>
              <w:bottom w:val="nil"/>
            </w:tcBorders>
          </w:tcPr>
          <w:p w14:paraId="01656D31" w14:textId="77777777" w:rsidR="00F1798E" w:rsidRDefault="00F1798E" w:rsidP="00F1798E">
            <w:pPr>
              <w:jc w:val="center"/>
            </w:pPr>
          </w:p>
        </w:tc>
        <w:tc>
          <w:tcPr>
            <w:tcW w:w="1134" w:type="dxa"/>
            <w:tcBorders>
              <w:top w:val="single" w:sz="4" w:space="0" w:color="000000" w:themeColor="text1"/>
              <w:bottom w:val="nil"/>
            </w:tcBorders>
          </w:tcPr>
          <w:p w14:paraId="2B1AA4E1" w14:textId="77777777" w:rsidR="00F1798E" w:rsidRDefault="00F1798E" w:rsidP="00F1798E">
            <w:pPr>
              <w:jc w:val="center"/>
            </w:pPr>
          </w:p>
        </w:tc>
        <w:tc>
          <w:tcPr>
            <w:tcW w:w="1985" w:type="dxa"/>
            <w:tcBorders>
              <w:top w:val="single" w:sz="4" w:space="0" w:color="000000" w:themeColor="text1"/>
              <w:bottom w:val="nil"/>
            </w:tcBorders>
          </w:tcPr>
          <w:p w14:paraId="3834086F" w14:textId="77777777" w:rsidR="00F1798E" w:rsidRDefault="00F1798E" w:rsidP="00F1798E">
            <w:pPr>
              <w:jc w:val="center"/>
            </w:pPr>
          </w:p>
        </w:tc>
        <w:tc>
          <w:tcPr>
            <w:tcW w:w="1134" w:type="dxa"/>
            <w:tcBorders>
              <w:top w:val="single" w:sz="4" w:space="0" w:color="000000" w:themeColor="text1"/>
              <w:bottom w:val="nil"/>
            </w:tcBorders>
          </w:tcPr>
          <w:p w14:paraId="3F344E3F" w14:textId="77777777" w:rsidR="00F1798E" w:rsidRDefault="00F1798E" w:rsidP="00F1798E">
            <w:pPr>
              <w:jc w:val="center"/>
            </w:pPr>
          </w:p>
        </w:tc>
        <w:tc>
          <w:tcPr>
            <w:tcW w:w="2125" w:type="dxa"/>
            <w:tcBorders>
              <w:top w:val="single" w:sz="4" w:space="0" w:color="000000" w:themeColor="text1"/>
              <w:bottom w:val="nil"/>
            </w:tcBorders>
          </w:tcPr>
          <w:p w14:paraId="54AAA6CB" w14:textId="77777777" w:rsidR="00F1798E" w:rsidRDefault="00F1798E" w:rsidP="00F1798E">
            <w:pPr>
              <w:jc w:val="center"/>
            </w:pPr>
          </w:p>
        </w:tc>
      </w:tr>
      <w:tr w:rsidR="00F1798E" w14:paraId="4A0EDB35" w14:textId="77777777" w:rsidTr="00AF7711">
        <w:tc>
          <w:tcPr>
            <w:tcW w:w="1838" w:type="dxa"/>
            <w:tcBorders>
              <w:top w:val="nil"/>
            </w:tcBorders>
            <w:vAlign w:val="center"/>
          </w:tcPr>
          <w:p w14:paraId="1C5BC51F" w14:textId="36FC6868" w:rsidR="00F1798E" w:rsidRPr="009502B2" w:rsidRDefault="00F1798E" w:rsidP="00F1798E">
            <w:pPr>
              <w:rPr>
                <w:b/>
                <w:bCs/>
              </w:rPr>
            </w:pPr>
            <w:r>
              <w:t xml:space="preserve">   Conditional</w:t>
            </w:r>
          </w:p>
        </w:tc>
        <w:tc>
          <w:tcPr>
            <w:tcW w:w="1134" w:type="dxa"/>
            <w:tcBorders>
              <w:top w:val="nil"/>
            </w:tcBorders>
          </w:tcPr>
          <w:p w14:paraId="07A60730" w14:textId="13BBC262" w:rsidR="00F1798E" w:rsidRDefault="00F1798E" w:rsidP="00F1798E">
            <w:pPr>
              <w:jc w:val="center"/>
            </w:pPr>
            <w:r>
              <w:t>0.79</w:t>
            </w:r>
          </w:p>
        </w:tc>
        <w:tc>
          <w:tcPr>
            <w:tcW w:w="1134" w:type="dxa"/>
            <w:tcBorders>
              <w:top w:val="nil"/>
            </w:tcBorders>
          </w:tcPr>
          <w:p w14:paraId="076E7683" w14:textId="77777777" w:rsidR="00F1798E" w:rsidRDefault="00F1798E" w:rsidP="00F1798E">
            <w:pPr>
              <w:jc w:val="center"/>
            </w:pPr>
          </w:p>
        </w:tc>
        <w:tc>
          <w:tcPr>
            <w:tcW w:w="1985" w:type="dxa"/>
            <w:tcBorders>
              <w:top w:val="nil"/>
            </w:tcBorders>
          </w:tcPr>
          <w:p w14:paraId="33C52A4D" w14:textId="77777777" w:rsidR="00F1798E" w:rsidRDefault="00F1798E" w:rsidP="00F1798E">
            <w:pPr>
              <w:jc w:val="center"/>
            </w:pPr>
          </w:p>
        </w:tc>
        <w:tc>
          <w:tcPr>
            <w:tcW w:w="1134" w:type="dxa"/>
            <w:tcBorders>
              <w:top w:val="nil"/>
            </w:tcBorders>
          </w:tcPr>
          <w:p w14:paraId="2DF493FB" w14:textId="77777777" w:rsidR="00F1798E" w:rsidRDefault="00F1798E" w:rsidP="00F1798E">
            <w:pPr>
              <w:jc w:val="center"/>
            </w:pPr>
          </w:p>
        </w:tc>
        <w:tc>
          <w:tcPr>
            <w:tcW w:w="2125" w:type="dxa"/>
            <w:tcBorders>
              <w:top w:val="nil"/>
            </w:tcBorders>
          </w:tcPr>
          <w:p w14:paraId="1ADDCD04" w14:textId="77777777" w:rsidR="00F1798E" w:rsidRDefault="00F1798E" w:rsidP="00F1798E">
            <w:pPr>
              <w:jc w:val="center"/>
            </w:pPr>
          </w:p>
        </w:tc>
      </w:tr>
      <w:tr w:rsidR="00F1798E" w14:paraId="245AC293" w14:textId="77777777" w:rsidTr="00A43138">
        <w:tc>
          <w:tcPr>
            <w:tcW w:w="1838" w:type="dxa"/>
            <w:vAlign w:val="center"/>
          </w:tcPr>
          <w:p w14:paraId="2122FDB1" w14:textId="48E759D1" w:rsidR="00F1798E" w:rsidRDefault="00F1798E" w:rsidP="00F1798E">
            <w:r>
              <w:t xml:space="preserve">   Marginal</w:t>
            </w:r>
          </w:p>
        </w:tc>
        <w:tc>
          <w:tcPr>
            <w:tcW w:w="1134" w:type="dxa"/>
          </w:tcPr>
          <w:p w14:paraId="566B20E7" w14:textId="6ED13FA0" w:rsidR="00F1798E" w:rsidRDefault="00F1798E" w:rsidP="00F1798E">
            <w:pPr>
              <w:jc w:val="center"/>
            </w:pPr>
            <w:r>
              <w:t>0.09</w:t>
            </w:r>
          </w:p>
        </w:tc>
        <w:tc>
          <w:tcPr>
            <w:tcW w:w="1134" w:type="dxa"/>
          </w:tcPr>
          <w:p w14:paraId="66DA2132" w14:textId="77777777" w:rsidR="00F1798E" w:rsidRDefault="00F1798E" w:rsidP="00F1798E">
            <w:pPr>
              <w:jc w:val="center"/>
            </w:pPr>
          </w:p>
        </w:tc>
        <w:tc>
          <w:tcPr>
            <w:tcW w:w="1985" w:type="dxa"/>
          </w:tcPr>
          <w:p w14:paraId="59386EDA" w14:textId="77777777" w:rsidR="00F1798E" w:rsidRDefault="00F1798E" w:rsidP="00F1798E">
            <w:pPr>
              <w:jc w:val="center"/>
            </w:pPr>
          </w:p>
        </w:tc>
        <w:tc>
          <w:tcPr>
            <w:tcW w:w="1134" w:type="dxa"/>
          </w:tcPr>
          <w:p w14:paraId="65018C6A" w14:textId="77777777" w:rsidR="00F1798E" w:rsidRDefault="00F1798E" w:rsidP="00F1798E">
            <w:pPr>
              <w:jc w:val="center"/>
            </w:pPr>
          </w:p>
        </w:tc>
        <w:tc>
          <w:tcPr>
            <w:tcW w:w="2125" w:type="dxa"/>
          </w:tcPr>
          <w:p w14:paraId="0774BBF1" w14:textId="77777777" w:rsidR="00F1798E" w:rsidRDefault="00F1798E" w:rsidP="00F1798E">
            <w:pPr>
              <w:jc w:val="center"/>
            </w:pPr>
          </w:p>
        </w:tc>
      </w:tr>
    </w:tbl>
    <w:p w14:paraId="22C7E48B" w14:textId="77777777" w:rsidR="00116FC1" w:rsidRDefault="00116FC1" w:rsidP="00116FC1">
      <w:pPr>
        <w:rPr>
          <w:i/>
          <w:iCs/>
        </w:rPr>
      </w:pPr>
    </w:p>
    <w:p w14:paraId="0EECBB50" w14:textId="06FBE42F" w:rsidR="00116FC1" w:rsidRDefault="00116FC1" w:rsidP="00116FC1">
      <w:r>
        <w:rPr>
          <w:i/>
          <w:iCs/>
        </w:rPr>
        <w:t>Note</w:t>
      </w:r>
      <w:r>
        <w:t>. ICC = intraclass correlation coefficient. Marginal R² reflects variance explained by fixed effects only; conditional R² reflects variance explained by both fixed and random effects.</w:t>
      </w:r>
    </w:p>
    <w:p w14:paraId="5777B981" w14:textId="77777777" w:rsidR="001A03F6" w:rsidRDefault="001A03F6" w:rsidP="00512A6E">
      <w:pPr>
        <w:spacing w:line="480" w:lineRule="auto"/>
      </w:pPr>
    </w:p>
    <w:p w14:paraId="2AEA9C9B" w14:textId="54762032" w:rsidR="0058204F" w:rsidRDefault="0058204F" w:rsidP="00512A6E">
      <w:pPr>
        <w:spacing w:line="480" w:lineRule="auto"/>
        <w:rPr>
          <w:b/>
          <w:bCs/>
        </w:rPr>
      </w:pPr>
      <w:r>
        <w:rPr>
          <w:b/>
          <w:bCs/>
        </w:rPr>
        <w:t>Conclusion and Lay Summary</w:t>
      </w:r>
    </w:p>
    <w:p w14:paraId="307FF76F" w14:textId="3FB2C4E0" w:rsidR="00EB6B4A" w:rsidRPr="00EB6B4A" w:rsidRDefault="0058204F" w:rsidP="000D7A9F">
      <w:pPr>
        <w:spacing w:line="480" w:lineRule="auto"/>
      </w:pPr>
      <w:r>
        <w:rPr>
          <w:b/>
          <w:bCs/>
        </w:rPr>
        <w:tab/>
      </w:r>
      <w:r>
        <w:t xml:space="preserve">This study found that extraversion and neuroticism are meaningful predictors of how satisfied people feel with their lives. Supporting H1, people who were more extraverted (i.e., outgoing, energetic, and socially engaged) tended to report higher life satisfaction. Supporting H2, people who were higher in neuroticism (i.e., prone to negative emotions like anxiety or irritability) reported lower life satisfaction. For H3, the results showed that both daily changes and stable personality traits matter. On days when someone felt more extraverted than usual, they </w:t>
      </w:r>
      <w:r>
        <w:lastRenderedPageBreak/>
        <w:t>also felt more satisfied with life; when they felt more neurotic than usual, their satisfaction went down. However, stable, long-term personality traits explained more of the variation in life satisfaction that daily ups and downs. While both levels are important, who you are most of the time may matter more for how satisfied you are with life than how you feel on any single day.</w:t>
      </w:r>
    </w:p>
    <w:sectPr w:rsidR="00EB6B4A" w:rsidRPr="00EB6B4A">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39180" w14:textId="77777777" w:rsidR="00486E78" w:rsidRDefault="00486E78" w:rsidP="00F249FE">
      <w:r>
        <w:separator/>
      </w:r>
    </w:p>
  </w:endnote>
  <w:endnote w:type="continuationSeparator" w:id="0">
    <w:p w14:paraId="799FE81A" w14:textId="77777777" w:rsidR="00486E78" w:rsidRDefault="00486E78" w:rsidP="00F2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FF724" w14:textId="77777777" w:rsidR="00486E78" w:rsidRDefault="00486E78" w:rsidP="00F249FE">
      <w:r>
        <w:separator/>
      </w:r>
    </w:p>
  </w:footnote>
  <w:footnote w:type="continuationSeparator" w:id="0">
    <w:p w14:paraId="0B6E94CF" w14:textId="77777777" w:rsidR="00486E78" w:rsidRDefault="00486E78" w:rsidP="00F24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479076"/>
      <w:docPartObj>
        <w:docPartGallery w:val="Page Numbers (Top of Page)"/>
        <w:docPartUnique/>
      </w:docPartObj>
    </w:sdtPr>
    <w:sdtContent>
      <w:p w14:paraId="63CC2671" w14:textId="528646C5" w:rsidR="00F249FE" w:rsidRDefault="00F249FE" w:rsidP="005C7A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F34C89" w14:textId="77777777" w:rsidR="00F249FE" w:rsidRDefault="00F249FE" w:rsidP="00F249F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88767"/>
      <w:docPartObj>
        <w:docPartGallery w:val="Page Numbers (Top of Page)"/>
        <w:docPartUnique/>
      </w:docPartObj>
    </w:sdtPr>
    <w:sdtContent>
      <w:p w14:paraId="1351222B" w14:textId="369F74F1" w:rsidR="00F249FE" w:rsidRDefault="00F249FE" w:rsidP="005C7A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06A0BC" w14:textId="2D541B9A" w:rsidR="00F249FE" w:rsidRDefault="00F249FE" w:rsidP="00F249FE">
    <w:pPr>
      <w:pStyle w:val="Header"/>
      <w:ind w:right="360"/>
    </w:pPr>
    <w:r>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4A"/>
    <w:rsid w:val="00023E10"/>
    <w:rsid w:val="000729D5"/>
    <w:rsid w:val="000830C9"/>
    <w:rsid w:val="00085A02"/>
    <w:rsid w:val="000A63F6"/>
    <w:rsid w:val="000D7A9F"/>
    <w:rsid w:val="000E1AF3"/>
    <w:rsid w:val="000F377A"/>
    <w:rsid w:val="0010214B"/>
    <w:rsid w:val="00116FC1"/>
    <w:rsid w:val="00120111"/>
    <w:rsid w:val="001343D7"/>
    <w:rsid w:val="001351E9"/>
    <w:rsid w:val="00157DBD"/>
    <w:rsid w:val="0017503E"/>
    <w:rsid w:val="001A03F6"/>
    <w:rsid w:val="001A74A8"/>
    <w:rsid w:val="001C299A"/>
    <w:rsid w:val="001E54E5"/>
    <w:rsid w:val="00203722"/>
    <w:rsid w:val="00211C20"/>
    <w:rsid w:val="002461D5"/>
    <w:rsid w:val="002520B6"/>
    <w:rsid w:val="002A48B9"/>
    <w:rsid w:val="002A78FF"/>
    <w:rsid w:val="002A7C04"/>
    <w:rsid w:val="002D0C88"/>
    <w:rsid w:val="002F2582"/>
    <w:rsid w:val="00305C64"/>
    <w:rsid w:val="00325803"/>
    <w:rsid w:val="003608CC"/>
    <w:rsid w:val="00372574"/>
    <w:rsid w:val="003842A2"/>
    <w:rsid w:val="00385A9B"/>
    <w:rsid w:val="00386AF0"/>
    <w:rsid w:val="003A3EC1"/>
    <w:rsid w:val="003C2798"/>
    <w:rsid w:val="003D16C2"/>
    <w:rsid w:val="003E7E4F"/>
    <w:rsid w:val="00401A5E"/>
    <w:rsid w:val="004069D9"/>
    <w:rsid w:val="0041157E"/>
    <w:rsid w:val="0041263D"/>
    <w:rsid w:val="00425BB1"/>
    <w:rsid w:val="00486E78"/>
    <w:rsid w:val="004908F6"/>
    <w:rsid w:val="00496867"/>
    <w:rsid w:val="004B09B0"/>
    <w:rsid w:val="004F14B9"/>
    <w:rsid w:val="0050189B"/>
    <w:rsid w:val="00504281"/>
    <w:rsid w:val="00512A6E"/>
    <w:rsid w:val="005148FE"/>
    <w:rsid w:val="00543571"/>
    <w:rsid w:val="00553889"/>
    <w:rsid w:val="0058204F"/>
    <w:rsid w:val="005A1D57"/>
    <w:rsid w:val="005A6AB2"/>
    <w:rsid w:val="005A76D1"/>
    <w:rsid w:val="00611241"/>
    <w:rsid w:val="006221AF"/>
    <w:rsid w:val="006510DB"/>
    <w:rsid w:val="006662DF"/>
    <w:rsid w:val="006931DF"/>
    <w:rsid w:val="006A6EE1"/>
    <w:rsid w:val="006B1376"/>
    <w:rsid w:val="006B5294"/>
    <w:rsid w:val="006C228B"/>
    <w:rsid w:val="006F583C"/>
    <w:rsid w:val="007570F2"/>
    <w:rsid w:val="00783EB4"/>
    <w:rsid w:val="00790147"/>
    <w:rsid w:val="007947B1"/>
    <w:rsid w:val="007C4FCB"/>
    <w:rsid w:val="007E03C1"/>
    <w:rsid w:val="007E17D6"/>
    <w:rsid w:val="007F588A"/>
    <w:rsid w:val="008040C3"/>
    <w:rsid w:val="00804C94"/>
    <w:rsid w:val="008148F9"/>
    <w:rsid w:val="00816939"/>
    <w:rsid w:val="00844F6A"/>
    <w:rsid w:val="008836F5"/>
    <w:rsid w:val="008A06B2"/>
    <w:rsid w:val="008C3D76"/>
    <w:rsid w:val="008D7860"/>
    <w:rsid w:val="008E624C"/>
    <w:rsid w:val="00933076"/>
    <w:rsid w:val="00974688"/>
    <w:rsid w:val="00977396"/>
    <w:rsid w:val="009925D1"/>
    <w:rsid w:val="009A0F8C"/>
    <w:rsid w:val="009A619A"/>
    <w:rsid w:val="009C0A5F"/>
    <w:rsid w:val="009C5DB9"/>
    <w:rsid w:val="009C62BA"/>
    <w:rsid w:val="009D44BA"/>
    <w:rsid w:val="009D5E58"/>
    <w:rsid w:val="009E7D11"/>
    <w:rsid w:val="00A150B1"/>
    <w:rsid w:val="00A22766"/>
    <w:rsid w:val="00A36025"/>
    <w:rsid w:val="00A438FF"/>
    <w:rsid w:val="00A51E97"/>
    <w:rsid w:val="00AC0EDA"/>
    <w:rsid w:val="00AE0B3F"/>
    <w:rsid w:val="00AE38A8"/>
    <w:rsid w:val="00AF7711"/>
    <w:rsid w:val="00B07F23"/>
    <w:rsid w:val="00B32BE8"/>
    <w:rsid w:val="00B32D87"/>
    <w:rsid w:val="00B55D91"/>
    <w:rsid w:val="00B62110"/>
    <w:rsid w:val="00B87889"/>
    <w:rsid w:val="00BA2FAA"/>
    <w:rsid w:val="00BA64E8"/>
    <w:rsid w:val="00BC0A9F"/>
    <w:rsid w:val="00BF5CA4"/>
    <w:rsid w:val="00C01544"/>
    <w:rsid w:val="00C075E3"/>
    <w:rsid w:val="00C16DC9"/>
    <w:rsid w:val="00C325DC"/>
    <w:rsid w:val="00C45643"/>
    <w:rsid w:val="00C51D20"/>
    <w:rsid w:val="00C92BE2"/>
    <w:rsid w:val="00CA0D93"/>
    <w:rsid w:val="00CC2CCB"/>
    <w:rsid w:val="00CC4215"/>
    <w:rsid w:val="00CF535B"/>
    <w:rsid w:val="00CF6395"/>
    <w:rsid w:val="00D0053B"/>
    <w:rsid w:val="00D15B5E"/>
    <w:rsid w:val="00D15EA6"/>
    <w:rsid w:val="00D32198"/>
    <w:rsid w:val="00D4198C"/>
    <w:rsid w:val="00D44538"/>
    <w:rsid w:val="00D5611B"/>
    <w:rsid w:val="00D67A11"/>
    <w:rsid w:val="00D93664"/>
    <w:rsid w:val="00DB0C22"/>
    <w:rsid w:val="00DC72CB"/>
    <w:rsid w:val="00DD5758"/>
    <w:rsid w:val="00DF660B"/>
    <w:rsid w:val="00E04F40"/>
    <w:rsid w:val="00E40C48"/>
    <w:rsid w:val="00EA7610"/>
    <w:rsid w:val="00EB6B4A"/>
    <w:rsid w:val="00EF21E9"/>
    <w:rsid w:val="00F1798E"/>
    <w:rsid w:val="00F22FD0"/>
    <w:rsid w:val="00F249FE"/>
    <w:rsid w:val="00F32FCE"/>
    <w:rsid w:val="00F341E5"/>
    <w:rsid w:val="00F6402E"/>
    <w:rsid w:val="00F82804"/>
    <w:rsid w:val="00F829F6"/>
    <w:rsid w:val="00FA0142"/>
    <w:rsid w:val="00FA2E51"/>
    <w:rsid w:val="00FB0715"/>
    <w:rsid w:val="00FB66A3"/>
    <w:rsid w:val="00FD1283"/>
    <w:rsid w:val="00FD1E59"/>
    <w:rsid w:val="00FF4A2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21ACF711"/>
  <w15:chartTrackingRefBased/>
  <w15:docId w15:val="{E992C914-4E93-574E-899A-AA50CBA3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B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B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B4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B4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6B4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B6B4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6B4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6B4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6B4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B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B4A"/>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B4A"/>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B6B4A"/>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B6B4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6B4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6B4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6B4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6B4A"/>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B6B4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EB6B4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B4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6B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6B4A"/>
    <w:rPr>
      <w:i/>
      <w:iCs/>
      <w:color w:val="404040" w:themeColor="text1" w:themeTint="BF"/>
    </w:rPr>
  </w:style>
  <w:style w:type="paragraph" w:styleId="ListParagraph">
    <w:name w:val="List Paragraph"/>
    <w:basedOn w:val="Normal"/>
    <w:uiPriority w:val="34"/>
    <w:qFormat/>
    <w:rsid w:val="00EB6B4A"/>
    <w:pPr>
      <w:ind w:left="720"/>
      <w:contextualSpacing/>
    </w:pPr>
  </w:style>
  <w:style w:type="character" w:styleId="IntenseEmphasis">
    <w:name w:val="Intense Emphasis"/>
    <w:basedOn w:val="DefaultParagraphFont"/>
    <w:uiPriority w:val="21"/>
    <w:qFormat/>
    <w:rsid w:val="00EB6B4A"/>
    <w:rPr>
      <w:i/>
      <w:iCs/>
      <w:color w:val="2F5496" w:themeColor="accent1" w:themeShade="BF"/>
    </w:rPr>
  </w:style>
  <w:style w:type="paragraph" w:styleId="IntenseQuote">
    <w:name w:val="Intense Quote"/>
    <w:basedOn w:val="Normal"/>
    <w:next w:val="Normal"/>
    <w:link w:val="IntenseQuoteChar"/>
    <w:uiPriority w:val="30"/>
    <w:qFormat/>
    <w:rsid w:val="00EB6B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B4A"/>
    <w:rPr>
      <w:i/>
      <w:iCs/>
      <w:color w:val="2F5496" w:themeColor="accent1" w:themeShade="BF"/>
    </w:rPr>
  </w:style>
  <w:style w:type="character" w:styleId="IntenseReference">
    <w:name w:val="Intense Reference"/>
    <w:basedOn w:val="DefaultParagraphFont"/>
    <w:uiPriority w:val="32"/>
    <w:qFormat/>
    <w:rsid w:val="00EB6B4A"/>
    <w:rPr>
      <w:b/>
      <w:bCs/>
      <w:smallCaps/>
      <w:color w:val="2F5496" w:themeColor="accent1" w:themeShade="BF"/>
      <w:spacing w:val="5"/>
    </w:rPr>
  </w:style>
  <w:style w:type="table" w:styleId="TableGrid">
    <w:name w:val="Table Grid"/>
    <w:basedOn w:val="TableNormal"/>
    <w:uiPriority w:val="39"/>
    <w:rsid w:val="007E1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204F"/>
    <w:rPr>
      <w:b/>
      <w:bCs/>
    </w:rPr>
  </w:style>
  <w:style w:type="paragraph" w:styleId="Header">
    <w:name w:val="header"/>
    <w:basedOn w:val="Normal"/>
    <w:link w:val="HeaderChar"/>
    <w:uiPriority w:val="99"/>
    <w:unhideWhenUsed/>
    <w:rsid w:val="00F249FE"/>
    <w:pPr>
      <w:tabs>
        <w:tab w:val="center" w:pos="4680"/>
        <w:tab w:val="right" w:pos="9360"/>
      </w:tabs>
    </w:pPr>
  </w:style>
  <w:style w:type="character" w:customStyle="1" w:styleId="HeaderChar">
    <w:name w:val="Header Char"/>
    <w:basedOn w:val="DefaultParagraphFont"/>
    <w:link w:val="Header"/>
    <w:uiPriority w:val="99"/>
    <w:rsid w:val="00F249FE"/>
  </w:style>
  <w:style w:type="character" w:styleId="PageNumber">
    <w:name w:val="page number"/>
    <w:basedOn w:val="DefaultParagraphFont"/>
    <w:uiPriority w:val="99"/>
    <w:semiHidden/>
    <w:unhideWhenUsed/>
    <w:rsid w:val="00F249FE"/>
  </w:style>
  <w:style w:type="paragraph" w:styleId="Footer">
    <w:name w:val="footer"/>
    <w:basedOn w:val="Normal"/>
    <w:link w:val="FooterChar"/>
    <w:uiPriority w:val="99"/>
    <w:unhideWhenUsed/>
    <w:rsid w:val="00F249FE"/>
    <w:pPr>
      <w:tabs>
        <w:tab w:val="center" w:pos="4680"/>
        <w:tab w:val="right" w:pos="9360"/>
      </w:tabs>
    </w:pPr>
  </w:style>
  <w:style w:type="character" w:customStyle="1" w:styleId="FooterChar">
    <w:name w:val="Footer Char"/>
    <w:basedOn w:val="DefaultParagraphFont"/>
    <w:link w:val="Footer"/>
    <w:uiPriority w:val="99"/>
    <w:rsid w:val="00F24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21</Pages>
  <Words>4967</Words>
  <Characters>28312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Gazit</dc:creator>
  <cp:keywords/>
  <dc:description/>
  <cp:lastModifiedBy>Tamar Gazit</cp:lastModifiedBy>
  <cp:revision>145</cp:revision>
  <dcterms:created xsi:type="dcterms:W3CDTF">2025-04-12T19:59:00Z</dcterms:created>
  <dcterms:modified xsi:type="dcterms:W3CDTF">2025-04-13T20:43:00Z</dcterms:modified>
</cp:coreProperties>
</file>