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EDC7F" w14:textId="77777777" w:rsidR="0044534C" w:rsidRDefault="0044534C" w:rsidP="0044534C">
      <w:pPr>
        <w:spacing w:line="480" w:lineRule="auto"/>
        <w:jc w:val="center"/>
      </w:pPr>
    </w:p>
    <w:p w14:paraId="52CDC8E1" w14:textId="77777777" w:rsidR="0044534C" w:rsidRDefault="0044534C" w:rsidP="0044534C">
      <w:pPr>
        <w:spacing w:line="480" w:lineRule="auto"/>
        <w:jc w:val="center"/>
      </w:pPr>
    </w:p>
    <w:p w14:paraId="3BA04A49" w14:textId="77777777" w:rsidR="0044534C" w:rsidRDefault="0044534C" w:rsidP="0044534C">
      <w:pPr>
        <w:spacing w:line="480" w:lineRule="auto"/>
        <w:jc w:val="center"/>
      </w:pPr>
    </w:p>
    <w:p w14:paraId="0F4EB79A" w14:textId="77777777" w:rsidR="0044534C" w:rsidRDefault="0044534C" w:rsidP="0044534C">
      <w:pPr>
        <w:spacing w:line="480" w:lineRule="auto"/>
        <w:jc w:val="center"/>
      </w:pPr>
    </w:p>
    <w:p w14:paraId="59E643B2" w14:textId="77777777" w:rsidR="0044534C" w:rsidRDefault="0044534C" w:rsidP="0044534C">
      <w:pPr>
        <w:spacing w:line="480" w:lineRule="auto"/>
        <w:jc w:val="center"/>
      </w:pPr>
    </w:p>
    <w:p w14:paraId="71BFD8B4" w14:textId="77777777" w:rsidR="0044534C" w:rsidRDefault="0044534C" w:rsidP="0044534C">
      <w:pPr>
        <w:spacing w:line="480" w:lineRule="auto"/>
        <w:jc w:val="center"/>
      </w:pPr>
    </w:p>
    <w:p w14:paraId="67E977CF" w14:textId="77777777" w:rsidR="0044534C" w:rsidRDefault="0044534C" w:rsidP="0044534C">
      <w:pPr>
        <w:spacing w:line="480" w:lineRule="auto"/>
        <w:jc w:val="center"/>
      </w:pPr>
    </w:p>
    <w:p w14:paraId="02A63B29" w14:textId="77777777" w:rsidR="0044534C" w:rsidRDefault="0044534C" w:rsidP="0044534C">
      <w:pPr>
        <w:spacing w:line="480" w:lineRule="auto"/>
        <w:jc w:val="center"/>
      </w:pPr>
    </w:p>
    <w:p w14:paraId="62DF9B42" w14:textId="77777777" w:rsidR="0044534C" w:rsidRDefault="0044534C" w:rsidP="0044534C">
      <w:pPr>
        <w:spacing w:line="480" w:lineRule="auto"/>
        <w:jc w:val="center"/>
        <w:rPr>
          <w:b/>
          <w:bCs/>
        </w:rPr>
      </w:pPr>
      <w:r>
        <w:rPr>
          <w:b/>
          <w:bCs/>
        </w:rPr>
        <w:t>Predicting Life Satisfaction from the Personality Traits Extraversion and Neuroticism: A Linear Mixed Effects Modeling Approach</w:t>
      </w:r>
    </w:p>
    <w:p w14:paraId="10813467" w14:textId="77777777" w:rsidR="0044534C" w:rsidRDefault="0044534C" w:rsidP="0044534C">
      <w:pPr>
        <w:spacing w:line="480" w:lineRule="auto"/>
        <w:jc w:val="center"/>
      </w:pPr>
    </w:p>
    <w:p w14:paraId="47C41E6C" w14:textId="77777777" w:rsidR="0044534C" w:rsidRDefault="0044534C" w:rsidP="0044534C">
      <w:pPr>
        <w:spacing w:line="480" w:lineRule="auto"/>
        <w:jc w:val="center"/>
      </w:pPr>
    </w:p>
    <w:p w14:paraId="49CFE841" w14:textId="77777777" w:rsidR="0044534C" w:rsidRDefault="0044534C" w:rsidP="0044534C">
      <w:pPr>
        <w:spacing w:line="480" w:lineRule="auto"/>
        <w:jc w:val="center"/>
      </w:pPr>
    </w:p>
    <w:p w14:paraId="480DE958" w14:textId="77777777" w:rsidR="0044534C" w:rsidRDefault="0044534C" w:rsidP="0044534C">
      <w:pPr>
        <w:spacing w:line="480" w:lineRule="auto"/>
        <w:jc w:val="center"/>
      </w:pPr>
    </w:p>
    <w:p w14:paraId="58BDA5BE" w14:textId="77777777" w:rsidR="0044534C" w:rsidRDefault="0044534C" w:rsidP="0044534C">
      <w:pPr>
        <w:spacing w:line="480" w:lineRule="auto"/>
        <w:jc w:val="center"/>
      </w:pPr>
      <w:r>
        <w:t>Tamar Gazit</w:t>
      </w:r>
    </w:p>
    <w:p w14:paraId="7E8C3C84" w14:textId="77777777" w:rsidR="0044534C" w:rsidRDefault="0044534C" w:rsidP="0044534C">
      <w:pPr>
        <w:spacing w:line="480" w:lineRule="auto"/>
        <w:jc w:val="center"/>
      </w:pPr>
      <w:r>
        <w:t>Department of Psychiatry, Dalhousie University</w:t>
      </w:r>
    </w:p>
    <w:p w14:paraId="64FA93A1" w14:textId="77777777" w:rsidR="0044534C" w:rsidRDefault="0044534C" w:rsidP="0044534C">
      <w:pPr>
        <w:spacing w:line="480" w:lineRule="auto"/>
        <w:jc w:val="center"/>
      </w:pPr>
      <w:r>
        <w:t>PSYR 6003: Fundamentals of Applied Statistics and Research Design</w:t>
      </w:r>
    </w:p>
    <w:p w14:paraId="7BFE751B" w14:textId="77777777" w:rsidR="0044534C" w:rsidRDefault="0044534C" w:rsidP="0044534C">
      <w:pPr>
        <w:spacing w:line="480" w:lineRule="auto"/>
        <w:jc w:val="center"/>
      </w:pPr>
      <w:r>
        <w:t>Dr. Sandra Meier</w:t>
      </w:r>
    </w:p>
    <w:p w14:paraId="6BDF830B" w14:textId="063F30F3" w:rsidR="0044534C" w:rsidRDefault="0044534C" w:rsidP="0044534C">
      <w:pPr>
        <w:spacing w:line="480" w:lineRule="auto"/>
        <w:jc w:val="center"/>
      </w:pPr>
      <w:r>
        <w:t>1</w:t>
      </w:r>
      <w:r w:rsidR="008166F1">
        <w:t>3</w:t>
      </w:r>
      <w:r>
        <w:t xml:space="preserve"> </w:t>
      </w:r>
      <w:r>
        <w:t>April</w:t>
      </w:r>
      <w:r>
        <w:t xml:space="preserve"> 2025</w:t>
      </w:r>
    </w:p>
    <w:p w14:paraId="78B32EF5" w14:textId="77777777" w:rsidR="0044534C" w:rsidRDefault="0044534C" w:rsidP="0044534C">
      <w:pPr>
        <w:spacing w:line="480" w:lineRule="auto"/>
        <w:jc w:val="center"/>
      </w:pPr>
    </w:p>
    <w:p w14:paraId="3737290E" w14:textId="15EE9092" w:rsidR="0044534C" w:rsidRPr="0044534C" w:rsidRDefault="0044534C" w:rsidP="0044534C">
      <w:r>
        <w:rPr>
          <w:b/>
          <w:bCs/>
        </w:rPr>
        <w:br w:type="page"/>
      </w:r>
    </w:p>
    <w:p w14:paraId="5161DEF3" w14:textId="49114955" w:rsidR="00AC32CA" w:rsidRDefault="00AC32CA" w:rsidP="00AC32CA">
      <w:pPr>
        <w:spacing w:line="480" w:lineRule="auto"/>
        <w:jc w:val="center"/>
        <w:rPr>
          <w:b/>
          <w:bCs/>
        </w:rPr>
      </w:pPr>
      <w:r>
        <w:rPr>
          <w:b/>
          <w:bCs/>
        </w:rPr>
        <w:lastRenderedPageBreak/>
        <w:t>Predicting Life Satisfaction from the Personality Traits Extraversion and Neuroticism: A</w:t>
      </w:r>
      <w:r w:rsidR="0026652F">
        <w:rPr>
          <w:b/>
          <w:bCs/>
        </w:rPr>
        <w:t xml:space="preserve"> Linear</w:t>
      </w:r>
      <w:r>
        <w:rPr>
          <w:b/>
          <w:bCs/>
        </w:rPr>
        <w:t xml:space="preserve"> Mixed Effects Modeling Approach</w:t>
      </w:r>
    </w:p>
    <w:p w14:paraId="32B2FB47" w14:textId="3D79E1D2" w:rsidR="00AC32CA" w:rsidRDefault="00AC32CA" w:rsidP="00AC32CA">
      <w:pPr>
        <w:spacing w:line="480" w:lineRule="auto"/>
        <w:ind w:firstLine="720"/>
      </w:pPr>
      <w:r>
        <w:t xml:space="preserve">This study examined how </w:t>
      </w:r>
      <w:r>
        <w:rPr>
          <w:rStyle w:val="Strong"/>
          <w:rFonts w:eastAsiaTheme="majorEastAsia"/>
          <w:b w:val="0"/>
          <w:bCs w:val="0"/>
        </w:rPr>
        <w:t>e</w:t>
      </w:r>
      <w:r w:rsidRPr="00D8365D">
        <w:rPr>
          <w:rStyle w:val="Strong"/>
          <w:rFonts w:eastAsiaTheme="majorEastAsia"/>
          <w:b w:val="0"/>
          <w:bCs w:val="0"/>
        </w:rPr>
        <w:t>xtraversion</w:t>
      </w:r>
      <w:r>
        <w:t xml:space="preserve"> and </w:t>
      </w:r>
      <w:r>
        <w:rPr>
          <w:rStyle w:val="Strong"/>
          <w:rFonts w:eastAsiaTheme="majorEastAsia"/>
          <w:b w:val="0"/>
          <w:bCs w:val="0"/>
        </w:rPr>
        <w:t>n</w:t>
      </w:r>
      <w:r w:rsidRPr="00D8365D">
        <w:rPr>
          <w:rStyle w:val="Strong"/>
          <w:rFonts w:eastAsiaTheme="majorEastAsia"/>
          <w:b w:val="0"/>
          <w:bCs w:val="0"/>
        </w:rPr>
        <w:t>euroticism</w:t>
      </w:r>
      <w:r>
        <w:t xml:space="preserve"> predict </w:t>
      </w:r>
      <w:r>
        <w:rPr>
          <w:rStyle w:val="Strong"/>
          <w:rFonts w:eastAsiaTheme="majorEastAsia"/>
          <w:b w:val="0"/>
          <w:bCs w:val="0"/>
        </w:rPr>
        <w:t>s</w:t>
      </w:r>
      <w:r w:rsidRPr="00D8365D">
        <w:rPr>
          <w:rStyle w:val="Strong"/>
          <w:rFonts w:eastAsiaTheme="majorEastAsia"/>
          <w:b w:val="0"/>
          <w:bCs w:val="0"/>
        </w:rPr>
        <w:t xml:space="preserve">atisfaction with </w:t>
      </w:r>
      <w:r>
        <w:rPr>
          <w:rStyle w:val="Strong"/>
          <w:rFonts w:eastAsiaTheme="majorEastAsia"/>
          <w:b w:val="0"/>
          <w:bCs w:val="0"/>
        </w:rPr>
        <w:t>l</w:t>
      </w:r>
      <w:r w:rsidRPr="00D8365D">
        <w:rPr>
          <w:rStyle w:val="Strong"/>
          <w:rFonts w:eastAsiaTheme="majorEastAsia"/>
          <w:b w:val="0"/>
          <w:bCs w:val="0"/>
        </w:rPr>
        <w:t xml:space="preserve">ife </w:t>
      </w:r>
      <w:r w:rsidR="00B9783A">
        <w:t>across time using</w:t>
      </w:r>
      <w:r w:rsidR="00046DE6">
        <w:t xml:space="preserve"> a</w:t>
      </w:r>
      <w:r w:rsidR="00B9783A">
        <w:t xml:space="preserve"> linear mixed</w:t>
      </w:r>
      <w:r w:rsidR="001133FF">
        <w:t xml:space="preserve"> effects</w:t>
      </w:r>
      <w:r w:rsidR="00B9783A">
        <w:t xml:space="preserve"> </w:t>
      </w:r>
      <w:r w:rsidR="00046DE6">
        <w:t xml:space="preserve">models </w:t>
      </w:r>
      <w:r w:rsidR="00B9783A">
        <w:t>framework</w:t>
      </w:r>
      <w:r>
        <w:t xml:space="preserve">. </w:t>
      </w:r>
      <w:r w:rsidR="00B9783A">
        <w:t xml:space="preserve">This modeling approach was selected because the dataset consisted of repeated daily assessments (Level 1) nested within individual participants (Level 2), and </w:t>
      </w:r>
      <w:r w:rsidR="00C30AA2">
        <w:t>linear mixed models</w:t>
      </w:r>
      <w:r w:rsidR="00B9783A">
        <w:t xml:space="preserve"> account for the non-independence of observations within individuals. </w:t>
      </w:r>
      <w:r>
        <w:t xml:space="preserve">The study tested three hypotheses: </w:t>
      </w:r>
      <w:r w:rsidRPr="006B646E">
        <w:rPr>
          <w:rStyle w:val="Strong"/>
          <w:rFonts w:eastAsiaTheme="majorEastAsia"/>
          <w:b w:val="0"/>
          <w:bCs w:val="0"/>
        </w:rPr>
        <w:t>(H1)</w:t>
      </w:r>
      <w:r>
        <w:t xml:space="preserve"> Extraversion will be positively associated with satisfaction with life; </w:t>
      </w:r>
      <w:r w:rsidRPr="006B646E">
        <w:rPr>
          <w:rStyle w:val="Strong"/>
          <w:rFonts w:eastAsiaTheme="majorEastAsia"/>
          <w:b w:val="0"/>
          <w:bCs w:val="0"/>
        </w:rPr>
        <w:t>(H2)</w:t>
      </w:r>
      <w:r>
        <w:rPr>
          <w:rStyle w:val="Strong"/>
          <w:rFonts w:eastAsiaTheme="majorEastAsia"/>
        </w:rPr>
        <w:t xml:space="preserve"> </w:t>
      </w:r>
      <w:r>
        <w:t>Neuroticism will be negatively associated with satisfaction with life;</w:t>
      </w:r>
      <w:r w:rsidRPr="006B646E">
        <w:rPr>
          <w:rStyle w:val="Strong"/>
          <w:rFonts w:eastAsiaTheme="majorEastAsia"/>
          <w:b w:val="0"/>
          <w:bCs w:val="0"/>
        </w:rPr>
        <w:t xml:space="preserve"> (H3)</w:t>
      </w:r>
      <w:r>
        <w:rPr>
          <w:rStyle w:val="Strong"/>
          <w:rFonts w:eastAsiaTheme="majorEastAsia"/>
          <w:b w:val="0"/>
          <w:bCs w:val="0"/>
        </w:rPr>
        <w:t xml:space="preserve"> </w:t>
      </w:r>
      <w:r>
        <w:t xml:space="preserve">The effects of extraversion and neuroticism on satisfaction with life will be similar at Level 1 (within participants over time) and Level 2 (between participants). </w:t>
      </w:r>
    </w:p>
    <w:p w14:paraId="175E94F5" w14:textId="77777777" w:rsidR="00AC32CA" w:rsidRPr="006B646E" w:rsidRDefault="00AC32CA" w:rsidP="00AC32CA">
      <w:pPr>
        <w:spacing w:line="480" w:lineRule="auto"/>
        <w:jc w:val="center"/>
        <w:rPr>
          <w:b/>
          <w:bCs/>
        </w:rPr>
      </w:pPr>
      <w:r>
        <w:rPr>
          <w:b/>
          <w:bCs/>
        </w:rPr>
        <w:t>Results</w:t>
      </w:r>
    </w:p>
    <w:p w14:paraId="22853D64" w14:textId="77777777" w:rsidR="00AC32CA" w:rsidRDefault="00AC32CA" w:rsidP="00AC32CA">
      <w:pPr>
        <w:spacing w:line="480" w:lineRule="auto"/>
        <w:rPr>
          <w:b/>
          <w:bCs/>
        </w:rPr>
      </w:pPr>
      <w:r>
        <w:rPr>
          <w:b/>
          <w:bCs/>
        </w:rPr>
        <w:t>Data Preparation</w:t>
      </w:r>
    </w:p>
    <w:p w14:paraId="6C90FC9E" w14:textId="67CBAC83" w:rsidR="00AC32CA" w:rsidRPr="001B4940" w:rsidRDefault="001B4940" w:rsidP="001B4940">
      <w:pPr>
        <w:spacing w:line="480" w:lineRule="auto"/>
        <w:ind w:firstLine="720"/>
      </w:pPr>
      <w:r>
        <w:t xml:space="preserve">The dataset was imported from SPSS format using the Haven package and prepared for analysis in R. The data included 4252 observations across 19 variables in long format, with repeated daily measures nested within </w:t>
      </w:r>
      <w:r w:rsidR="005C39B7">
        <w:t xml:space="preserve">263 </w:t>
      </w:r>
      <w:r>
        <w:t>individual participants. To facilitate multilevel modeling, the participant ID variable (</w:t>
      </w:r>
      <w:r>
        <w:rPr>
          <w:i/>
          <w:iCs/>
        </w:rPr>
        <w:t>id</w:t>
      </w:r>
      <w:r>
        <w:t xml:space="preserve">) was recoded as a factor. </w:t>
      </w:r>
      <w:r w:rsidR="00AC32CA">
        <w:t xml:space="preserve">This step helped ensure that the </w:t>
      </w:r>
      <w:proofErr w:type="spellStart"/>
      <w:proofErr w:type="gramStart"/>
      <w:r w:rsidR="00AC32CA">
        <w:t>lmer</w:t>
      </w:r>
      <w:proofErr w:type="spellEnd"/>
      <w:r w:rsidR="00AC32CA">
        <w:t>(</w:t>
      </w:r>
      <w:proofErr w:type="gramEnd"/>
      <w:r w:rsidR="00AC32CA">
        <w:t>) function would treat individual participants as separate grouping units in the mixed-effects models. Additionally, the day variable (</w:t>
      </w:r>
      <w:r w:rsidR="00AC32CA">
        <w:rPr>
          <w:i/>
          <w:iCs/>
        </w:rPr>
        <w:t>day</w:t>
      </w:r>
      <w:r w:rsidR="00AC32CA">
        <w:t xml:space="preserve">) was converted for a factor to a numeric variable. This step was taken in case day-level trends were explored later, and to make it easier to include time as a continuous variable if needed. No data were removed for missingness because </w:t>
      </w:r>
      <w:r w:rsidR="00A4435C">
        <w:t>linear mixed model</w:t>
      </w:r>
      <w:r>
        <w:t>s</w:t>
      </w:r>
      <w:r w:rsidR="00AC32CA">
        <w:t xml:space="preserve"> are great at handling incomplete data under the assumption of missing at random</w:t>
      </w:r>
      <w:r>
        <w:t>.</w:t>
      </w:r>
    </w:p>
    <w:p w14:paraId="11382AB1" w14:textId="77777777" w:rsidR="00AC32CA" w:rsidRDefault="00AC32CA" w:rsidP="00AC32CA">
      <w:pPr>
        <w:spacing w:line="480" w:lineRule="auto"/>
        <w:rPr>
          <w:b/>
          <w:bCs/>
        </w:rPr>
      </w:pPr>
      <w:r>
        <w:rPr>
          <w:b/>
          <w:bCs/>
        </w:rPr>
        <w:t>Descriptive Statistics and Bivariate Correlations</w:t>
      </w:r>
    </w:p>
    <w:p w14:paraId="6F9C174A" w14:textId="77777777" w:rsidR="006B161E" w:rsidRDefault="00AC32CA" w:rsidP="00AC32CA">
      <w:pPr>
        <w:spacing w:line="480" w:lineRule="auto"/>
        <w:ind w:firstLine="720"/>
      </w:pPr>
      <w:r>
        <w:lastRenderedPageBreak/>
        <w:t xml:space="preserve">Descriptive statistics and bivariate Pearson correlations were calculated to examine the average levels and interrelationships among the primary study variables: satisfaction with life, extraversion, and neuroticism. Table 1 presents the means, standard deviations, and correlation coefficients, along with their 95% confidence intervals. </w:t>
      </w:r>
    </w:p>
    <w:p w14:paraId="32CA945B" w14:textId="48B0F14E" w:rsidR="00AC32CA" w:rsidRDefault="00AC32CA" w:rsidP="006B161E">
      <w:pPr>
        <w:spacing w:line="480" w:lineRule="auto"/>
        <w:ind w:firstLine="720"/>
      </w:pPr>
      <w:r>
        <w:t>On average, participants reported moderately high satisfaction with life (</w:t>
      </w:r>
      <w:r w:rsidRPr="00F54806">
        <w:rPr>
          <w:i/>
          <w:iCs/>
        </w:rPr>
        <w:t>M</w:t>
      </w:r>
      <w:r w:rsidRPr="00F54806">
        <w:t xml:space="preserve"> = 4.43</w:t>
      </w:r>
      <w:r>
        <w:t>,</w:t>
      </w:r>
      <w:r w:rsidRPr="00F54806">
        <w:t xml:space="preserve"> </w:t>
      </w:r>
      <w:r w:rsidRPr="00F54806">
        <w:rPr>
          <w:i/>
          <w:iCs/>
        </w:rPr>
        <w:t>SD</w:t>
      </w:r>
      <w:r w:rsidRPr="00F54806">
        <w:t xml:space="preserve"> = 1.61)</w:t>
      </w:r>
      <w:r w:rsidR="006B161E">
        <w:t xml:space="preserve">, </w:t>
      </w:r>
      <w:r w:rsidR="006B161E">
        <w:t>based on a composite of items rated from 1 (strongly disagree) to 7 (strongly agree). This suggests that, overall, participants tended to agree with positive statements about their life satisfaction.</w:t>
      </w:r>
      <w:r w:rsidR="006B161E">
        <w:t xml:space="preserve"> </w:t>
      </w:r>
      <w:r>
        <w:t>Extraversion scores averaged 4.18 (</w:t>
      </w:r>
      <w:r w:rsidRPr="00F81D4F">
        <w:rPr>
          <w:i/>
          <w:iCs/>
        </w:rPr>
        <w:t>SD</w:t>
      </w:r>
      <w:r>
        <w:t xml:space="preserve"> = 1.52), </w:t>
      </w:r>
      <w:r w:rsidR="006B161E">
        <w:t xml:space="preserve">indicating that participants generally reported being somewhat more outgoing, energetic, and socially engaged than not in their day-to-day experiences. </w:t>
      </w:r>
      <w:r w:rsidRPr="00F54806">
        <w:t xml:space="preserve">Neuroticism scores averaged </w:t>
      </w:r>
      <w:r w:rsidRPr="00F54806">
        <w:rPr>
          <w:i/>
          <w:iCs/>
        </w:rPr>
        <w:t>M</w:t>
      </w:r>
      <w:r w:rsidRPr="00F54806">
        <w:t xml:space="preserve"> = 3.49 (</w:t>
      </w:r>
      <w:r w:rsidRPr="00F54806">
        <w:rPr>
          <w:i/>
          <w:iCs/>
        </w:rPr>
        <w:t>SD</w:t>
      </w:r>
      <w:r w:rsidRPr="00F54806">
        <w:t xml:space="preserve"> = 1.54), </w:t>
      </w:r>
      <w:r>
        <w:t>suggesting that, on average, participants reported experiencing a moderate</w:t>
      </w:r>
      <w:r w:rsidR="006B161E">
        <w:t>ly low</w:t>
      </w:r>
      <w:r>
        <w:t xml:space="preserve"> level of negative emotionality, such as anxiety, irritability, or mood swings, in their daily lives.</w:t>
      </w:r>
    </w:p>
    <w:p w14:paraId="20AA288C" w14:textId="48E96AB4" w:rsidR="00AC32CA" w:rsidRDefault="00AC32CA" w:rsidP="00AC32CA">
      <w:pPr>
        <w:spacing w:line="480" w:lineRule="auto"/>
        <w:ind w:firstLine="720"/>
      </w:pPr>
      <w:r>
        <w:t xml:space="preserve">Bivariate Pearson correlations revealed statistically significant associations among all main study variables. Extraversion was positively correlated with satisfaction with life, </w:t>
      </w:r>
      <w:r>
        <w:rPr>
          <w:rStyle w:val="Emphasis"/>
          <w:rFonts w:eastAsiaTheme="majorEastAsia"/>
        </w:rPr>
        <w:t>r</w:t>
      </w:r>
      <w:r>
        <w:t xml:space="preserve"> = .38, </w:t>
      </w:r>
      <w:r>
        <w:rPr>
          <w:rStyle w:val="Emphasis"/>
          <w:rFonts w:eastAsiaTheme="majorEastAsia"/>
        </w:rPr>
        <w:t>p</w:t>
      </w:r>
      <w:r>
        <w:t xml:space="preserve"> &lt; .01, 95% CI [.35, .41]. This means that </w:t>
      </w:r>
      <w:r w:rsidR="005C0D6B">
        <w:t>p</w:t>
      </w:r>
      <w:r w:rsidR="005C0D6B">
        <w:t xml:space="preserve">articipants who felt more outgoing and energetic also reported greater life satisfaction. The small </w:t>
      </w:r>
      <w:r w:rsidR="005C0D6B">
        <w:rPr>
          <w:rStyle w:val="Emphasis"/>
          <w:rFonts w:eastAsiaTheme="majorEastAsia"/>
        </w:rPr>
        <w:t>p</w:t>
      </w:r>
      <w:r w:rsidR="005C0D6B">
        <w:t>-value and confidence interval that excludes zero indicate this is a statistically significant and reliable association.</w:t>
      </w:r>
      <w:r>
        <w:t xml:space="preserve"> </w:t>
      </w:r>
      <w:r w:rsidRPr="001405D2">
        <w:rPr>
          <w:rStyle w:val="Strong"/>
          <w:rFonts w:eastAsiaTheme="majorEastAsia"/>
          <w:b w:val="0"/>
          <w:bCs w:val="0"/>
        </w:rPr>
        <w:t xml:space="preserve">Neuroticism </w:t>
      </w:r>
      <w:r>
        <w:rPr>
          <w:rStyle w:val="Strong"/>
          <w:rFonts w:eastAsiaTheme="majorEastAsia"/>
          <w:b w:val="0"/>
          <w:bCs w:val="0"/>
        </w:rPr>
        <w:t xml:space="preserve">showed a negative correlation with </w:t>
      </w:r>
      <w:r w:rsidRPr="001405D2">
        <w:rPr>
          <w:rStyle w:val="Strong"/>
          <w:rFonts w:eastAsiaTheme="majorEastAsia"/>
          <w:b w:val="0"/>
          <w:bCs w:val="0"/>
        </w:rPr>
        <w:t>satisfaction with life</w:t>
      </w:r>
      <w:r>
        <w:t xml:space="preserve">, </w:t>
      </w:r>
      <w:r>
        <w:rPr>
          <w:rStyle w:val="Emphasis"/>
          <w:rFonts w:eastAsiaTheme="majorEastAsia"/>
        </w:rPr>
        <w:t>r</w:t>
      </w:r>
      <w:r>
        <w:t xml:space="preserve"> = –.45, </w:t>
      </w:r>
      <w:r>
        <w:rPr>
          <w:rStyle w:val="Emphasis"/>
          <w:rFonts w:eastAsiaTheme="majorEastAsia"/>
        </w:rPr>
        <w:t>p</w:t>
      </w:r>
      <w:r>
        <w:t xml:space="preserve"> &lt; .01, 95% CI [–.47, –.43]. This suggests that participants who </w:t>
      </w:r>
      <w:r w:rsidR="00356CC4">
        <w:t>reported higher neuroticism</w:t>
      </w:r>
      <w:r>
        <w:t xml:space="preserve"> tended to report lower life satisfaction. Again, the small </w:t>
      </w:r>
      <w:r w:rsidRPr="00356CC4">
        <w:rPr>
          <w:i/>
          <w:iCs/>
        </w:rPr>
        <w:t>p</w:t>
      </w:r>
      <w:r>
        <w:t xml:space="preserve">-value and confidence interval that </w:t>
      </w:r>
      <w:r w:rsidR="00356CC4">
        <w:t>excludes</w:t>
      </w:r>
      <w:r>
        <w:t xml:space="preserve"> zero confirm that this negative relationship is statistically reliable. Extraversion and neuroticism were also negatively correlated with one another, </w:t>
      </w:r>
      <w:r>
        <w:rPr>
          <w:rStyle w:val="Emphasis"/>
          <w:rFonts w:eastAsiaTheme="majorEastAsia"/>
        </w:rPr>
        <w:t>r</w:t>
      </w:r>
      <w:r>
        <w:t xml:space="preserve"> = –.33, </w:t>
      </w:r>
      <w:r>
        <w:rPr>
          <w:rStyle w:val="Emphasis"/>
          <w:rFonts w:eastAsiaTheme="majorEastAsia"/>
        </w:rPr>
        <w:t>p</w:t>
      </w:r>
      <w:r>
        <w:t xml:space="preserve"> &lt; .01, 95% CI [–.36, –.31]. This means that participants who scored higher </w:t>
      </w:r>
      <w:r>
        <w:lastRenderedPageBreak/>
        <w:t xml:space="preserve">on neuroticism were more likely to score lower on extraversion. This pattern </w:t>
      </w:r>
      <w:r w:rsidR="00FF75C2">
        <w:t>was</w:t>
      </w:r>
      <w:r>
        <w:t xml:space="preserve"> statistically significant </w:t>
      </w:r>
      <w:r w:rsidR="00FF75C2">
        <w:t>(</w:t>
      </w:r>
      <w:r w:rsidR="00FF75C2">
        <w:rPr>
          <w:i/>
          <w:iCs/>
        </w:rPr>
        <w:t xml:space="preserve">p </w:t>
      </w:r>
      <w:r w:rsidR="00FF75C2">
        <w:t xml:space="preserve">&lt; .01) </w:t>
      </w:r>
      <w:r>
        <w:t xml:space="preserve">with a confidence interval that does not include zero. </w:t>
      </w:r>
    </w:p>
    <w:p w14:paraId="3AE25342" w14:textId="77777777" w:rsidR="00AC32CA" w:rsidRPr="00F81D4F" w:rsidRDefault="00AC32CA" w:rsidP="00AC32CA">
      <w:pPr>
        <w:widowControl w:val="0"/>
        <w:autoSpaceDE w:val="0"/>
        <w:autoSpaceDN w:val="0"/>
        <w:adjustRightInd w:val="0"/>
        <w:rPr>
          <w:b/>
          <w:bCs/>
          <w:lang w:val="en-US"/>
        </w:rPr>
      </w:pPr>
      <w:r w:rsidRPr="00F81D4F">
        <w:rPr>
          <w:b/>
          <w:bCs/>
          <w:lang w:val="en-US"/>
        </w:rPr>
        <w:t xml:space="preserve">Table 1 </w:t>
      </w:r>
    </w:p>
    <w:p w14:paraId="17A0E0FF" w14:textId="77777777" w:rsidR="00AC32CA" w:rsidRDefault="00AC32CA" w:rsidP="00AC32CA">
      <w:pPr>
        <w:widowControl w:val="0"/>
        <w:autoSpaceDE w:val="0"/>
        <w:autoSpaceDN w:val="0"/>
        <w:adjustRightInd w:val="0"/>
        <w:rPr>
          <w:lang w:val="en-US"/>
        </w:rPr>
      </w:pPr>
      <w:r>
        <w:rPr>
          <w:lang w:val="en-US"/>
        </w:rPr>
        <w:t xml:space="preserve"> </w:t>
      </w:r>
    </w:p>
    <w:p w14:paraId="11E45E32" w14:textId="77777777" w:rsidR="00AC32CA" w:rsidRDefault="00AC32CA" w:rsidP="00AC32CA">
      <w:pPr>
        <w:widowControl w:val="0"/>
        <w:autoSpaceDE w:val="0"/>
        <w:autoSpaceDN w:val="0"/>
        <w:adjustRightInd w:val="0"/>
        <w:rPr>
          <w:i/>
          <w:iCs/>
          <w:lang w:val="en-US"/>
        </w:rPr>
      </w:pPr>
      <w:r>
        <w:rPr>
          <w:i/>
          <w:iCs/>
          <w:lang w:val="en-US"/>
        </w:rPr>
        <w:t>Means, standard deviations, and correlations with confidence intervals</w:t>
      </w:r>
    </w:p>
    <w:p w14:paraId="00FE698D" w14:textId="77777777" w:rsidR="00AC32CA" w:rsidRDefault="00AC32CA" w:rsidP="00AC32CA">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tblGrid>
      <w:tr w:rsidR="00AC32CA" w14:paraId="050E2B34" w14:textId="77777777" w:rsidTr="004D199F">
        <w:tc>
          <w:tcPr>
            <w:tcW w:w="1835" w:type="dxa"/>
            <w:tcBorders>
              <w:top w:val="single" w:sz="6" w:space="0" w:color="auto"/>
              <w:left w:val="nil"/>
              <w:bottom w:val="single" w:sz="4" w:space="0" w:color="000000" w:themeColor="text1"/>
              <w:right w:val="nil"/>
            </w:tcBorders>
            <w:vAlign w:val="center"/>
          </w:tcPr>
          <w:p w14:paraId="3B240157" w14:textId="77777777" w:rsidR="00AC32CA" w:rsidRPr="00DE339C" w:rsidRDefault="00AC32CA" w:rsidP="00A43138">
            <w:pPr>
              <w:widowControl w:val="0"/>
              <w:autoSpaceDE w:val="0"/>
              <w:autoSpaceDN w:val="0"/>
              <w:adjustRightInd w:val="0"/>
              <w:rPr>
                <w:b/>
                <w:bCs/>
                <w:lang w:val="en-US"/>
              </w:rPr>
            </w:pPr>
            <w:r w:rsidRPr="00DE339C">
              <w:rPr>
                <w:b/>
                <w:bCs/>
                <w:lang w:val="en-US"/>
              </w:rPr>
              <w:t>Variable</w:t>
            </w:r>
          </w:p>
        </w:tc>
        <w:tc>
          <w:tcPr>
            <w:tcW w:w="1225" w:type="dxa"/>
            <w:tcBorders>
              <w:top w:val="single" w:sz="6" w:space="0" w:color="auto"/>
              <w:left w:val="nil"/>
              <w:bottom w:val="single" w:sz="4" w:space="0" w:color="000000" w:themeColor="text1"/>
              <w:right w:val="nil"/>
            </w:tcBorders>
            <w:vAlign w:val="center"/>
          </w:tcPr>
          <w:p w14:paraId="6F544C82" w14:textId="77777777" w:rsidR="00AC32CA" w:rsidRPr="00DE339C" w:rsidRDefault="00AC32CA" w:rsidP="00A43138">
            <w:pPr>
              <w:widowControl w:val="0"/>
              <w:autoSpaceDE w:val="0"/>
              <w:autoSpaceDN w:val="0"/>
              <w:adjustRightInd w:val="0"/>
              <w:jc w:val="center"/>
              <w:rPr>
                <w:b/>
                <w:bCs/>
                <w:lang w:val="en-US"/>
              </w:rPr>
            </w:pPr>
            <w:r w:rsidRPr="00DE339C">
              <w:rPr>
                <w:b/>
                <w:bCs/>
                <w:i/>
                <w:iCs/>
                <w:lang w:val="en-US"/>
              </w:rPr>
              <w:t>M</w:t>
            </w:r>
          </w:p>
        </w:tc>
        <w:tc>
          <w:tcPr>
            <w:tcW w:w="1224" w:type="dxa"/>
            <w:tcBorders>
              <w:top w:val="single" w:sz="6" w:space="0" w:color="auto"/>
              <w:left w:val="nil"/>
              <w:bottom w:val="single" w:sz="4" w:space="0" w:color="000000" w:themeColor="text1"/>
              <w:right w:val="nil"/>
            </w:tcBorders>
            <w:vAlign w:val="center"/>
          </w:tcPr>
          <w:p w14:paraId="1007FDBB" w14:textId="77777777" w:rsidR="00AC32CA" w:rsidRPr="00DE339C" w:rsidRDefault="00AC32CA" w:rsidP="00A43138">
            <w:pPr>
              <w:widowControl w:val="0"/>
              <w:autoSpaceDE w:val="0"/>
              <w:autoSpaceDN w:val="0"/>
              <w:adjustRightInd w:val="0"/>
              <w:jc w:val="center"/>
              <w:rPr>
                <w:b/>
                <w:bCs/>
                <w:lang w:val="en-US"/>
              </w:rPr>
            </w:pPr>
            <w:r w:rsidRPr="00DE339C">
              <w:rPr>
                <w:b/>
                <w:bCs/>
                <w:i/>
                <w:iCs/>
                <w:lang w:val="en-US"/>
              </w:rPr>
              <w:t>SD</w:t>
            </w:r>
          </w:p>
        </w:tc>
        <w:tc>
          <w:tcPr>
            <w:tcW w:w="1224" w:type="dxa"/>
            <w:tcBorders>
              <w:top w:val="single" w:sz="6" w:space="0" w:color="auto"/>
              <w:left w:val="nil"/>
              <w:bottom w:val="single" w:sz="4" w:space="0" w:color="000000" w:themeColor="text1"/>
              <w:right w:val="nil"/>
            </w:tcBorders>
            <w:vAlign w:val="center"/>
          </w:tcPr>
          <w:p w14:paraId="1D9DB4FE" w14:textId="77777777" w:rsidR="00AC32CA" w:rsidRPr="00DE339C" w:rsidRDefault="00AC32CA" w:rsidP="00A43138">
            <w:pPr>
              <w:widowControl w:val="0"/>
              <w:autoSpaceDE w:val="0"/>
              <w:autoSpaceDN w:val="0"/>
              <w:adjustRightInd w:val="0"/>
              <w:jc w:val="center"/>
              <w:rPr>
                <w:b/>
                <w:bCs/>
                <w:lang w:val="en-US"/>
              </w:rPr>
            </w:pPr>
            <w:r w:rsidRPr="00DE339C">
              <w:rPr>
                <w:b/>
                <w:bCs/>
                <w:lang w:val="en-US"/>
              </w:rPr>
              <w:t>1</w:t>
            </w:r>
          </w:p>
        </w:tc>
        <w:tc>
          <w:tcPr>
            <w:tcW w:w="1224" w:type="dxa"/>
            <w:tcBorders>
              <w:top w:val="single" w:sz="6" w:space="0" w:color="auto"/>
              <w:left w:val="nil"/>
              <w:bottom w:val="single" w:sz="4" w:space="0" w:color="000000" w:themeColor="text1"/>
              <w:right w:val="nil"/>
            </w:tcBorders>
            <w:vAlign w:val="center"/>
          </w:tcPr>
          <w:p w14:paraId="463547BE" w14:textId="77777777" w:rsidR="00AC32CA" w:rsidRPr="00DE339C" w:rsidRDefault="00AC32CA" w:rsidP="00A43138">
            <w:pPr>
              <w:widowControl w:val="0"/>
              <w:autoSpaceDE w:val="0"/>
              <w:autoSpaceDN w:val="0"/>
              <w:adjustRightInd w:val="0"/>
              <w:jc w:val="center"/>
              <w:rPr>
                <w:b/>
                <w:bCs/>
                <w:lang w:val="en-US"/>
              </w:rPr>
            </w:pPr>
            <w:r w:rsidRPr="00DE339C">
              <w:rPr>
                <w:b/>
                <w:bCs/>
                <w:lang w:val="en-US"/>
              </w:rPr>
              <w:t>2</w:t>
            </w:r>
          </w:p>
        </w:tc>
      </w:tr>
      <w:tr w:rsidR="00AC32CA" w14:paraId="018ACC4B" w14:textId="77777777" w:rsidTr="004D199F">
        <w:tc>
          <w:tcPr>
            <w:tcW w:w="1835" w:type="dxa"/>
            <w:tcBorders>
              <w:top w:val="single" w:sz="4" w:space="0" w:color="000000" w:themeColor="text1"/>
              <w:left w:val="nil"/>
              <w:bottom w:val="nil"/>
              <w:right w:val="nil"/>
            </w:tcBorders>
            <w:vAlign w:val="center"/>
          </w:tcPr>
          <w:p w14:paraId="23B60FD9" w14:textId="07455E7F" w:rsidR="00AC32CA" w:rsidRDefault="00AC32CA" w:rsidP="004D199F">
            <w:pPr>
              <w:widowControl w:val="0"/>
              <w:autoSpaceDE w:val="0"/>
              <w:autoSpaceDN w:val="0"/>
              <w:adjustRightInd w:val="0"/>
              <w:spacing w:after="120"/>
              <w:rPr>
                <w:lang w:val="en-US"/>
              </w:rPr>
            </w:pPr>
            <w:proofErr w:type="spellStart"/>
            <w:r>
              <w:rPr>
                <w:lang w:val="en-US"/>
              </w:rPr>
              <w:t>swl</w:t>
            </w:r>
            <w:proofErr w:type="spellEnd"/>
          </w:p>
        </w:tc>
        <w:tc>
          <w:tcPr>
            <w:tcW w:w="1225" w:type="dxa"/>
            <w:tcBorders>
              <w:top w:val="single" w:sz="4" w:space="0" w:color="000000" w:themeColor="text1"/>
              <w:left w:val="nil"/>
              <w:bottom w:val="nil"/>
              <w:right w:val="nil"/>
            </w:tcBorders>
            <w:vAlign w:val="center"/>
          </w:tcPr>
          <w:p w14:paraId="1A8ACC6E" w14:textId="77777777" w:rsidR="00AC32CA" w:rsidRDefault="00AC32CA" w:rsidP="00A43138">
            <w:pPr>
              <w:widowControl w:val="0"/>
              <w:tabs>
                <w:tab w:val="decimal" w:leader="dot" w:pos="428"/>
              </w:tabs>
              <w:autoSpaceDE w:val="0"/>
              <w:autoSpaceDN w:val="0"/>
              <w:adjustRightInd w:val="0"/>
              <w:rPr>
                <w:lang w:val="en-US"/>
              </w:rPr>
            </w:pPr>
            <w:r>
              <w:rPr>
                <w:lang w:val="en-US"/>
              </w:rPr>
              <w:t>4.43</w:t>
            </w:r>
          </w:p>
        </w:tc>
        <w:tc>
          <w:tcPr>
            <w:tcW w:w="1224" w:type="dxa"/>
            <w:tcBorders>
              <w:top w:val="single" w:sz="4" w:space="0" w:color="000000" w:themeColor="text1"/>
              <w:left w:val="nil"/>
              <w:bottom w:val="nil"/>
              <w:right w:val="nil"/>
            </w:tcBorders>
            <w:vAlign w:val="center"/>
          </w:tcPr>
          <w:p w14:paraId="59D14E35" w14:textId="77777777" w:rsidR="00AC32CA" w:rsidRDefault="00AC32CA" w:rsidP="00A43138">
            <w:pPr>
              <w:widowControl w:val="0"/>
              <w:tabs>
                <w:tab w:val="decimal" w:leader="dot" w:pos="428"/>
              </w:tabs>
              <w:autoSpaceDE w:val="0"/>
              <w:autoSpaceDN w:val="0"/>
              <w:adjustRightInd w:val="0"/>
              <w:rPr>
                <w:lang w:val="en-US"/>
              </w:rPr>
            </w:pPr>
            <w:r>
              <w:rPr>
                <w:lang w:val="en-US"/>
              </w:rPr>
              <w:t>1.61</w:t>
            </w:r>
          </w:p>
        </w:tc>
        <w:tc>
          <w:tcPr>
            <w:tcW w:w="1224" w:type="dxa"/>
            <w:tcBorders>
              <w:top w:val="single" w:sz="4" w:space="0" w:color="000000" w:themeColor="text1"/>
              <w:left w:val="nil"/>
              <w:bottom w:val="nil"/>
              <w:right w:val="nil"/>
            </w:tcBorders>
            <w:vAlign w:val="center"/>
          </w:tcPr>
          <w:p w14:paraId="4DB23493" w14:textId="77777777" w:rsidR="00AC32CA" w:rsidRDefault="00AC32CA" w:rsidP="00A43138">
            <w:pPr>
              <w:widowControl w:val="0"/>
              <w:tabs>
                <w:tab w:val="decimal" w:leader="dot" w:pos="428"/>
              </w:tabs>
              <w:autoSpaceDE w:val="0"/>
              <w:autoSpaceDN w:val="0"/>
              <w:adjustRightInd w:val="0"/>
              <w:rPr>
                <w:lang w:val="en-US"/>
              </w:rPr>
            </w:pPr>
            <w:r>
              <w:rPr>
                <w:lang w:val="en-US"/>
              </w:rPr>
              <w:t xml:space="preserve"> </w:t>
            </w:r>
          </w:p>
        </w:tc>
        <w:tc>
          <w:tcPr>
            <w:tcW w:w="1224" w:type="dxa"/>
            <w:tcBorders>
              <w:top w:val="single" w:sz="4" w:space="0" w:color="000000" w:themeColor="text1"/>
              <w:left w:val="nil"/>
              <w:bottom w:val="nil"/>
              <w:right w:val="nil"/>
            </w:tcBorders>
            <w:vAlign w:val="center"/>
          </w:tcPr>
          <w:p w14:paraId="4897C5C4" w14:textId="77777777" w:rsidR="00AC32CA" w:rsidRDefault="00AC32CA" w:rsidP="00A43138">
            <w:pPr>
              <w:widowControl w:val="0"/>
              <w:tabs>
                <w:tab w:val="decimal" w:leader="dot" w:pos="428"/>
              </w:tabs>
              <w:autoSpaceDE w:val="0"/>
              <w:autoSpaceDN w:val="0"/>
              <w:adjustRightInd w:val="0"/>
              <w:rPr>
                <w:lang w:val="en-US"/>
              </w:rPr>
            </w:pPr>
            <w:r>
              <w:rPr>
                <w:lang w:val="en-US"/>
              </w:rPr>
              <w:t xml:space="preserve"> </w:t>
            </w:r>
          </w:p>
        </w:tc>
      </w:tr>
      <w:tr w:rsidR="00AC32CA" w14:paraId="36D7B938" w14:textId="77777777" w:rsidTr="00A43138">
        <w:tc>
          <w:tcPr>
            <w:tcW w:w="1835" w:type="dxa"/>
            <w:tcBorders>
              <w:top w:val="nil"/>
              <w:left w:val="nil"/>
              <w:bottom w:val="nil"/>
              <w:right w:val="nil"/>
            </w:tcBorders>
            <w:vAlign w:val="center"/>
          </w:tcPr>
          <w:p w14:paraId="59232075" w14:textId="432CE003" w:rsidR="00AC32CA" w:rsidRDefault="00AC32CA" w:rsidP="00A43138">
            <w:pPr>
              <w:widowControl w:val="0"/>
              <w:autoSpaceDE w:val="0"/>
              <w:autoSpaceDN w:val="0"/>
              <w:adjustRightInd w:val="0"/>
              <w:rPr>
                <w:lang w:val="en-US"/>
              </w:rPr>
            </w:pPr>
            <w:proofErr w:type="spellStart"/>
            <w:proofErr w:type="gramStart"/>
            <w:r>
              <w:rPr>
                <w:lang w:val="en-US"/>
              </w:rPr>
              <w:t>tipm.E</w:t>
            </w:r>
            <w:proofErr w:type="spellEnd"/>
            <w:proofErr w:type="gramEnd"/>
          </w:p>
        </w:tc>
        <w:tc>
          <w:tcPr>
            <w:tcW w:w="1225" w:type="dxa"/>
            <w:tcBorders>
              <w:top w:val="nil"/>
              <w:left w:val="nil"/>
              <w:bottom w:val="nil"/>
              <w:right w:val="nil"/>
            </w:tcBorders>
            <w:vAlign w:val="center"/>
          </w:tcPr>
          <w:p w14:paraId="33A107F7" w14:textId="77777777" w:rsidR="00AC32CA" w:rsidRDefault="00AC32CA" w:rsidP="00A43138">
            <w:pPr>
              <w:widowControl w:val="0"/>
              <w:tabs>
                <w:tab w:val="decimal" w:leader="dot" w:pos="428"/>
              </w:tabs>
              <w:autoSpaceDE w:val="0"/>
              <w:autoSpaceDN w:val="0"/>
              <w:adjustRightInd w:val="0"/>
              <w:rPr>
                <w:lang w:val="en-US"/>
              </w:rPr>
            </w:pPr>
            <w:r>
              <w:rPr>
                <w:lang w:val="en-US"/>
              </w:rPr>
              <w:t>4.18</w:t>
            </w:r>
          </w:p>
        </w:tc>
        <w:tc>
          <w:tcPr>
            <w:tcW w:w="1224" w:type="dxa"/>
            <w:tcBorders>
              <w:top w:val="nil"/>
              <w:left w:val="nil"/>
              <w:bottom w:val="nil"/>
              <w:right w:val="nil"/>
            </w:tcBorders>
            <w:vAlign w:val="center"/>
          </w:tcPr>
          <w:p w14:paraId="43BB51F1" w14:textId="77777777" w:rsidR="00AC32CA" w:rsidRDefault="00AC32CA" w:rsidP="00A43138">
            <w:pPr>
              <w:widowControl w:val="0"/>
              <w:tabs>
                <w:tab w:val="decimal" w:leader="dot" w:pos="428"/>
              </w:tabs>
              <w:autoSpaceDE w:val="0"/>
              <w:autoSpaceDN w:val="0"/>
              <w:adjustRightInd w:val="0"/>
              <w:rPr>
                <w:lang w:val="en-US"/>
              </w:rPr>
            </w:pPr>
            <w:r>
              <w:rPr>
                <w:lang w:val="en-US"/>
              </w:rPr>
              <w:t>1.52</w:t>
            </w:r>
          </w:p>
        </w:tc>
        <w:tc>
          <w:tcPr>
            <w:tcW w:w="1224" w:type="dxa"/>
            <w:tcBorders>
              <w:top w:val="nil"/>
              <w:left w:val="nil"/>
              <w:bottom w:val="nil"/>
              <w:right w:val="nil"/>
            </w:tcBorders>
            <w:vAlign w:val="center"/>
          </w:tcPr>
          <w:p w14:paraId="044361C5" w14:textId="77777777" w:rsidR="00AC32CA" w:rsidRDefault="00AC32CA" w:rsidP="00A43138">
            <w:pPr>
              <w:widowControl w:val="0"/>
              <w:tabs>
                <w:tab w:val="decimal" w:leader="dot" w:pos="428"/>
              </w:tabs>
              <w:autoSpaceDE w:val="0"/>
              <w:autoSpaceDN w:val="0"/>
              <w:adjustRightInd w:val="0"/>
              <w:rPr>
                <w:lang w:val="en-US"/>
              </w:rPr>
            </w:pPr>
            <w:r>
              <w:rPr>
                <w:lang w:val="en-US"/>
              </w:rPr>
              <w:t>.38**</w:t>
            </w:r>
          </w:p>
        </w:tc>
        <w:tc>
          <w:tcPr>
            <w:tcW w:w="1224" w:type="dxa"/>
            <w:tcBorders>
              <w:top w:val="nil"/>
              <w:left w:val="nil"/>
              <w:bottom w:val="nil"/>
              <w:right w:val="nil"/>
            </w:tcBorders>
            <w:vAlign w:val="center"/>
          </w:tcPr>
          <w:p w14:paraId="280A8687" w14:textId="77777777" w:rsidR="00AC32CA" w:rsidRDefault="00AC32CA" w:rsidP="00A43138">
            <w:pPr>
              <w:widowControl w:val="0"/>
              <w:tabs>
                <w:tab w:val="decimal" w:leader="dot" w:pos="428"/>
              </w:tabs>
              <w:autoSpaceDE w:val="0"/>
              <w:autoSpaceDN w:val="0"/>
              <w:adjustRightInd w:val="0"/>
              <w:rPr>
                <w:lang w:val="en-US"/>
              </w:rPr>
            </w:pPr>
            <w:r>
              <w:rPr>
                <w:lang w:val="en-US"/>
              </w:rPr>
              <w:t xml:space="preserve"> </w:t>
            </w:r>
          </w:p>
        </w:tc>
      </w:tr>
      <w:tr w:rsidR="00AC32CA" w14:paraId="15784649" w14:textId="77777777" w:rsidTr="00A43138">
        <w:tc>
          <w:tcPr>
            <w:tcW w:w="1835" w:type="dxa"/>
            <w:tcBorders>
              <w:top w:val="nil"/>
              <w:left w:val="nil"/>
              <w:bottom w:val="nil"/>
              <w:right w:val="nil"/>
            </w:tcBorders>
            <w:vAlign w:val="center"/>
          </w:tcPr>
          <w:p w14:paraId="0CE95A76" w14:textId="77777777" w:rsidR="00AC32CA" w:rsidRDefault="00AC32CA" w:rsidP="00A4313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6F400E6C" w14:textId="77777777" w:rsidR="00AC32CA" w:rsidRDefault="00AC32CA" w:rsidP="00A4313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07762FDC" w14:textId="77777777" w:rsidR="00AC32CA" w:rsidRDefault="00AC32CA" w:rsidP="00A4313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5C16D0AE" w14:textId="77777777" w:rsidR="00AC32CA" w:rsidRDefault="00AC32CA" w:rsidP="004D199F">
            <w:pPr>
              <w:widowControl w:val="0"/>
              <w:tabs>
                <w:tab w:val="decimal" w:leader="dot" w:pos="428"/>
              </w:tabs>
              <w:autoSpaceDE w:val="0"/>
              <w:autoSpaceDN w:val="0"/>
              <w:adjustRightInd w:val="0"/>
              <w:spacing w:after="120"/>
              <w:rPr>
                <w:lang w:val="en-US"/>
              </w:rPr>
            </w:pPr>
            <w:r>
              <w:rPr>
                <w:sz w:val="20"/>
                <w:szCs w:val="20"/>
                <w:lang w:val="en-US"/>
              </w:rPr>
              <w:t>[.35, .41]</w:t>
            </w:r>
          </w:p>
        </w:tc>
        <w:tc>
          <w:tcPr>
            <w:tcW w:w="1224" w:type="dxa"/>
            <w:tcBorders>
              <w:top w:val="nil"/>
              <w:left w:val="nil"/>
              <w:bottom w:val="nil"/>
              <w:right w:val="nil"/>
            </w:tcBorders>
            <w:vAlign w:val="center"/>
          </w:tcPr>
          <w:p w14:paraId="7250812B" w14:textId="77777777" w:rsidR="00AC32CA" w:rsidRDefault="00AC32CA" w:rsidP="00A43138">
            <w:pPr>
              <w:widowControl w:val="0"/>
              <w:tabs>
                <w:tab w:val="decimal" w:leader="dot" w:pos="428"/>
              </w:tabs>
              <w:autoSpaceDE w:val="0"/>
              <w:autoSpaceDN w:val="0"/>
              <w:adjustRightInd w:val="0"/>
              <w:rPr>
                <w:lang w:val="en-US"/>
              </w:rPr>
            </w:pPr>
            <w:r>
              <w:rPr>
                <w:lang w:val="en-US"/>
              </w:rPr>
              <w:t xml:space="preserve"> </w:t>
            </w:r>
          </w:p>
        </w:tc>
      </w:tr>
      <w:tr w:rsidR="00AC32CA" w14:paraId="70DC4187" w14:textId="77777777" w:rsidTr="004D199F">
        <w:tc>
          <w:tcPr>
            <w:tcW w:w="1835" w:type="dxa"/>
            <w:tcBorders>
              <w:top w:val="nil"/>
              <w:left w:val="nil"/>
              <w:right w:val="nil"/>
            </w:tcBorders>
            <w:vAlign w:val="center"/>
          </w:tcPr>
          <w:p w14:paraId="7FBB80A2" w14:textId="017BDA11" w:rsidR="00AC32CA" w:rsidRDefault="00AC32CA" w:rsidP="00A43138">
            <w:pPr>
              <w:widowControl w:val="0"/>
              <w:autoSpaceDE w:val="0"/>
              <w:autoSpaceDN w:val="0"/>
              <w:adjustRightInd w:val="0"/>
              <w:rPr>
                <w:lang w:val="en-US"/>
              </w:rPr>
            </w:pPr>
            <w:proofErr w:type="spellStart"/>
            <w:proofErr w:type="gramStart"/>
            <w:r>
              <w:rPr>
                <w:lang w:val="en-US"/>
              </w:rPr>
              <w:t>tipm.N</w:t>
            </w:r>
            <w:proofErr w:type="spellEnd"/>
            <w:proofErr w:type="gramEnd"/>
          </w:p>
        </w:tc>
        <w:tc>
          <w:tcPr>
            <w:tcW w:w="1225" w:type="dxa"/>
            <w:tcBorders>
              <w:top w:val="nil"/>
              <w:left w:val="nil"/>
              <w:right w:val="nil"/>
            </w:tcBorders>
            <w:vAlign w:val="center"/>
          </w:tcPr>
          <w:p w14:paraId="5742B718" w14:textId="77777777" w:rsidR="00AC32CA" w:rsidRDefault="00AC32CA" w:rsidP="00A43138">
            <w:pPr>
              <w:widowControl w:val="0"/>
              <w:tabs>
                <w:tab w:val="decimal" w:leader="dot" w:pos="428"/>
              </w:tabs>
              <w:autoSpaceDE w:val="0"/>
              <w:autoSpaceDN w:val="0"/>
              <w:adjustRightInd w:val="0"/>
              <w:rPr>
                <w:lang w:val="en-US"/>
              </w:rPr>
            </w:pPr>
            <w:r>
              <w:rPr>
                <w:lang w:val="en-US"/>
              </w:rPr>
              <w:t>3.49</w:t>
            </w:r>
          </w:p>
        </w:tc>
        <w:tc>
          <w:tcPr>
            <w:tcW w:w="1224" w:type="dxa"/>
            <w:tcBorders>
              <w:top w:val="nil"/>
              <w:left w:val="nil"/>
              <w:right w:val="nil"/>
            </w:tcBorders>
            <w:vAlign w:val="center"/>
          </w:tcPr>
          <w:p w14:paraId="3576F14E" w14:textId="77777777" w:rsidR="00AC32CA" w:rsidRDefault="00AC32CA" w:rsidP="00A43138">
            <w:pPr>
              <w:widowControl w:val="0"/>
              <w:tabs>
                <w:tab w:val="decimal" w:leader="dot" w:pos="428"/>
              </w:tabs>
              <w:autoSpaceDE w:val="0"/>
              <w:autoSpaceDN w:val="0"/>
              <w:adjustRightInd w:val="0"/>
              <w:rPr>
                <w:lang w:val="en-US"/>
              </w:rPr>
            </w:pPr>
            <w:r>
              <w:rPr>
                <w:lang w:val="en-US"/>
              </w:rPr>
              <w:t>1.54</w:t>
            </w:r>
          </w:p>
        </w:tc>
        <w:tc>
          <w:tcPr>
            <w:tcW w:w="1224" w:type="dxa"/>
            <w:tcBorders>
              <w:top w:val="nil"/>
              <w:left w:val="nil"/>
              <w:right w:val="nil"/>
            </w:tcBorders>
            <w:vAlign w:val="center"/>
          </w:tcPr>
          <w:p w14:paraId="2F141228" w14:textId="369DD5A8" w:rsidR="00AC32CA" w:rsidRDefault="008D6302" w:rsidP="00A43138">
            <w:pPr>
              <w:widowControl w:val="0"/>
              <w:tabs>
                <w:tab w:val="decimal" w:leader="dot" w:pos="428"/>
              </w:tabs>
              <w:autoSpaceDE w:val="0"/>
              <w:autoSpaceDN w:val="0"/>
              <w:adjustRightInd w:val="0"/>
              <w:rPr>
                <w:lang w:val="en-US"/>
              </w:rPr>
            </w:pPr>
            <w:r>
              <w:t>–</w:t>
            </w:r>
            <w:r w:rsidR="00AC32CA">
              <w:rPr>
                <w:lang w:val="en-US"/>
              </w:rPr>
              <w:t>.45**</w:t>
            </w:r>
          </w:p>
        </w:tc>
        <w:tc>
          <w:tcPr>
            <w:tcW w:w="1224" w:type="dxa"/>
            <w:tcBorders>
              <w:top w:val="nil"/>
              <w:left w:val="nil"/>
              <w:right w:val="nil"/>
            </w:tcBorders>
            <w:vAlign w:val="center"/>
          </w:tcPr>
          <w:p w14:paraId="300953B0" w14:textId="704EE4D6" w:rsidR="00AC32CA" w:rsidRDefault="008D6302" w:rsidP="00A43138">
            <w:pPr>
              <w:widowControl w:val="0"/>
              <w:tabs>
                <w:tab w:val="decimal" w:leader="dot" w:pos="428"/>
              </w:tabs>
              <w:autoSpaceDE w:val="0"/>
              <w:autoSpaceDN w:val="0"/>
              <w:adjustRightInd w:val="0"/>
              <w:rPr>
                <w:lang w:val="en-US"/>
              </w:rPr>
            </w:pPr>
            <w:r>
              <w:t>–</w:t>
            </w:r>
            <w:r w:rsidR="00AC32CA">
              <w:rPr>
                <w:lang w:val="en-US"/>
              </w:rPr>
              <w:t>.33**</w:t>
            </w:r>
          </w:p>
        </w:tc>
      </w:tr>
      <w:tr w:rsidR="00AC32CA" w14:paraId="2533E283" w14:textId="77777777" w:rsidTr="004D199F">
        <w:tc>
          <w:tcPr>
            <w:tcW w:w="1835" w:type="dxa"/>
            <w:tcBorders>
              <w:top w:val="nil"/>
              <w:left w:val="nil"/>
              <w:bottom w:val="single" w:sz="4" w:space="0" w:color="000000" w:themeColor="text1"/>
              <w:right w:val="nil"/>
            </w:tcBorders>
            <w:vAlign w:val="center"/>
          </w:tcPr>
          <w:p w14:paraId="4CCAD9E5" w14:textId="77777777" w:rsidR="00AC32CA" w:rsidRDefault="00AC32CA" w:rsidP="00A43138">
            <w:pPr>
              <w:widowControl w:val="0"/>
              <w:autoSpaceDE w:val="0"/>
              <w:autoSpaceDN w:val="0"/>
              <w:adjustRightInd w:val="0"/>
              <w:rPr>
                <w:lang w:val="en-US"/>
              </w:rPr>
            </w:pPr>
            <w:r>
              <w:rPr>
                <w:lang w:val="en-US"/>
              </w:rPr>
              <w:t xml:space="preserve"> </w:t>
            </w:r>
          </w:p>
        </w:tc>
        <w:tc>
          <w:tcPr>
            <w:tcW w:w="1225" w:type="dxa"/>
            <w:tcBorders>
              <w:top w:val="nil"/>
              <w:left w:val="nil"/>
              <w:bottom w:val="single" w:sz="4" w:space="0" w:color="000000" w:themeColor="text1"/>
              <w:right w:val="nil"/>
            </w:tcBorders>
            <w:vAlign w:val="center"/>
          </w:tcPr>
          <w:p w14:paraId="1D15F7CA" w14:textId="77777777" w:rsidR="00AC32CA" w:rsidRDefault="00AC32CA" w:rsidP="00A4313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4" w:space="0" w:color="000000" w:themeColor="text1"/>
              <w:right w:val="nil"/>
            </w:tcBorders>
            <w:vAlign w:val="center"/>
          </w:tcPr>
          <w:p w14:paraId="6ECFD2CD" w14:textId="77777777" w:rsidR="00AC32CA" w:rsidRDefault="00AC32CA" w:rsidP="00A4313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4" w:space="0" w:color="000000" w:themeColor="text1"/>
              <w:right w:val="nil"/>
            </w:tcBorders>
            <w:vAlign w:val="center"/>
          </w:tcPr>
          <w:p w14:paraId="35D6FB2F" w14:textId="19B80C4A" w:rsidR="00AC32CA" w:rsidRDefault="00AC32CA" w:rsidP="00A43138">
            <w:pPr>
              <w:widowControl w:val="0"/>
              <w:tabs>
                <w:tab w:val="decimal" w:leader="dot" w:pos="428"/>
              </w:tabs>
              <w:autoSpaceDE w:val="0"/>
              <w:autoSpaceDN w:val="0"/>
              <w:adjustRightInd w:val="0"/>
              <w:rPr>
                <w:lang w:val="en-US"/>
              </w:rPr>
            </w:pPr>
            <w:r>
              <w:rPr>
                <w:sz w:val="20"/>
                <w:szCs w:val="20"/>
                <w:lang w:val="en-US"/>
              </w:rPr>
              <w:t>[</w:t>
            </w:r>
            <w:r w:rsidR="008D6302">
              <w:t>–</w:t>
            </w:r>
            <w:r>
              <w:rPr>
                <w:sz w:val="20"/>
                <w:szCs w:val="20"/>
                <w:lang w:val="en-US"/>
              </w:rPr>
              <w:t xml:space="preserve">.47, </w:t>
            </w:r>
            <w:r w:rsidR="008D6302">
              <w:t>–</w:t>
            </w:r>
            <w:r>
              <w:rPr>
                <w:sz w:val="20"/>
                <w:szCs w:val="20"/>
                <w:lang w:val="en-US"/>
              </w:rPr>
              <w:t>.43]</w:t>
            </w:r>
          </w:p>
        </w:tc>
        <w:tc>
          <w:tcPr>
            <w:tcW w:w="1224" w:type="dxa"/>
            <w:tcBorders>
              <w:top w:val="nil"/>
              <w:left w:val="nil"/>
              <w:bottom w:val="single" w:sz="4" w:space="0" w:color="000000" w:themeColor="text1"/>
              <w:right w:val="nil"/>
            </w:tcBorders>
            <w:vAlign w:val="center"/>
          </w:tcPr>
          <w:p w14:paraId="136F0588" w14:textId="5D7CC72D" w:rsidR="00AC32CA" w:rsidRDefault="00AC32CA" w:rsidP="00A43138">
            <w:pPr>
              <w:widowControl w:val="0"/>
              <w:tabs>
                <w:tab w:val="decimal" w:leader="dot" w:pos="428"/>
              </w:tabs>
              <w:autoSpaceDE w:val="0"/>
              <w:autoSpaceDN w:val="0"/>
              <w:adjustRightInd w:val="0"/>
              <w:rPr>
                <w:lang w:val="en-US"/>
              </w:rPr>
            </w:pPr>
            <w:r>
              <w:rPr>
                <w:sz w:val="20"/>
                <w:szCs w:val="20"/>
                <w:lang w:val="en-US"/>
              </w:rPr>
              <w:t>[</w:t>
            </w:r>
            <w:r w:rsidR="008D6302">
              <w:t>–</w:t>
            </w:r>
            <w:r>
              <w:rPr>
                <w:sz w:val="20"/>
                <w:szCs w:val="20"/>
                <w:lang w:val="en-US"/>
              </w:rPr>
              <w:t xml:space="preserve">.36, </w:t>
            </w:r>
            <w:r w:rsidR="008D6302">
              <w:t>–</w:t>
            </w:r>
            <w:r>
              <w:rPr>
                <w:sz w:val="20"/>
                <w:szCs w:val="20"/>
                <w:lang w:val="en-US"/>
              </w:rPr>
              <w:t>.31]</w:t>
            </w:r>
          </w:p>
        </w:tc>
      </w:tr>
    </w:tbl>
    <w:p w14:paraId="5C616167" w14:textId="77777777" w:rsidR="00AC32CA" w:rsidRDefault="00AC32CA" w:rsidP="00AC32CA">
      <w:pPr>
        <w:widowControl w:val="0"/>
        <w:autoSpaceDE w:val="0"/>
        <w:autoSpaceDN w:val="0"/>
        <w:adjustRightInd w:val="0"/>
        <w:rPr>
          <w:lang w:val="en-US"/>
        </w:rPr>
      </w:pPr>
    </w:p>
    <w:p w14:paraId="1EE2A2A8" w14:textId="77777777" w:rsidR="00AC32CA" w:rsidRDefault="00AC32CA" w:rsidP="00AC32CA">
      <w:pPr>
        <w:widowControl w:val="0"/>
        <w:autoSpaceDE w:val="0"/>
        <w:autoSpaceDN w:val="0"/>
        <w:adjustRightInd w:val="0"/>
        <w:rPr>
          <w:lang w:val="en-US"/>
        </w:rPr>
      </w:pPr>
      <w:r>
        <w:rPr>
          <w:i/>
          <w:iCs/>
          <w:lang w:val="en-US"/>
        </w:rPr>
        <w:t>Note.</w:t>
      </w:r>
      <w:r>
        <w:rPr>
          <w:lang w:val="en-US"/>
        </w:rPr>
        <w:t xml:space="preserve"> </w:t>
      </w:r>
      <w:r>
        <w:rPr>
          <w:i/>
          <w:iCs/>
          <w:lang w:val="en-US"/>
        </w:rPr>
        <w:t>M</w:t>
      </w:r>
      <w:r>
        <w:rPr>
          <w:lang w:val="en-US"/>
        </w:rPr>
        <w:t xml:space="preserve"> and </w:t>
      </w:r>
      <w:r>
        <w:rPr>
          <w:i/>
          <w:iCs/>
          <w:lang w:val="en-US"/>
        </w:rPr>
        <w:t>SD</w:t>
      </w:r>
      <w:r>
        <w:rPr>
          <w:lang w:val="en-US"/>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Pr>
          <w:lang w:val="en-US"/>
        </w:rPr>
        <w:t>indicates</w:t>
      </w:r>
      <w:proofErr w:type="gramEnd"/>
      <w:r>
        <w:rPr>
          <w:lang w:val="en-US"/>
        </w:rPr>
        <w:t xml:space="preserve"> </w:t>
      </w:r>
      <w:r>
        <w:rPr>
          <w:i/>
          <w:iCs/>
          <w:lang w:val="en-US"/>
        </w:rPr>
        <w:t>p</w:t>
      </w:r>
      <w:r>
        <w:rPr>
          <w:lang w:val="en-US"/>
        </w:rPr>
        <w:t xml:space="preserve"> &lt; .05. ** indicates </w:t>
      </w:r>
      <w:r>
        <w:rPr>
          <w:i/>
          <w:iCs/>
          <w:lang w:val="en-US"/>
        </w:rPr>
        <w:t>p</w:t>
      </w:r>
      <w:r>
        <w:rPr>
          <w:lang w:val="en-US"/>
        </w:rPr>
        <w:t xml:space="preserve"> &lt; .01.</w:t>
      </w:r>
    </w:p>
    <w:p w14:paraId="7786D2A1" w14:textId="77777777" w:rsidR="00AC32CA" w:rsidRPr="00461F70" w:rsidRDefault="00AC32CA" w:rsidP="00AC32CA">
      <w:pPr>
        <w:spacing w:line="480" w:lineRule="auto"/>
      </w:pPr>
    </w:p>
    <w:p w14:paraId="0A4B7542" w14:textId="77777777" w:rsidR="00AC32CA" w:rsidRDefault="00AC32CA" w:rsidP="00AC32CA">
      <w:pPr>
        <w:spacing w:line="480" w:lineRule="auto"/>
        <w:rPr>
          <w:b/>
          <w:bCs/>
        </w:rPr>
      </w:pPr>
      <w:r>
        <w:rPr>
          <w:b/>
          <w:bCs/>
        </w:rPr>
        <w:t>Univariate and Bivariate Visualizations</w:t>
      </w:r>
    </w:p>
    <w:p w14:paraId="0BDE27BE" w14:textId="77777777" w:rsidR="00AC32CA" w:rsidRDefault="00AC32CA" w:rsidP="00AC32CA">
      <w:pPr>
        <w:spacing w:line="480" w:lineRule="auto"/>
        <w:ind w:firstLine="720"/>
      </w:pPr>
      <w:r>
        <w:t>To better understand how the key variables were distributed, univariate histograms were created for satisfaction with life, extraversion, and neuroticism (see Figure 1). The histogram for satisfaction with life (left panel) shows a distribution that is moderately left-skewed. Many participants selected values close to the upper end of the scale (i.e., around 6), indicating that higher life satisfaction was commonly reported. However, scores were spread across the full range of the scale, meaning that a wide variety of satisfaction levels were represented in the data. There were no strong signs of a ceiling or floor effect.</w:t>
      </w:r>
    </w:p>
    <w:p w14:paraId="64A7516E" w14:textId="77777777" w:rsidR="00AC32CA" w:rsidRDefault="00AC32CA" w:rsidP="00AC32CA">
      <w:pPr>
        <w:spacing w:line="480" w:lineRule="auto"/>
        <w:ind w:firstLine="720"/>
      </w:pPr>
      <w:r>
        <w:t xml:space="preserve">In the top right panel, the distribution of extraversion appears approximately normal, with most responses clustering around the middle of the scale. This suggests that participants reported a range of extraversion levels, with no strong skew or extreme outliers. The distribution indicates a relatively even balance between individuals who considered themselves more or less extraverted. </w:t>
      </w:r>
    </w:p>
    <w:p w14:paraId="01EBC5A7" w14:textId="77777777" w:rsidR="00AC32CA" w:rsidRDefault="00AC32CA" w:rsidP="00AC32CA">
      <w:pPr>
        <w:spacing w:line="480" w:lineRule="auto"/>
        <w:ind w:firstLine="720"/>
        <w:rPr>
          <w:b/>
          <w:bCs/>
        </w:rPr>
      </w:pPr>
      <w:r>
        <w:lastRenderedPageBreak/>
        <w:t>The bottom right panel shows the distribution of neuroticism, which was positively skewed. Most responses were concentrated on the lower end of the scale, meaning that many participants reported low levels of neuroticism. A smaller number of participants reported high neuroticism scores, creating a long tail toward the higher end. This pattern suggests that while neuroticism was generally low in the sample, there was still meaningful variation.</w:t>
      </w:r>
      <w:r>
        <w:rPr>
          <w:b/>
          <w:bCs/>
        </w:rPr>
        <w:tab/>
      </w:r>
    </w:p>
    <w:p w14:paraId="4D0A3F3B" w14:textId="77777777" w:rsidR="00AC32CA" w:rsidRDefault="00AC32CA" w:rsidP="00AC32CA">
      <w:pPr>
        <w:spacing w:line="480" w:lineRule="auto"/>
        <w:rPr>
          <w:b/>
          <w:bCs/>
        </w:rPr>
      </w:pPr>
      <w:r>
        <w:rPr>
          <w:b/>
          <w:bCs/>
        </w:rPr>
        <w:t>Figure 1</w:t>
      </w:r>
    </w:p>
    <w:p w14:paraId="1D2890AE" w14:textId="77777777" w:rsidR="00AC32CA" w:rsidRDefault="00AC32CA" w:rsidP="00AC32CA">
      <w:pPr>
        <w:spacing w:line="480" w:lineRule="auto"/>
        <w:rPr>
          <w:i/>
          <w:iCs/>
        </w:rPr>
      </w:pPr>
      <w:r>
        <w:rPr>
          <w:i/>
          <w:iCs/>
        </w:rPr>
        <w:t>Univariate distributions of satisfaction with life, extraversion, and neuroticism</w:t>
      </w:r>
    </w:p>
    <w:p w14:paraId="38433050" w14:textId="77777777" w:rsidR="00AC32CA" w:rsidRDefault="00AC32CA" w:rsidP="00AC32CA">
      <w:pPr>
        <w:spacing w:line="480" w:lineRule="auto"/>
      </w:pPr>
      <w:r>
        <w:rPr>
          <w:noProof/>
        </w:rPr>
        <w:drawing>
          <wp:inline distT="0" distB="0" distL="0" distR="0" wp14:anchorId="1801BFA5" wp14:editId="3D34756D">
            <wp:extent cx="5298790" cy="3269848"/>
            <wp:effectExtent l="0" t="0" r="0" b="0"/>
            <wp:docPr id="1860491957" name="Picture 3" descr="A graph of different siz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91957" name="Picture 3" descr="A graph of different sizes and number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0196" cy="3375622"/>
                    </a:xfrm>
                    <a:prstGeom prst="rect">
                      <a:avLst/>
                    </a:prstGeom>
                  </pic:spPr>
                </pic:pic>
              </a:graphicData>
            </a:graphic>
          </wp:inline>
        </w:drawing>
      </w:r>
    </w:p>
    <w:p w14:paraId="04A14362" w14:textId="77777777" w:rsidR="00AC32CA" w:rsidRDefault="00AC32CA" w:rsidP="00AC32CA">
      <w:pPr>
        <w:spacing w:line="480" w:lineRule="auto"/>
      </w:pPr>
      <w:r>
        <w:rPr>
          <w:i/>
          <w:iCs/>
        </w:rPr>
        <w:t xml:space="preserve">Note. </w:t>
      </w:r>
      <w:proofErr w:type="spellStart"/>
      <w:r>
        <w:t>swl</w:t>
      </w:r>
      <w:proofErr w:type="spellEnd"/>
      <w:r>
        <w:t xml:space="preserve"> = satisfaction with life, </w:t>
      </w:r>
      <w:proofErr w:type="spellStart"/>
      <w:proofErr w:type="gramStart"/>
      <w:r>
        <w:t>tipm.E</w:t>
      </w:r>
      <w:proofErr w:type="spellEnd"/>
      <w:proofErr w:type="gramEnd"/>
      <w:r>
        <w:t xml:space="preserve"> = extraversion, </w:t>
      </w:r>
      <w:proofErr w:type="spellStart"/>
      <w:proofErr w:type="gramStart"/>
      <w:r>
        <w:t>tipm.N</w:t>
      </w:r>
      <w:proofErr w:type="spellEnd"/>
      <w:proofErr w:type="gramEnd"/>
      <w:r>
        <w:t xml:space="preserve"> = neuroticism.</w:t>
      </w:r>
    </w:p>
    <w:p w14:paraId="39A2C3AB" w14:textId="77777777" w:rsidR="00AC32CA" w:rsidRDefault="00AC32CA" w:rsidP="00AC32CA"/>
    <w:p w14:paraId="34395263" w14:textId="4BEFD09B" w:rsidR="00AC32CA" w:rsidRDefault="00AC32CA" w:rsidP="00AC32CA">
      <w:pPr>
        <w:spacing w:line="480" w:lineRule="auto"/>
        <w:ind w:firstLine="720"/>
      </w:pPr>
      <w:r>
        <w:t>To examine the relationships between the two personality traits and satisfaction with life, bivariate scatterplots were created with nonparametric smoothing lines (</w:t>
      </w:r>
      <w:r w:rsidR="00044F90">
        <w:t>l</w:t>
      </w:r>
      <w:r>
        <w:t xml:space="preserve">oess lines; see Figure 2). The left panel shows the relationship between extraversion and satisfaction with life. A clear upward trend is visible: as extraversion increases, reported satisfaction with life also tends to rise. This relationship appears approximately linear across the scale. The right panel shows the </w:t>
      </w:r>
      <w:r>
        <w:lastRenderedPageBreak/>
        <w:t xml:space="preserve">relationship between neuroticism and satisfaction with life. Here, the overall trend is negative: participants with higher neuroticism tend to report lower satisfaction with life. The curve is somewhat nonlinear, especially at the higher end of the neuroticism scale. This nonlinearity may indicate a threshold effect, where moderate levels of neuroticism are associated with relatively small decreases in life satisfaction, but extremely high levels are linked to disproportionately lower wellbeing. </w:t>
      </w:r>
    </w:p>
    <w:p w14:paraId="606EDF30" w14:textId="67EFCE44" w:rsidR="00577D52" w:rsidRDefault="00577D52" w:rsidP="00577D52">
      <w:pPr>
        <w:spacing w:line="480" w:lineRule="auto"/>
        <w:ind w:firstLine="720"/>
      </w:pPr>
      <w:r>
        <w:t xml:space="preserve">Together, these visualizations offer preliminary support for H1 and </w:t>
      </w:r>
      <w:r w:rsidR="00445877">
        <w:t>H</w:t>
      </w:r>
      <w:r>
        <w:t xml:space="preserve">2. Extraversion showed a clear positive association with satisfaction with life, while neuroticism was negatively related. These patterns </w:t>
      </w:r>
      <w:r w:rsidR="00346965">
        <w:t xml:space="preserve">help </w:t>
      </w:r>
      <w:r>
        <w:t>justify proceeding with multilevel modeling to formally test the</w:t>
      </w:r>
      <w:r w:rsidR="008F7338">
        <w:t xml:space="preserve"> </w:t>
      </w:r>
      <w:r>
        <w:t>hypotheses.</w:t>
      </w:r>
    </w:p>
    <w:p w14:paraId="0C5E97F3" w14:textId="68E2D0BD" w:rsidR="00AC32CA" w:rsidRDefault="00AC32CA" w:rsidP="00577D52">
      <w:pPr>
        <w:spacing w:line="480" w:lineRule="auto"/>
        <w:rPr>
          <w:b/>
          <w:bCs/>
        </w:rPr>
      </w:pPr>
      <w:r>
        <w:rPr>
          <w:b/>
          <w:bCs/>
        </w:rPr>
        <w:t>Figure 2</w:t>
      </w:r>
    </w:p>
    <w:p w14:paraId="23F7F442" w14:textId="77777777" w:rsidR="00AC32CA" w:rsidRDefault="00AC32CA" w:rsidP="00AC32CA">
      <w:pPr>
        <w:spacing w:line="480" w:lineRule="auto"/>
        <w:rPr>
          <w:i/>
          <w:iCs/>
        </w:rPr>
      </w:pPr>
      <w:r>
        <w:rPr>
          <w:i/>
          <w:iCs/>
        </w:rPr>
        <w:t>Bivariate scatterplots showing the relationships between extraversion (left), neuroticism (right), and satisfaction with life</w:t>
      </w:r>
    </w:p>
    <w:p w14:paraId="7A625D8B" w14:textId="77777777" w:rsidR="00AC32CA" w:rsidRPr="000E4CD4" w:rsidRDefault="00AC32CA" w:rsidP="00AC32CA">
      <w:pPr>
        <w:spacing w:line="480" w:lineRule="auto"/>
        <w:rPr>
          <w:i/>
          <w:iCs/>
        </w:rPr>
      </w:pPr>
      <w:r>
        <w:rPr>
          <w:i/>
          <w:iCs/>
          <w:noProof/>
        </w:rPr>
        <w:drawing>
          <wp:inline distT="0" distB="0" distL="0" distR="0" wp14:anchorId="2DF9FFDE" wp14:editId="178D6522">
            <wp:extent cx="5129975" cy="3165676"/>
            <wp:effectExtent l="0" t="0" r="1270" b="0"/>
            <wp:docPr id="678335775" name="Picture 2" descr="A graph of 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35775" name="Picture 2" descr="A graph of a graph of a functio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4033" cy="3297770"/>
                    </a:xfrm>
                    <a:prstGeom prst="rect">
                      <a:avLst/>
                    </a:prstGeom>
                  </pic:spPr>
                </pic:pic>
              </a:graphicData>
            </a:graphic>
          </wp:inline>
        </w:drawing>
      </w:r>
    </w:p>
    <w:p w14:paraId="2AAB87F9" w14:textId="685C83F2" w:rsidR="00AC32CA" w:rsidRDefault="00AC32CA" w:rsidP="00AC32CA">
      <w:pPr>
        <w:spacing w:line="480" w:lineRule="auto"/>
      </w:pPr>
      <w:r>
        <w:rPr>
          <w:i/>
          <w:iCs/>
        </w:rPr>
        <w:t xml:space="preserve">Note. </w:t>
      </w:r>
      <w:proofErr w:type="spellStart"/>
      <w:r>
        <w:t>swl</w:t>
      </w:r>
      <w:proofErr w:type="spellEnd"/>
      <w:r>
        <w:t xml:space="preserve"> = satisfaction with life</w:t>
      </w:r>
      <w:r w:rsidR="00F376E6">
        <w:t>;</w:t>
      </w:r>
      <w:r>
        <w:t xml:space="preserve"> </w:t>
      </w:r>
      <w:proofErr w:type="spellStart"/>
      <w:proofErr w:type="gramStart"/>
      <w:r>
        <w:t>tipm.E</w:t>
      </w:r>
      <w:proofErr w:type="spellEnd"/>
      <w:proofErr w:type="gramEnd"/>
      <w:r>
        <w:t xml:space="preserve"> = extraversion</w:t>
      </w:r>
      <w:r w:rsidR="00F376E6">
        <w:t>;</w:t>
      </w:r>
      <w:r>
        <w:t xml:space="preserve"> </w:t>
      </w:r>
      <w:proofErr w:type="spellStart"/>
      <w:proofErr w:type="gramStart"/>
      <w:r>
        <w:t>tipm.N</w:t>
      </w:r>
      <w:proofErr w:type="spellEnd"/>
      <w:proofErr w:type="gramEnd"/>
      <w:r>
        <w:t xml:space="preserve"> = neuroticism.</w:t>
      </w:r>
    </w:p>
    <w:p w14:paraId="45CC70FF" w14:textId="63A85B67" w:rsidR="00AC32CA" w:rsidRDefault="001B55EE" w:rsidP="00AC32CA">
      <w:pPr>
        <w:spacing w:line="480" w:lineRule="auto"/>
        <w:rPr>
          <w:b/>
          <w:bCs/>
        </w:rPr>
      </w:pPr>
      <w:r>
        <w:rPr>
          <w:b/>
          <w:bCs/>
        </w:rPr>
        <w:lastRenderedPageBreak/>
        <w:t>Baseline</w:t>
      </w:r>
      <w:r w:rsidR="00AC32CA">
        <w:rPr>
          <w:b/>
          <w:bCs/>
        </w:rPr>
        <w:t xml:space="preserve"> Model and Assumption Checks</w:t>
      </w:r>
    </w:p>
    <w:p w14:paraId="2F8DF227" w14:textId="302DC673" w:rsidR="0049525F" w:rsidRDefault="00AC32CA" w:rsidP="00785C83">
      <w:pPr>
        <w:spacing w:line="480" w:lineRule="auto"/>
      </w:pPr>
      <w:r>
        <w:tab/>
      </w:r>
      <w:r w:rsidR="0049525F">
        <w:t xml:space="preserve">To determine whether multilevel modeling was appropriate, a baseline model (null model) was estimated </w:t>
      </w:r>
      <w:r w:rsidR="00785C83">
        <w:t xml:space="preserve">using restricted maximum likelihood (REML). </w:t>
      </w:r>
      <w:r w:rsidR="00785C83">
        <w:t>REML was selected because the model did not include any fixed predictors, and REML provides more accurate estimates of variance components in such cases.</w:t>
      </w:r>
      <w:r w:rsidR="00785C83">
        <w:t xml:space="preserve"> This baseline model included only a random intercept for participant ID </w:t>
      </w:r>
      <w:r w:rsidR="00785C83">
        <w:t>allowing each participant to have their own average level of satisfaction with life.</w:t>
      </w:r>
      <w:r w:rsidR="00785C83">
        <w:t xml:space="preserve"> </w:t>
      </w:r>
      <w:r w:rsidR="0049525F">
        <w:t xml:space="preserve">The model </w:t>
      </w:r>
      <w:r w:rsidR="00785C83">
        <w:t>can be written</w:t>
      </w:r>
      <w:r w:rsidR="0049525F">
        <w:t xml:space="preserve"> as:</w:t>
      </w:r>
    </w:p>
    <w:p w14:paraId="659A383A" w14:textId="009A1D79" w:rsidR="00FF77CE" w:rsidRPr="00FF77CE" w:rsidRDefault="00FF77CE" w:rsidP="00FF77CE">
      <w:pPr>
        <w:spacing w:line="480" w:lineRule="auto"/>
        <w:jc w:val="center"/>
      </w:pPr>
      <w:proofErr w:type="spellStart"/>
      <w:r>
        <w:t>SWL</w:t>
      </w:r>
      <w:r>
        <w:rPr>
          <w:i/>
          <w:iCs/>
          <w:vertAlign w:val="subscript"/>
        </w:rPr>
        <w:t>ij</w:t>
      </w:r>
      <w:proofErr w:type="spellEnd"/>
      <w:r>
        <w:rPr>
          <w:i/>
          <w:iCs/>
          <w:vertAlign w:val="subscript"/>
        </w:rPr>
        <w:t xml:space="preserve"> </w:t>
      </w:r>
      <w:r w:rsidRPr="00FF77CE">
        <w:rPr>
          <w:i/>
          <w:iCs/>
        </w:rPr>
        <w:t xml:space="preserve">= </w:t>
      </w:r>
      <w:r w:rsidRPr="00FF77CE">
        <w:rPr>
          <w:i/>
          <w:iCs/>
        </w:rPr>
        <w:sym w:font="Symbol" w:char="F062"/>
      </w:r>
      <w:r>
        <w:rPr>
          <w:vertAlign w:val="subscript"/>
        </w:rPr>
        <w:t>0</w:t>
      </w:r>
      <w:r>
        <w:t xml:space="preserve"> + </w:t>
      </w:r>
      <w:r>
        <w:rPr>
          <w:i/>
          <w:iCs/>
        </w:rPr>
        <w:t>u</w:t>
      </w:r>
      <w:r>
        <w:rPr>
          <w:vertAlign w:val="subscript"/>
        </w:rPr>
        <w:t>0</w:t>
      </w:r>
      <w:r>
        <w:rPr>
          <w:i/>
          <w:iCs/>
          <w:vertAlign w:val="subscript"/>
        </w:rPr>
        <w:t xml:space="preserve">j </w:t>
      </w:r>
      <w:r>
        <w:t xml:space="preserve">+ </w:t>
      </w:r>
      <w:r>
        <w:sym w:font="Symbol" w:char="F065"/>
      </w:r>
      <w:proofErr w:type="spellStart"/>
      <w:r w:rsidRPr="00F26546">
        <w:rPr>
          <w:i/>
          <w:iCs/>
          <w:vertAlign w:val="subscript"/>
        </w:rPr>
        <w:t>ij</w:t>
      </w:r>
      <w:proofErr w:type="spellEnd"/>
    </w:p>
    <w:p w14:paraId="0B7F7439" w14:textId="566156C6" w:rsidR="00AC32CA" w:rsidRPr="00672055" w:rsidRDefault="0049525F" w:rsidP="00672055">
      <w:pPr>
        <w:spacing w:line="480" w:lineRule="auto"/>
        <w:rPr>
          <w:rStyle w:val="mord"/>
        </w:rPr>
      </w:pPr>
      <w:r>
        <w:t xml:space="preserve">where </w:t>
      </w:r>
      <w:proofErr w:type="spellStart"/>
      <w:r w:rsidR="00672055">
        <w:t>SWL</w:t>
      </w:r>
      <w:r w:rsidR="00672055">
        <w:rPr>
          <w:i/>
          <w:iCs/>
          <w:vertAlign w:val="subscript"/>
        </w:rPr>
        <w:t>ij</w:t>
      </w:r>
      <w:proofErr w:type="spellEnd"/>
      <w:r w:rsidR="00672055">
        <w:rPr>
          <w:i/>
          <w:iCs/>
          <w:vertAlign w:val="subscript"/>
        </w:rPr>
        <w:t xml:space="preserve"> </w:t>
      </w:r>
      <w:r>
        <w:t xml:space="preserve">represented the satisfaction with life score for observation </w:t>
      </w:r>
      <w:proofErr w:type="spellStart"/>
      <w:r>
        <w:rPr>
          <w:i/>
          <w:iCs/>
        </w:rPr>
        <w:t>i</w:t>
      </w:r>
      <w:proofErr w:type="spellEnd"/>
      <w:r>
        <w:rPr>
          <w:i/>
          <w:iCs/>
        </w:rPr>
        <w:t xml:space="preserve"> </w:t>
      </w:r>
      <w:r>
        <w:t xml:space="preserve">from participant </w:t>
      </w:r>
      <w:r>
        <w:rPr>
          <w:i/>
          <w:iCs/>
        </w:rPr>
        <w:t>j</w:t>
      </w:r>
      <w:r>
        <w:t>,</w:t>
      </w:r>
      <w:r w:rsidR="00AC32CA">
        <w:t xml:space="preserve"> </w:t>
      </w:r>
      <w:r w:rsidR="00672055" w:rsidRPr="00FF77CE">
        <w:rPr>
          <w:i/>
          <w:iCs/>
        </w:rPr>
        <w:sym w:font="Symbol" w:char="F062"/>
      </w:r>
      <w:r w:rsidR="00672055">
        <w:rPr>
          <w:vertAlign w:val="subscript"/>
        </w:rPr>
        <w:t>0</w:t>
      </w:r>
      <w:r w:rsidR="00AC32CA">
        <w:rPr>
          <w:rStyle w:val="mord"/>
          <w:rFonts w:eastAsiaTheme="majorEastAsia"/>
        </w:rPr>
        <w:t xml:space="preserve"> </w:t>
      </w:r>
      <w:r>
        <w:rPr>
          <w:rStyle w:val="mord"/>
          <w:rFonts w:eastAsiaTheme="majorEastAsia"/>
        </w:rPr>
        <w:t>was</w:t>
      </w:r>
      <w:r w:rsidR="00AC32CA">
        <w:rPr>
          <w:rStyle w:val="mord"/>
          <w:rFonts w:eastAsiaTheme="majorEastAsia"/>
        </w:rPr>
        <w:t xml:space="preserve"> the overall intercept, </w:t>
      </w:r>
      <w:r w:rsidR="00672055">
        <w:rPr>
          <w:i/>
          <w:iCs/>
        </w:rPr>
        <w:t>u</w:t>
      </w:r>
      <w:r w:rsidR="00672055">
        <w:rPr>
          <w:vertAlign w:val="subscript"/>
        </w:rPr>
        <w:t>0</w:t>
      </w:r>
      <w:r w:rsidR="00672055">
        <w:rPr>
          <w:i/>
          <w:iCs/>
          <w:vertAlign w:val="subscript"/>
        </w:rPr>
        <w:t>j</w:t>
      </w:r>
      <w:r w:rsidR="00672055">
        <w:rPr>
          <w:i/>
          <w:iCs/>
          <w:vertAlign w:val="subscript"/>
        </w:rPr>
        <w:t xml:space="preserve"> </w:t>
      </w:r>
      <w:r w:rsidR="00AC32CA">
        <w:rPr>
          <w:rStyle w:val="mord"/>
          <w:rFonts w:eastAsiaTheme="majorEastAsia"/>
        </w:rPr>
        <w:t>is the random</w:t>
      </w:r>
      <w:r>
        <w:rPr>
          <w:rStyle w:val="mord"/>
          <w:rFonts w:eastAsiaTheme="majorEastAsia"/>
        </w:rPr>
        <w:t xml:space="preserve"> deviation for participant </w:t>
      </w:r>
      <w:r>
        <w:rPr>
          <w:rStyle w:val="mord"/>
          <w:rFonts w:eastAsiaTheme="majorEastAsia"/>
          <w:i/>
          <w:iCs/>
        </w:rPr>
        <w:t>j</w:t>
      </w:r>
      <w:r>
        <w:rPr>
          <w:rStyle w:val="mord"/>
          <w:rFonts w:eastAsiaTheme="majorEastAsia"/>
        </w:rPr>
        <w:t xml:space="preserve">, and </w:t>
      </w:r>
      <w:r w:rsidR="00672055">
        <w:sym w:font="Symbol" w:char="F065"/>
      </w:r>
      <w:proofErr w:type="spellStart"/>
      <w:r w:rsidR="00672055" w:rsidRPr="00F26546">
        <w:rPr>
          <w:i/>
          <w:iCs/>
          <w:vertAlign w:val="subscript"/>
        </w:rPr>
        <w:t>ij</w:t>
      </w:r>
      <w:proofErr w:type="spellEnd"/>
      <w:r w:rsidR="00672055">
        <w:t xml:space="preserve"> </w:t>
      </w:r>
      <w:r>
        <w:rPr>
          <w:rStyle w:val="mord"/>
          <w:rFonts w:eastAsiaTheme="majorEastAsia"/>
        </w:rPr>
        <w:t>was</w:t>
      </w:r>
      <w:r w:rsidR="00AC32CA">
        <w:rPr>
          <w:rStyle w:val="mord"/>
          <w:rFonts w:eastAsiaTheme="majorEastAsia"/>
        </w:rPr>
        <w:t xml:space="preserve"> the residual error</w:t>
      </w:r>
      <w:r>
        <w:rPr>
          <w:rStyle w:val="mord"/>
          <w:rFonts w:eastAsiaTheme="majorEastAsia"/>
        </w:rPr>
        <w:t xml:space="preserve">. </w:t>
      </w:r>
    </w:p>
    <w:p w14:paraId="6E20ACB4" w14:textId="66E54353" w:rsidR="001B55EE" w:rsidRDefault="001B55EE" w:rsidP="00AC32CA">
      <w:pPr>
        <w:spacing w:line="480" w:lineRule="auto"/>
        <w:rPr>
          <w:rStyle w:val="mord"/>
          <w:rFonts w:eastAsiaTheme="majorEastAsia"/>
        </w:rPr>
      </w:pPr>
      <w:r>
        <w:rPr>
          <w:rStyle w:val="mord"/>
          <w:rFonts w:eastAsiaTheme="majorEastAsia"/>
        </w:rPr>
        <w:tab/>
      </w:r>
      <w:r w:rsidR="00F973F9">
        <w:rPr>
          <w:rStyle w:val="mord"/>
          <w:rFonts w:eastAsiaTheme="majorEastAsia"/>
        </w:rPr>
        <w:t xml:space="preserve">The </w:t>
      </w:r>
      <w:r>
        <w:rPr>
          <w:rStyle w:val="mord"/>
          <w:rFonts w:eastAsiaTheme="majorEastAsia"/>
        </w:rPr>
        <w:t xml:space="preserve">intraclass correlation coefficient (ICC) </w:t>
      </w:r>
      <w:r w:rsidR="006D358E">
        <w:t>for</w:t>
      </w:r>
      <w:r w:rsidR="00F973F9">
        <w:t xml:space="preserve"> this baseline model</w:t>
      </w:r>
      <w:r>
        <w:t xml:space="preserve"> </w:t>
      </w:r>
      <w:r w:rsidR="006D358E">
        <w:t xml:space="preserve">was calculated </w:t>
      </w:r>
      <w:r>
        <w:t xml:space="preserve">to determine how much of the variation in satisfaction with life was due to stable, between-person differences versus day-to-day, within-person fluctuations. The ICC was 0.74, indicating that 74% of the total variance in </w:t>
      </w:r>
      <w:r>
        <w:t>life satisfaction</w:t>
      </w:r>
      <w:r>
        <w:t xml:space="preserve"> was due to differences between individuals. The remaining 26% reflected within-person variability. A design effect of 12.30</w:t>
      </w:r>
      <w:r>
        <w:t xml:space="preserve"> (</w:t>
      </w:r>
      <w:r>
        <w:t>well above the commonly used threshold of 2.0</w:t>
      </w:r>
      <w:r>
        <w:t xml:space="preserve">) </w:t>
      </w:r>
      <w:r>
        <w:t>further supported this finding.</w:t>
      </w:r>
      <w:r>
        <w:t xml:space="preserve"> These results indicated that </w:t>
      </w:r>
      <w:r>
        <w:t>repeated observations were not independent, violating a key assumption of traditional regression analysis. Because standard linear regression assumes all observations are independent, the presence of clustering (i.e., multiple observations nested within each participant) would lead to biased estimates and underestimated standard errors. Therefore, a multilevel (linear mixed effects) model was necessary to appropriately account for the nested data structure and provide valid inferences.</w:t>
      </w:r>
    </w:p>
    <w:p w14:paraId="47C060DF" w14:textId="3D230941" w:rsidR="001B55EE" w:rsidRPr="00FF722B" w:rsidRDefault="00FF722B" w:rsidP="00FF722B">
      <w:pPr>
        <w:spacing w:line="480" w:lineRule="auto"/>
        <w:rPr>
          <w:b/>
          <w:bCs/>
        </w:rPr>
      </w:pPr>
      <w:r>
        <w:rPr>
          <w:b/>
          <w:bCs/>
        </w:rPr>
        <w:lastRenderedPageBreak/>
        <w:t>Pre</w:t>
      </w:r>
      <w:r w:rsidR="00C9297F">
        <w:rPr>
          <w:b/>
          <w:bCs/>
        </w:rPr>
        <w:t>-Modeling</w:t>
      </w:r>
      <w:r>
        <w:rPr>
          <w:b/>
          <w:bCs/>
        </w:rPr>
        <w:t xml:space="preserve"> Assumption Checks</w:t>
      </w:r>
    </w:p>
    <w:p w14:paraId="759437FA" w14:textId="59E51741" w:rsidR="009E1529" w:rsidRPr="009E1529" w:rsidRDefault="009E1529" w:rsidP="009E1529">
      <w:pPr>
        <w:spacing w:line="480" w:lineRule="auto"/>
        <w:rPr>
          <w:b/>
          <w:bCs/>
          <w:i/>
          <w:iCs/>
        </w:rPr>
      </w:pPr>
      <w:r>
        <w:rPr>
          <w:b/>
          <w:bCs/>
          <w:i/>
          <w:iCs/>
        </w:rPr>
        <w:t>Preliminary Linear Mixed Effects Model</w:t>
      </w:r>
    </w:p>
    <w:p w14:paraId="341C3C02" w14:textId="77777777" w:rsidR="00F23065" w:rsidRDefault="00C35447" w:rsidP="0000196C">
      <w:pPr>
        <w:spacing w:line="480" w:lineRule="auto"/>
        <w:ind w:firstLine="720"/>
      </w:pPr>
      <w:r>
        <w:t>A preliminary linear mixed effects model was estimated</w:t>
      </w:r>
      <w:r w:rsidR="00C225CB">
        <w:t xml:space="preserve"> using </w:t>
      </w:r>
      <w:r w:rsidR="00E34ECC">
        <w:t xml:space="preserve">REML </w:t>
      </w:r>
      <w:r>
        <w:t xml:space="preserve">to evaluate the assumptions of linearity, normality, and homoscedasticity before fitting more complex models. </w:t>
      </w:r>
      <w:r w:rsidR="003E6394">
        <w:t>REML was selected</w:t>
      </w:r>
      <w:r w:rsidR="00E34ECC">
        <w:t xml:space="preserve"> again</w:t>
      </w:r>
      <w:r w:rsidR="003E6394">
        <w:t xml:space="preserve"> because it provides less biased estimates of variance components when the goal is to evaluate model fit and check assumptions without comparing models that differ in fixed effects.</w:t>
      </w:r>
      <w:r w:rsidR="003E6394">
        <w:t xml:space="preserve"> </w:t>
      </w:r>
    </w:p>
    <w:p w14:paraId="4316558D" w14:textId="5C2C8CA3" w:rsidR="00AC32CA" w:rsidRDefault="00C35447" w:rsidP="0000196C">
      <w:pPr>
        <w:spacing w:line="480" w:lineRule="auto"/>
        <w:ind w:firstLine="720"/>
      </w:pPr>
      <w:r>
        <w:t xml:space="preserve">This model included fixed effects for extraversion and neuroticism and a random intercept for participant ID to account for repeated observations nested within individuals. The model can be represented in two levels. At </w:t>
      </w:r>
      <w:r w:rsidRPr="00C35447">
        <w:rPr>
          <w:rStyle w:val="Strong"/>
          <w:rFonts w:eastAsiaTheme="majorEastAsia"/>
          <w:b w:val="0"/>
          <w:bCs w:val="0"/>
        </w:rPr>
        <w:t>Level 1</w:t>
      </w:r>
      <w:r>
        <w:t xml:space="preserve">, satisfaction with life for observation </w:t>
      </w:r>
      <w:proofErr w:type="spellStart"/>
      <w:r w:rsidRPr="00C35447">
        <w:rPr>
          <w:rStyle w:val="katex-mathml"/>
          <w:rFonts w:eastAsiaTheme="majorEastAsia"/>
          <w:i/>
          <w:iCs/>
        </w:rPr>
        <w:t>i</w:t>
      </w:r>
      <w:proofErr w:type="spellEnd"/>
      <w:r>
        <w:t xml:space="preserve"> from participant </w:t>
      </w:r>
      <w:r w:rsidRPr="00C35447">
        <w:rPr>
          <w:rStyle w:val="katex-mathml"/>
          <w:rFonts w:eastAsiaTheme="majorEastAsia"/>
          <w:i/>
          <w:iCs/>
        </w:rPr>
        <w:t>j</w:t>
      </w:r>
      <w:r>
        <w:t xml:space="preserve"> was predicted by extraversion and neuroticism:</w:t>
      </w:r>
    </w:p>
    <w:p w14:paraId="61842F8F" w14:textId="67A13FBA" w:rsidR="00E34C96" w:rsidRPr="00E34C96" w:rsidRDefault="00E34C96" w:rsidP="00E34C96">
      <w:pPr>
        <w:spacing w:line="480" w:lineRule="auto"/>
        <w:jc w:val="center"/>
      </w:pPr>
      <w:proofErr w:type="spellStart"/>
      <w:r>
        <w:t>SWL</w:t>
      </w:r>
      <w:r>
        <w:rPr>
          <w:i/>
          <w:iCs/>
          <w:vertAlign w:val="subscript"/>
        </w:rPr>
        <w:t>ij</w:t>
      </w:r>
      <w:proofErr w:type="spellEnd"/>
      <w:r>
        <w:t xml:space="preserve"> = </w:t>
      </w:r>
      <w:r>
        <w:sym w:font="Symbol" w:char="F070"/>
      </w:r>
      <w:r>
        <w:rPr>
          <w:vertAlign w:val="subscript"/>
        </w:rPr>
        <w:t>0</w:t>
      </w:r>
      <w:r>
        <w:rPr>
          <w:i/>
          <w:iCs/>
          <w:vertAlign w:val="subscript"/>
        </w:rPr>
        <w:t>j</w:t>
      </w:r>
      <w:r>
        <w:rPr>
          <w:i/>
          <w:iCs/>
        </w:rPr>
        <w:t xml:space="preserve"> </w:t>
      </w:r>
      <w:r>
        <w:t xml:space="preserve">+ </w:t>
      </w:r>
      <w:r>
        <w:sym w:font="Symbol" w:char="F070"/>
      </w:r>
      <w:r>
        <w:rPr>
          <w:vertAlign w:val="subscript"/>
        </w:rPr>
        <w:t>1</w:t>
      </w:r>
      <w:r>
        <w:rPr>
          <w:i/>
          <w:iCs/>
          <w:vertAlign w:val="subscript"/>
        </w:rPr>
        <w:t>j</w:t>
      </w:r>
      <w:r>
        <w:t>(</w:t>
      </w:r>
      <w:proofErr w:type="spellStart"/>
      <w:r>
        <w:t>Extraversion</w:t>
      </w:r>
      <w:r>
        <w:rPr>
          <w:i/>
          <w:iCs/>
          <w:vertAlign w:val="subscript"/>
        </w:rPr>
        <w:t>ij</w:t>
      </w:r>
      <w:proofErr w:type="spellEnd"/>
      <w:r>
        <w:t xml:space="preserve">) </w:t>
      </w:r>
      <w:r>
        <w:t xml:space="preserve">+ </w:t>
      </w:r>
      <w:r>
        <w:sym w:font="Symbol" w:char="F070"/>
      </w:r>
      <w:r>
        <w:rPr>
          <w:vertAlign w:val="subscript"/>
        </w:rPr>
        <w:t>2</w:t>
      </w:r>
      <w:r>
        <w:rPr>
          <w:i/>
          <w:iCs/>
          <w:vertAlign w:val="subscript"/>
        </w:rPr>
        <w:t>j</w:t>
      </w:r>
      <w:r>
        <w:t>(</w:t>
      </w:r>
      <w:proofErr w:type="spellStart"/>
      <w:r>
        <w:t>Neuroticism</w:t>
      </w:r>
      <w:r>
        <w:rPr>
          <w:i/>
          <w:iCs/>
          <w:vertAlign w:val="subscript"/>
        </w:rPr>
        <w:t>ij</w:t>
      </w:r>
      <w:proofErr w:type="spellEnd"/>
      <w:r>
        <w:t>)</w:t>
      </w:r>
      <w:r>
        <w:t xml:space="preserve"> + </w:t>
      </w:r>
      <w:r>
        <w:sym w:font="Symbol" w:char="F065"/>
      </w:r>
      <w:proofErr w:type="spellStart"/>
      <w:r w:rsidRPr="00F26546">
        <w:rPr>
          <w:i/>
          <w:iCs/>
          <w:vertAlign w:val="subscript"/>
        </w:rPr>
        <w:t>ij</w:t>
      </w:r>
      <w:proofErr w:type="spellEnd"/>
    </w:p>
    <w:p w14:paraId="0B7A23B4" w14:textId="60B8AB6C" w:rsidR="00C35447" w:rsidRDefault="00C35447" w:rsidP="00C35447">
      <w:pPr>
        <w:spacing w:line="480" w:lineRule="auto"/>
      </w:pPr>
      <w:r>
        <w:t xml:space="preserve">where </w:t>
      </w:r>
      <w:r w:rsidR="00E34C96">
        <w:sym w:font="Symbol" w:char="F070"/>
      </w:r>
      <w:r w:rsidR="00E34C96">
        <w:rPr>
          <w:vertAlign w:val="subscript"/>
        </w:rPr>
        <w:t>0</w:t>
      </w:r>
      <w:r w:rsidR="00E34C96">
        <w:rPr>
          <w:i/>
          <w:iCs/>
          <w:vertAlign w:val="subscript"/>
        </w:rPr>
        <w:t>j</w:t>
      </w:r>
      <w:r w:rsidR="00E34C96">
        <w:rPr>
          <w:i/>
          <w:iCs/>
        </w:rPr>
        <w:t xml:space="preserve"> </w:t>
      </w:r>
      <w:r>
        <w:t xml:space="preserve">is the participant-specific intercept, </w:t>
      </w:r>
      <w:r w:rsidR="00E34C96">
        <w:sym w:font="Symbol" w:char="F070"/>
      </w:r>
      <w:r w:rsidR="00E34C96">
        <w:rPr>
          <w:vertAlign w:val="subscript"/>
        </w:rPr>
        <w:t>1</w:t>
      </w:r>
      <w:r w:rsidR="00E34C96">
        <w:rPr>
          <w:i/>
          <w:iCs/>
          <w:vertAlign w:val="subscript"/>
        </w:rPr>
        <w:t>j</w:t>
      </w:r>
      <w:r w:rsidR="00E34C96">
        <w:rPr>
          <w:i/>
          <w:iCs/>
          <w:vertAlign w:val="subscript"/>
        </w:rPr>
        <w:t xml:space="preserve"> </w:t>
      </w:r>
      <w:r>
        <w:t xml:space="preserve">and </w:t>
      </w:r>
      <w:r w:rsidR="00E34C96">
        <w:sym w:font="Symbol" w:char="F070"/>
      </w:r>
      <w:r w:rsidR="00E34C96">
        <w:rPr>
          <w:vertAlign w:val="subscript"/>
        </w:rPr>
        <w:t>2</w:t>
      </w:r>
      <w:r w:rsidR="00E34C96">
        <w:rPr>
          <w:i/>
          <w:iCs/>
          <w:vertAlign w:val="subscript"/>
        </w:rPr>
        <w:t>j</w:t>
      </w:r>
      <w:r w:rsidR="00E34C96">
        <w:rPr>
          <w:i/>
          <w:iCs/>
          <w:vertAlign w:val="subscript"/>
        </w:rPr>
        <w:t xml:space="preserve"> </w:t>
      </w:r>
      <w:r>
        <w:t xml:space="preserve">are fixed slopes for extraversion and neuroticism (held constant across participants), and </w:t>
      </w:r>
      <w:r w:rsidR="00E34C96">
        <w:sym w:font="Symbol" w:char="F065"/>
      </w:r>
      <w:proofErr w:type="spellStart"/>
      <w:r w:rsidR="00E34C96" w:rsidRPr="00F26546">
        <w:rPr>
          <w:i/>
          <w:iCs/>
          <w:vertAlign w:val="subscript"/>
        </w:rPr>
        <w:t>i</w:t>
      </w:r>
      <w:r w:rsidR="00E34C96">
        <w:rPr>
          <w:i/>
          <w:iCs/>
          <w:vertAlign w:val="subscript"/>
        </w:rPr>
        <w:t>j</w:t>
      </w:r>
      <w:proofErr w:type="spellEnd"/>
      <w:r w:rsidR="00E34C96">
        <w:rPr>
          <w:i/>
          <w:iCs/>
          <w:vertAlign w:val="subscript"/>
        </w:rPr>
        <w:t xml:space="preserve"> </w:t>
      </w:r>
      <w:r>
        <w:t>is the residual error. At Level 2, the intercept was allowed to vary across participants:</w:t>
      </w:r>
    </w:p>
    <w:p w14:paraId="211DC7D8" w14:textId="57046D9E" w:rsidR="00E34C96" w:rsidRDefault="00E34C96" w:rsidP="00E34C96">
      <w:pPr>
        <w:spacing w:line="480" w:lineRule="auto"/>
        <w:jc w:val="center"/>
        <w:rPr>
          <w:i/>
          <w:iCs/>
          <w:vertAlign w:val="subscript"/>
        </w:rPr>
      </w:pPr>
      <w:r>
        <w:sym w:font="Symbol" w:char="F070"/>
      </w:r>
      <w:r>
        <w:rPr>
          <w:vertAlign w:val="subscript"/>
        </w:rPr>
        <w:t>0</w:t>
      </w:r>
      <w:r>
        <w:rPr>
          <w:i/>
          <w:iCs/>
          <w:vertAlign w:val="subscript"/>
        </w:rPr>
        <w:t>j</w:t>
      </w:r>
      <w:r>
        <w:rPr>
          <w:i/>
          <w:iCs/>
        </w:rPr>
        <w:t xml:space="preserve"> </w:t>
      </w:r>
      <w:r>
        <w:t xml:space="preserve">= </w:t>
      </w:r>
      <w:r w:rsidRPr="00E34C96">
        <w:rPr>
          <w:i/>
          <w:iCs/>
        </w:rPr>
        <w:sym w:font="Symbol" w:char="F062"/>
      </w:r>
      <w:r>
        <w:rPr>
          <w:vertAlign w:val="subscript"/>
        </w:rPr>
        <w:t>00</w:t>
      </w:r>
      <w:r>
        <w:t xml:space="preserve"> + </w:t>
      </w:r>
      <w:r>
        <w:rPr>
          <w:i/>
          <w:iCs/>
        </w:rPr>
        <w:t>u</w:t>
      </w:r>
      <w:r>
        <w:rPr>
          <w:vertAlign w:val="subscript"/>
        </w:rPr>
        <w:t>0</w:t>
      </w:r>
      <w:r>
        <w:rPr>
          <w:i/>
          <w:iCs/>
          <w:vertAlign w:val="subscript"/>
        </w:rPr>
        <w:t>j</w:t>
      </w:r>
    </w:p>
    <w:p w14:paraId="334C7207" w14:textId="16737303" w:rsidR="00E34C96" w:rsidRDefault="00E34C96" w:rsidP="00E34C96">
      <w:pPr>
        <w:spacing w:line="480" w:lineRule="auto"/>
        <w:jc w:val="center"/>
      </w:pPr>
      <w:r>
        <w:sym w:font="Symbol" w:char="F070"/>
      </w:r>
      <w:r>
        <w:rPr>
          <w:vertAlign w:val="subscript"/>
        </w:rPr>
        <w:t>1</w:t>
      </w:r>
      <w:r>
        <w:rPr>
          <w:i/>
          <w:iCs/>
          <w:vertAlign w:val="subscript"/>
        </w:rPr>
        <w:t>j</w:t>
      </w:r>
      <w:r>
        <w:rPr>
          <w:i/>
          <w:iCs/>
        </w:rPr>
        <w:t xml:space="preserve"> </w:t>
      </w:r>
      <w:r>
        <w:t xml:space="preserve">= </w:t>
      </w:r>
      <w:r w:rsidRPr="00E34C96">
        <w:rPr>
          <w:i/>
          <w:iCs/>
        </w:rPr>
        <w:sym w:font="Symbol" w:char="F062"/>
      </w:r>
      <w:r>
        <w:rPr>
          <w:vertAlign w:val="subscript"/>
        </w:rPr>
        <w:t>1</w:t>
      </w:r>
      <w:r>
        <w:rPr>
          <w:vertAlign w:val="subscript"/>
        </w:rPr>
        <w:t>0</w:t>
      </w:r>
      <w:r>
        <w:t xml:space="preserve"> </w:t>
      </w:r>
    </w:p>
    <w:p w14:paraId="725C4CF0" w14:textId="0430B906" w:rsidR="00E34C96" w:rsidRPr="00E34C96" w:rsidRDefault="00E34C96" w:rsidP="00E34C96">
      <w:pPr>
        <w:spacing w:line="480" w:lineRule="auto"/>
        <w:jc w:val="center"/>
        <w:rPr>
          <w:i/>
          <w:iCs/>
          <w:vertAlign w:val="subscript"/>
        </w:rPr>
      </w:pPr>
      <w:r>
        <w:sym w:font="Symbol" w:char="F070"/>
      </w:r>
      <w:r>
        <w:rPr>
          <w:vertAlign w:val="subscript"/>
        </w:rPr>
        <w:t>2</w:t>
      </w:r>
      <w:r>
        <w:rPr>
          <w:i/>
          <w:iCs/>
          <w:vertAlign w:val="subscript"/>
        </w:rPr>
        <w:t>j</w:t>
      </w:r>
      <w:r>
        <w:rPr>
          <w:i/>
          <w:iCs/>
        </w:rPr>
        <w:t xml:space="preserve"> </w:t>
      </w:r>
      <w:r>
        <w:t xml:space="preserve">= </w:t>
      </w:r>
      <w:r w:rsidRPr="00E34C96">
        <w:rPr>
          <w:i/>
          <w:iCs/>
        </w:rPr>
        <w:sym w:font="Symbol" w:char="F062"/>
      </w:r>
      <w:r>
        <w:rPr>
          <w:vertAlign w:val="subscript"/>
        </w:rPr>
        <w:t>2</w:t>
      </w:r>
      <w:r>
        <w:rPr>
          <w:vertAlign w:val="subscript"/>
        </w:rPr>
        <w:t>0</w:t>
      </w:r>
    </w:p>
    <w:p w14:paraId="1BC0463B" w14:textId="4337FEE0" w:rsidR="00C35447" w:rsidRDefault="008347C1" w:rsidP="00C35447">
      <w:pPr>
        <w:spacing w:line="480" w:lineRule="auto"/>
      </w:pPr>
      <w:r>
        <w:t>w</w:t>
      </w:r>
      <w:r w:rsidR="00C35447">
        <w:t xml:space="preserve">here </w:t>
      </w:r>
      <w:r w:rsidR="008C5959" w:rsidRPr="00E34C96">
        <w:rPr>
          <w:i/>
          <w:iCs/>
        </w:rPr>
        <w:sym w:font="Symbol" w:char="F062"/>
      </w:r>
      <w:r w:rsidR="008C5959">
        <w:rPr>
          <w:vertAlign w:val="subscript"/>
        </w:rPr>
        <w:t>00</w:t>
      </w:r>
      <w:r w:rsidR="00C35447">
        <w:t xml:space="preserve"> is the mean intercept across all participants, </w:t>
      </w:r>
      <w:r w:rsidR="008C5959">
        <w:rPr>
          <w:i/>
          <w:iCs/>
        </w:rPr>
        <w:t>u</w:t>
      </w:r>
      <w:r w:rsidR="008C5959">
        <w:rPr>
          <w:vertAlign w:val="subscript"/>
        </w:rPr>
        <w:t>0</w:t>
      </w:r>
      <w:r w:rsidR="008C5959">
        <w:rPr>
          <w:i/>
          <w:iCs/>
          <w:vertAlign w:val="subscript"/>
        </w:rPr>
        <w:t>j</w:t>
      </w:r>
      <w:r w:rsidR="00C35447">
        <w:t xml:space="preserve"> is the participant-specific deviation from that average</w:t>
      </w:r>
      <w:r>
        <w:t xml:space="preserve">, and </w:t>
      </w:r>
      <w:r w:rsidR="008C5959" w:rsidRPr="00E34C96">
        <w:rPr>
          <w:i/>
          <w:iCs/>
        </w:rPr>
        <w:sym w:font="Symbol" w:char="F062"/>
      </w:r>
      <w:r w:rsidR="008C5959">
        <w:rPr>
          <w:vertAlign w:val="subscript"/>
        </w:rPr>
        <w:t>10</w:t>
      </w:r>
      <w:r>
        <w:t xml:space="preserve"> and </w:t>
      </w:r>
      <w:r w:rsidR="008C5959" w:rsidRPr="00E34C96">
        <w:rPr>
          <w:i/>
          <w:iCs/>
        </w:rPr>
        <w:sym w:font="Symbol" w:char="F062"/>
      </w:r>
      <w:r w:rsidR="008C5959">
        <w:rPr>
          <w:vertAlign w:val="subscript"/>
        </w:rPr>
        <w:t>10</w:t>
      </w:r>
      <w:r w:rsidR="008C5959">
        <w:t xml:space="preserve"> </w:t>
      </w:r>
      <w:r>
        <w:t xml:space="preserve">are fixed slopes for extraversion and neuroticism, respectively. </w:t>
      </w:r>
      <w:r w:rsidR="00C35447">
        <w:t>Combining both levels yields the simplified mixed effects model:</w:t>
      </w:r>
    </w:p>
    <w:p w14:paraId="7EF71526" w14:textId="14A9FF4A" w:rsidR="008C5959" w:rsidRPr="008C5959" w:rsidRDefault="008C5959" w:rsidP="008C5959">
      <w:pPr>
        <w:tabs>
          <w:tab w:val="left" w:pos="1418"/>
        </w:tabs>
        <w:spacing w:line="480" w:lineRule="auto"/>
        <w:jc w:val="center"/>
      </w:pPr>
      <w:proofErr w:type="spellStart"/>
      <w:r>
        <w:t>SWL</w:t>
      </w:r>
      <w:r>
        <w:rPr>
          <w:i/>
          <w:iCs/>
          <w:vertAlign w:val="subscript"/>
        </w:rPr>
        <w:t>ij</w:t>
      </w:r>
      <w:proofErr w:type="spellEnd"/>
      <w:r>
        <w:t xml:space="preserve"> = </w:t>
      </w:r>
      <w:r w:rsidRPr="00E34C96">
        <w:rPr>
          <w:i/>
          <w:iCs/>
        </w:rPr>
        <w:sym w:font="Symbol" w:char="F062"/>
      </w:r>
      <w:r>
        <w:rPr>
          <w:vertAlign w:val="subscript"/>
        </w:rPr>
        <w:t xml:space="preserve">0 </w:t>
      </w:r>
      <w:r>
        <w:t xml:space="preserve">+ </w:t>
      </w:r>
      <w:r w:rsidRPr="00E34C96">
        <w:rPr>
          <w:i/>
          <w:iCs/>
        </w:rPr>
        <w:sym w:font="Symbol" w:char="F062"/>
      </w:r>
      <w:r>
        <w:rPr>
          <w:vertAlign w:val="subscript"/>
        </w:rPr>
        <w:t>10</w:t>
      </w:r>
      <w:r>
        <w:t>(</w:t>
      </w:r>
      <w:proofErr w:type="spellStart"/>
      <w:r>
        <w:t>Extraversion</w:t>
      </w:r>
      <w:r>
        <w:rPr>
          <w:i/>
          <w:iCs/>
          <w:vertAlign w:val="subscript"/>
        </w:rPr>
        <w:t>ij</w:t>
      </w:r>
      <w:proofErr w:type="spellEnd"/>
      <w:r>
        <w:t xml:space="preserve">) + </w:t>
      </w:r>
      <w:r w:rsidRPr="00E34C96">
        <w:rPr>
          <w:i/>
          <w:iCs/>
        </w:rPr>
        <w:sym w:font="Symbol" w:char="F062"/>
      </w:r>
      <w:r>
        <w:rPr>
          <w:vertAlign w:val="subscript"/>
        </w:rPr>
        <w:t>2</w:t>
      </w:r>
      <w:r>
        <w:rPr>
          <w:vertAlign w:val="subscript"/>
        </w:rPr>
        <w:t>0</w:t>
      </w:r>
      <w:r>
        <w:t>(</w:t>
      </w:r>
      <w:proofErr w:type="spellStart"/>
      <w:r>
        <w:t>Neuroticism</w:t>
      </w:r>
      <w:r>
        <w:rPr>
          <w:i/>
          <w:iCs/>
          <w:vertAlign w:val="subscript"/>
        </w:rPr>
        <w:t>ij</w:t>
      </w:r>
      <w:proofErr w:type="spellEnd"/>
      <w:r>
        <w:t>) +</w:t>
      </w:r>
      <w:r>
        <w:t xml:space="preserve"> </w:t>
      </w:r>
      <w:r>
        <w:rPr>
          <w:i/>
          <w:iCs/>
        </w:rPr>
        <w:t>u</w:t>
      </w:r>
      <w:r>
        <w:rPr>
          <w:vertAlign w:val="subscript"/>
        </w:rPr>
        <w:t>0</w:t>
      </w:r>
      <w:r>
        <w:rPr>
          <w:i/>
          <w:iCs/>
          <w:vertAlign w:val="subscript"/>
        </w:rPr>
        <w:t>j</w:t>
      </w:r>
      <w:r>
        <w:rPr>
          <w:i/>
          <w:iCs/>
          <w:vertAlign w:val="subscript"/>
        </w:rPr>
        <w:t xml:space="preserve"> </w:t>
      </w:r>
      <w:r>
        <w:t xml:space="preserve">+ </w:t>
      </w:r>
      <w:r>
        <w:sym w:font="Symbol" w:char="F065"/>
      </w:r>
      <w:proofErr w:type="spellStart"/>
      <w:r w:rsidRPr="00F26546">
        <w:rPr>
          <w:i/>
          <w:iCs/>
          <w:vertAlign w:val="subscript"/>
        </w:rPr>
        <w:t>ij</w:t>
      </w:r>
      <w:proofErr w:type="spellEnd"/>
    </w:p>
    <w:p w14:paraId="16B0DAF4" w14:textId="56ED86D7" w:rsidR="00AC32CA" w:rsidRDefault="00AC32CA" w:rsidP="00AC32CA">
      <w:pPr>
        <w:spacing w:line="480" w:lineRule="auto"/>
        <w:rPr>
          <w:rStyle w:val="mord"/>
          <w:rFonts w:eastAsiaTheme="majorEastAsia"/>
        </w:rPr>
      </w:pPr>
      <w:r>
        <w:lastRenderedPageBreak/>
        <w:t xml:space="preserve">where </w:t>
      </w:r>
      <w:proofErr w:type="spellStart"/>
      <w:r w:rsidR="00F22976">
        <w:t>SWL</w:t>
      </w:r>
      <w:r w:rsidR="00F22976">
        <w:rPr>
          <w:i/>
          <w:iCs/>
          <w:vertAlign w:val="subscript"/>
        </w:rPr>
        <w:t>ij</w:t>
      </w:r>
      <w:proofErr w:type="spellEnd"/>
      <w:r w:rsidR="00F22976">
        <w:rPr>
          <w:i/>
          <w:iCs/>
          <w:vertAlign w:val="subscript"/>
        </w:rPr>
        <w:t xml:space="preserve"> </w:t>
      </w:r>
      <w:r w:rsidR="005A68C5">
        <w:t>re</w:t>
      </w:r>
      <w:r>
        <w:t xml:space="preserve">presents the satisfaction with life score for observation </w:t>
      </w:r>
      <w:proofErr w:type="spellStart"/>
      <w:r>
        <w:rPr>
          <w:i/>
          <w:iCs/>
        </w:rPr>
        <w:t>i</w:t>
      </w:r>
      <w:proofErr w:type="spellEnd"/>
      <w:r>
        <w:t xml:space="preserve"> from participant </w:t>
      </w:r>
      <w:r>
        <w:rPr>
          <w:i/>
          <w:iCs/>
        </w:rPr>
        <w:t>j</w:t>
      </w:r>
      <w:r>
        <w:t xml:space="preserve">, </w:t>
      </w:r>
      <w:r w:rsidR="005A68C5" w:rsidRPr="005A68C5">
        <w:rPr>
          <w:rFonts w:ascii="Cambria Math" w:hAnsi="Cambria Math" w:cstheme="majorBidi"/>
          <w:i/>
        </w:rPr>
        <w:br/>
      </w:r>
      <w:r w:rsidR="00F22976" w:rsidRPr="00E34C96">
        <w:rPr>
          <w:i/>
          <w:iCs/>
        </w:rPr>
        <w:sym w:font="Symbol" w:char="F062"/>
      </w:r>
      <w:r w:rsidR="00F22976">
        <w:rPr>
          <w:vertAlign w:val="subscript"/>
        </w:rPr>
        <w:t xml:space="preserve">0 </w:t>
      </w:r>
      <w:r>
        <w:rPr>
          <w:rStyle w:val="mord"/>
          <w:rFonts w:eastAsiaTheme="majorEastAsia"/>
        </w:rPr>
        <w:t xml:space="preserve">is the overall </w:t>
      </w:r>
      <w:r w:rsidR="00C122F7">
        <w:rPr>
          <w:rStyle w:val="mord"/>
          <w:rFonts w:eastAsiaTheme="majorEastAsia"/>
        </w:rPr>
        <w:t xml:space="preserve">(fixed) </w:t>
      </w:r>
      <w:r>
        <w:rPr>
          <w:rStyle w:val="mord"/>
          <w:rFonts w:eastAsiaTheme="majorEastAsia"/>
        </w:rPr>
        <w:t xml:space="preserve">intercept, </w:t>
      </w:r>
      <w:r w:rsidR="00F22976" w:rsidRPr="00E34C96">
        <w:rPr>
          <w:i/>
          <w:iCs/>
        </w:rPr>
        <w:sym w:font="Symbol" w:char="F062"/>
      </w:r>
      <w:r w:rsidR="00F22976">
        <w:rPr>
          <w:vertAlign w:val="subscript"/>
        </w:rPr>
        <w:t>10</w:t>
      </w:r>
      <w:r w:rsidR="00F22976">
        <w:rPr>
          <w:vertAlign w:val="subscript"/>
        </w:rPr>
        <w:t xml:space="preserve"> </w:t>
      </w:r>
      <w:r>
        <w:rPr>
          <w:rStyle w:val="mord"/>
          <w:rFonts w:eastAsiaTheme="majorEastAsia"/>
        </w:rPr>
        <w:t xml:space="preserve">and </w:t>
      </w:r>
      <w:r w:rsidR="00F22976" w:rsidRPr="00E34C96">
        <w:rPr>
          <w:i/>
          <w:iCs/>
        </w:rPr>
        <w:sym w:font="Symbol" w:char="F062"/>
      </w:r>
      <w:r w:rsidR="00F22976">
        <w:rPr>
          <w:vertAlign w:val="subscript"/>
        </w:rPr>
        <w:t>2</w:t>
      </w:r>
      <w:r w:rsidR="00F22976">
        <w:rPr>
          <w:vertAlign w:val="subscript"/>
        </w:rPr>
        <w:t>0</w:t>
      </w:r>
      <w:r>
        <w:rPr>
          <w:rStyle w:val="mord"/>
          <w:rFonts w:eastAsiaTheme="majorEastAsia"/>
          <w:vertAlign w:val="subscript"/>
        </w:rPr>
        <w:t xml:space="preserve"> </w:t>
      </w:r>
      <w:r>
        <w:rPr>
          <w:rStyle w:val="mord"/>
          <w:rFonts w:eastAsiaTheme="majorEastAsia"/>
        </w:rPr>
        <w:t>are the fixed effects</w:t>
      </w:r>
      <w:r w:rsidR="00C122F7">
        <w:rPr>
          <w:rStyle w:val="mord"/>
          <w:rFonts w:eastAsiaTheme="majorEastAsia"/>
        </w:rPr>
        <w:t xml:space="preserve"> for extraversion and neuroticism, respectively</w:t>
      </w:r>
      <w:r>
        <w:rPr>
          <w:rStyle w:val="mord"/>
          <w:rFonts w:eastAsiaTheme="majorEastAsia"/>
        </w:rPr>
        <w:t xml:space="preserve">, </w:t>
      </w:r>
      <w:r w:rsidR="00F22976">
        <w:rPr>
          <w:i/>
          <w:iCs/>
        </w:rPr>
        <w:t>u</w:t>
      </w:r>
      <w:r w:rsidR="00F22976">
        <w:rPr>
          <w:vertAlign w:val="subscript"/>
        </w:rPr>
        <w:t>0</w:t>
      </w:r>
      <w:r w:rsidR="00F22976">
        <w:rPr>
          <w:i/>
          <w:iCs/>
          <w:vertAlign w:val="subscript"/>
        </w:rPr>
        <w:t>j</w:t>
      </w:r>
      <w:r w:rsidR="00F22976">
        <w:rPr>
          <w:i/>
          <w:iCs/>
          <w:vertAlign w:val="subscript"/>
        </w:rPr>
        <w:t xml:space="preserve"> </w:t>
      </w:r>
      <w:r>
        <w:rPr>
          <w:rStyle w:val="mord"/>
          <w:rFonts w:eastAsiaTheme="majorEastAsia"/>
        </w:rPr>
        <w:t xml:space="preserve">is the random intercept for participant </w:t>
      </w:r>
      <w:r>
        <w:rPr>
          <w:rStyle w:val="mord"/>
          <w:rFonts w:eastAsiaTheme="majorEastAsia"/>
          <w:i/>
          <w:iCs/>
        </w:rPr>
        <w:t>j</w:t>
      </w:r>
      <w:r>
        <w:rPr>
          <w:rStyle w:val="mord"/>
          <w:rFonts w:eastAsiaTheme="majorEastAsia"/>
        </w:rPr>
        <w:t xml:space="preserve">, and </w:t>
      </w:r>
      <w:r w:rsidR="00F22976">
        <w:sym w:font="Symbol" w:char="F065"/>
      </w:r>
      <w:proofErr w:type="spellStart"/>
      <w:r w:rsidR="00F22976" w:rsidRPr="00F26546">
        <w:rPr>
          <w:i/>
          <w:iCs/>
          <w:vertAlign w:val="subscript"/>
        </w:rPr>
        <w:t>ij</w:t>
      </w:r>
      <w:proofErr w:type="spellEnd"/>
      <w:r>
        <w:rPr>
          <w:rStyle w:val="mord"/>
          <w:rFonts w:eastAsiaTheme="majorEastAsia"/>
          <w:i/>
          <w:iCs/>
          <w:vertAlign w:val="subscript"/>
        </w:rPr>
        <w:t xml:space="preserve"> </w:t>
      </w:r>
      <w:r w:rsidRPr="002A7567">
        <w:rPr>
          <w:rStyle w:val="mord"/>
          <w:rFonts w:eastAsiaTheme="majorEastAsia"/>
        </w:rPr>
        <w:t>is the residual error</w:t>
      </w:r>
      <w:r>
        <w:rPr>
          <w:rStyle w:val="mord"/>
          <w:rFonts w:eastAsiaTheme="majorEastAsia"/>
        </w:rPr>
        <w:t>.</w:t>
      </w:r>
      <w:r w:rsidR="00C122F7">
        <w:rPr>
          <w:rStyle w:val="mord"/>
          <w:rFonts w:eastAsiaTheme="majorEastAsia"/>
        </w:rPr>
        <w:t xml:space="preserve"> </w:t>
      </w:r>
    </w:p>
    <w:p w14:paraId="5C99AEF6" w14:textId="5EA19DD8" w:rsidR="009E1529" w:rsidRPr="009E1529" w:rsidRDefault="009E1529" w:rsidP="00AC32CA">
      <w:pPr>
        <w:spacing w:line="480" w:lineRule="auto"/>
        <w:rPr>
          <w:rStyle w:val="mord"/>
          <w:rFonts w:eastAsiaTheme="majorEastAsia"/>
          <w:b/>
          <w:bCs/>
          <w:i/>
          <w:iCs/>
        </w:rPr>
      </w:pPr>
      <w:r>
        <w:rPr>
          <w:rStyle w:val="mord"/>
          <w:rFonts w:eastAsiaTheme="majorEastAsia"/>
          <w:b/>
          <w:bCs/>
          <w:i/>
          <w:iCs/>
        </w:rPr>
        <w:t>Assumption Checks</w:t>
      </w:r>
    </w:p>
    <w:p w14:paraId="22E871BB" w14:textId="50D04EFA" w:rsidR="009C0A65" w:rsidRPr="009C0A65" w:rsidRDefault="009C0A65" w:rsidP="00AC32CA">
      <w:pPr>
        <w:spacing w:line="480" w:lineRule="auto"/>
        <w:rPr>
          <w:rStyle w:val="mord"/>
          <w:rFonts w:eastAsiaTheme="majorEastAsia"/>
        </w:rPr>
      </w:pPr>
      <w:r>
        <w:rPr>
          <w:rStyle w:val="mord"/>
          <w:rFonts w:eastAsiaTheme="majorEastAsia"/>
        </w:rPr>
        <w:tab/>
        <w:t>Residuals were plotted against each predictor to examine</w:t>
      </w:r>
      <w:r w:rsidRPr="009C0A65">
        <w:t xml:space="preserve"> </w:t>
      </w:r>
      <w:r>
        <w:t xml:space="preserve">whether the relationship between extraversion and satisfaction with life was linear and exhibited constant variance. </w:t>
      </w:r>
      <w:r>
        <w:t>R</w:t>
      </w:r>
      <w:r>
        <w:t>esiduals were approximately evenly scattered across levels of extraversion without a clear pattern, supporting the assumption of linearity and homoscedasticity. In contrast, the residuals plotted against neuroticism revealed a subtle downward trend, suggesting slight non-linearity. However, residuals remained roughly centered around zero and showed no dramatic funneling, indicating that the violation was minor.</w:t>
      </w:r>
      <w:r w:rsidR="00DD2098">
        <w:t xml:space="preserve"> If stronger non-linearity had been observed, one potential solution would be to include a quadratic term, though that is outside the scope of this course.</w:t>
      </w:r>
    </w:p>
    <w:p w14:paraId="5BB12184" w14:textId="28C18454" w:rsidR="009C0A65" w:rsidRDefault="009C0A65" w:rsidP="009C0A65">
      <w:pPr>
        <w:spacing w:line="480" w:lineRule="auto"/>
        <w:ind w:firstLine="720"/>
      </w:pPr>
      <w:r>
        <w:t>The histogram of residuals showed a bell-shaped distribution, and the Q–Q plot showed that most residuals closely followed the expected theoretical line. Small deviations at the tails were observed but are common in large samples and not considered problematic. Together, these results indicate that the normality assumption was sufficiently met.</w:t>
      </w:r>
    </w:p>
    <w:p w14:paraId="16D8A013" w14:textId="06795898" w:rsidR="009C0A65" w:rsidRPr="009C0A65" w:rsidRDefault="009C0A65" w:rsidP="009C0A65">
      <w:pPr>
        <w:spacing w:line="480" w:lineRule="auto"/>
      </w:pPr>
      <w:r>
        <w:tab/>
      </w:r>
      <w:r>
        <w:t>The residuals</w:t>
      </w:r>
      <w:r>
        <w:t xml:space="preserve"> vs. </w:t>
      </w:r>
      <w:r>
        <w:t>fitted-values plot demonstrated some heteroscedasticity. Residuals were more widely dispersed at lower predicted values of satisfaction with life and became more concentrated as predicted values increased. This violation was mild and did not indicate a major threat to model validity.</w:t>
      </w:r>
    </w:p>
    <w:p w14:paraId="295B1996" w14:textId="77777777" w:rsidR="00AF2AD9" w:rsidRDefault="00E24796" w:rsidP="00AC32CA">
      <w:pPr>
        <w:spacing w:line="480" w:lineRule="auto"/>
        <w:ind w:firstLine="720"/>
      </w:pPr>
      <w:r>
        <w:t xml:space="preserve">Multicollinearity was assessed and ruled out. The correlation between extraversion and neuroticism was moderate (r = –.33), well below the threshold of concern (|r| &gt; .80). This </w:t>
      </w:r>
      <w:r>
        <w:lastRenderedPageBreak/>
        <w:t>suggests that both variables can be included in the same model without concern for overlapping influence.</w:t>
      </w:r>
    </w:p>
    <w:p w14:paraId="2AACAFA5" w14:textId="143AA866" w:rsidR="00AC32CA" w:rsidRDefault="009C0A65" w:rsidP="00AC32CA">
      <w:pPr>
        <w:spacing w:line="480" w:lineRule="auto"/>
        <w:ind w:firstLine="720"/>
      </w:pPr>
      <w:r>
        <w:t xml:space="preserve">Across all diagnostics, assumptions of linearity, </w:t>
      </w:r>
      <w:r>
        <w:t>homoscedasticity, and normality were reasonably met. Although minor deviations were noted</w:t>
      </w:r>
      <w:r>
        <w:t xml:space="preserve">, </w:t>
      </w:r>
      <w:r>
        <w:t>such as mild heteroscedasticity and slight non-linearity with neuroticism</w:t>
      </w:r>
      <w:r>
        <w:t xml:space="preserve">, </w:t>
      </w:r>
      <w:r>
        <w:t>there were no serious violations. These findings supported proceeding with more complex mixed effects models to test study hypotheses.</w:t>
      </w:r>
    </w:p>
    <w:p w14:paraId="1B86AF20" w14:textId="77777777" w:rsidR="007542BA" w:rsidRDefault="00AC32CA" w:rsidP="00AC32CA">
      <w:pPr>
        <w:spacing w:line="480" w:lineRule="auto"/>
        <w:rPr>
          <w:b/>
          <w:bCs/>
        </w:rPr>
      </w:pPr>
      <w:r>
        <w:rPr>
          <w:b/>
          <w:bCs/>
        </w:rPr>
        <w:t>Model Building</w:t>
      </w:r>
      <w:r w:rsidR="007542BA">
        <w:rPr>
          <w:b/>
          <w:bCs/>
        </w:rPr>
        <w:t xml:space="preserve"> and Comparison</w:t>
      </w:r>
    </w:p>
    <w:p w14:paraId="106F1C51" w14:textId="6ADE7EB3" w:rsidR="001239C3" w:rsidRDefault="007542BA" w:rsidP="00D96524">
      <w:pPr>
        <w:spacing w:line="480" w:lineRule="auto"/>
      </w:pPr>
      <w:r>
        <w:tab/>
        <w:t>To test H1 and H2, a series of nested linear mixed models were estimated</w:t>
      </w:r>
      <w:r w:rsidR="001239C3">
        <w:t xml:space="preserve"> using REML</w:t>
      </w:r>
      <w:r>
        <w:t>. All models included a random intercept for participant ID to account for the nested structure of the data. Model 1 included extraversion as a fixed effect predictor of satisfaction with life. Model 2 added a random slope for extraversion, allowing for the strength of the extraversion and satisfaction with life relationship to vary across individuals. Model 3 introduced neuroticism as an additional fixed effect. Model 4 extended this model by including random slopes for both extraversion and neuroticism.</w:t>
      </w:r>
      <w:r w:rsidR="00D96524">
        <w:t xml:space="preserve"> </w:t>
      </w:r>
    </w:p>
    <w:p w14:paraId="6C6A7F47" w14:textId="0FAB6900" w:rsidR="007542BA" w:rsidRDefault="00AC66E5" w:rsidP="001239C3">
      <w:pPr>
        <w:spacing w:line="480" w:lineRule="auto"/>
        <w:ind w:firstLine="720"/>
      </w:pPr>
      <w:r>
        <w:t xml:space="preserve">All models were fit using </w:t>
      </w:r>
      <w:r w:rsidR="001239C3">
        <w:t>REML</w:t>
      </w:r>
      <w:r>
        <w:t xml:space="preserve">, </w:t>
      </w:r>
      <w:r>
        <w:t xml:space="preserve">which is preferred for estimating models when comparing random effect structures. However, when </w:t>
      </w:r>
      <w:r w:rsidR="002063D5">
        <w:t xml:space="preserve">conducting model comparisons, </w:t>
      </w:r>
      <w:r>
        <w:t xml:space="preserve">the models were re-estimated using maximum likelihood (ML) estimation. ML is appropriate when comparing models that differ in their fixed effects (e.g., adding new predictors), </w:t>
      </w:r>
      <w:r w:rsidR="0055663E">
        <w:t>and</w:t>
      </w:r>
      <w:r w:rsidR="007542BA">
        <w:t xml:space="preserve"> the</w:t>
      </w:r>
      <w:r w:rsidR="007542BA">
        <w:t xml:space="preserve"> </w:t>
      </w:r>
      <w:proofErr w:type="spellStart"/>
      <w:r w:rsidR="007542BA">
        <w:t>Flexplot</w:t>
      </w:r>
      <w:proofErr w:type="spellEnd"/>
      <w:r w:rsidR="007542BA">
        <w:t xml:space="preserve"> </w:t>
      </w:r>
      <w:r w:rsidR="007542BA">
        <w:t>package automatically refits models using ML for all comparisons.</w:t>
      </w:r>
    </w:p>
    <w:p w14:paraId="44B13D99" w14:textId="39A27332" w:rsidR="007542BA" w:rsidRDefault="007542BA" w:rsidP="00AC32CA">
      <w:pPr>
        <w:spacing w:line="480" w:lineRule="auto"/>
      </w:pPr>
      <w:r>
        <w:tab/>
      </w:r>
      <w:r>
        <w:t xml:space="preserve">The first comparison tested whether including a random slope for </w:t>
      </w:r>
      <w:r>
        <w:t>extraversio</w:t>
      </w:r>
      <w:r>
        <w:t>n</w:t>
      </w:r>
      <w:r>
        <w:t xml:space="preserve"> (Model 2)</w:t>
      </w:r>
      <w:r>
        <w:t xml:space="preserve"> improved model fit beyond a fixed slope model</w:t>
      </w:r>
      <w:r>
        <w:t xml:space="preserve"> (Model 1)</w:t>
      </w:r>
      <w:r>
        <w:t xml:space="preserve">. This comparison showed a substantial improvement in fit, with the AIC decreasing from 10,945.67 to 10,865.86 and the BIC decreasing from 10,971.08 to 10,903.99. A Bayes Factor of approximately 3.72 × 10¹⁴ </w:t>
      </w:r>
      <w:r>
        <w:lastRenderedPageBreak/>
        <w:t>indicated decisive evidence in favor of the random slope model. These results supported the inclusion of random slopes for extraversion, suggesting that the relationship between extraversion and satisfaction with life varied across individuals.</w:t>
      </w:r>
    </w:p>
    <w:p w14:paraId="32B30A52" w14:textId="228B9F03" w:rsidR="007542BA" w:rsidRDefault="007542BA" w:rsidP="007542BA">
      <w:pPr>
        <w:spacing w:line="480" w:lineRule="auto"/>
      </w:pPr>
      <w:r>
        <w:tab/>
      </w:r>
      <w:r>
        <w:t xml:space="preserve">Next, the addition of neuroticism as a fixed effect was evaluated. The model including neuroticism </w:t>
      </w:r>
      <w:r>
        <w:t xml:space="preserve">(Model 3) </w:t>
      </w:r>
      <w:r>
        <w:t>yielded improved fit over the previous model, with the AIC decreasing from 10,865.86 to 10,498.33 and the BIC from 10,903.99 to 10,542.81. The Bayes Factor (≈ 2.68 × 10⁷⁸) provided overwhelming evidence in favor of including neuroticism, indicating that it contributed unique explanatory power in predicting satisfaction with life above and beyond extraversion.</w:t>
      </w:r>
    </w:p>
    <w:p w14:paraId="73300DD2" w14:textId="77777777" w:rsidR="00DA3ECF" w:rsidRDefault="007542BA" w:rsidP="007542BA">
      <w:pPr>
        <w:spacing w:line="480" w:lineRule="auto"/>
        <w:ind w:firstLine="720"/>
      </w:pPr>
      <w:r>
        <w:t>Finally, a model with random slopes for both extraversion and neuroticism (Model 4) was compared to the model with only a random slope for extraversion. Model 4 demonstrated superior fit, with an AIC of 10,364.47 and BIC of 10,428.02. The Bayes Factor (≈ 8.46 × 10²⁴) strongly favored the more complex model. Although the estimated slope variances were modest (</w:t>
      </w:r>
      <w:r w:rsidR="005918D9">
        <w:t xml:space="preserve">Extroversion: </w:t>
      </w:r>
      <w:r>
        <w:t>σ² = 0.02;</w:t>
      </w:r>
      <w:r w:rsidR="005918D9">
        <w:t xml:space="preserve"> Neuroticism:</w:t>
      </w:r>
      <w:r>
        <w:t xml:space="preserve"> σ² = 0.04), their inclusion improved model performance and accounted for meaningful variability in how personality traits were associated with satisfaction with life across individuals.</w:t>
      </w:r>
      <w:r w:rsidR="00B00F4C">
        <w:t xml:space="preserve"> </w:t>
      </w:r>
    </w:p>
    <w:p w14:paraId="7A95E899" w14:textId="78F6D0E8" w:rsidR="00DA3ECF" w:rsidRDefault="00D13549" w:rsidP="00D13549">
      <w:pPr>
        <w:spacing w:line="480" w:lineRule="auto"/>
        <w:ind w:firstLine="720"/>
      </w:pPr>
      <w:r>
        <w:t>The fourth and final model can be expressed using a two-level linear mixed-effects equation.</w:t>
      </w:r>
      <w:r>
        <w:t xml:space="preserve"> At Level 1 (within-person), </w:t>
      </w:r>
      <w:r>
        <w:t xml:space="preserve">daily satisfaction with life for observation </w:t>
      </w:r>
      <w:proofErr w:type="spellStart"/>
      <w:r>
        <w:rPr>
          <w:rStyle w:val="Emphasis"/>
          <w:rFonts w:eastAsiaTheme="majorEastAsia"/>
        </w:rPr>
        <w:t>i</w:t>
      </w:r>
      <w:proofErr w:type="spellEnd"/>
      <w:r>
        <w:t xml:space="preserve"> from participant </w:t>
      </w:r>
      <w:r>
        <w:rPr>
          <w:rStyle w:val="Emphasis"/>
          <w:rFonts w:eastAsiaTheme="majorEastAsia"/>
        </w:rPr>
        <w:t>j</w:t>
      </w:r>
      <w:r>
        <w:t xml:space="preserve"> was predicted by extraversion and neuroticism as follows:</w:t>
      </w:r>
      <w:r>
        <w:t xml:space="preserve"> </w:t>
      </w:r>
    </w:p>
    <w:p w14:paraId="3B98FE6E" w14:textId="4A9789EF" w:rsidR="00F26546" w:rsidRPr="00F26546" w:rsidRDefault="00F26546" w:rsidP="00F26546">
      <w:pPr>
        <w:spacing w:line="480" w:lineRule="auto"/>
        <w:jc w:val="center"/>
        <w:rPr>
          <w:vertAlign w:val="subscript"/>
        </w:rPr>
      </w:pPr>
      <w:proofErr w:type="spellStart"/>
      <w:r>
        <w:t>SWL</w:t>
      </w:r>
      <w:r>
        <w:rPr>
          <w:i/>
          <w:iCs/>
          <w:vertAlign w:val="subscript"/>
        </w:rPr>
        <w:t>ij</w:t>
      </w:r>
      <w:proofErr w:type="spellEnd"/>
      <w:r>
        <w:t xml:space="preserve"> = </w:t>
      </w:r>
      <w:r w:rsidRPr="00F26546">
        <w:rPr>
          <w:i/>
          <w:iCs/>
        </w:rPr>
        <w:sym w:font="Symbol" w:char="F062"/>
      </w:r>
      <w:r>
        <w:rPr>
          <w:vertAlign w:val="subscript"/>
        </w:rPr>
        <w:t>0</w:t>
      </w:r>
      <w:r>
        <w:rPr>
          <w:i/>
          <w:iCs/>
          <w:vertAlign w:val="subscript"/>
        </w:rPr>
        <w:t>j</w:t>
      </w:r>
      <w:r>
        <w:t xml:space="preserve"> + </w:t>
      </w:r>
      <w:r w:rsidRPr="00F26546">
        <w:rPr>
          <w:i/>
          <w:iCs/>
        </w:rPr>
        <w:sym w:font="Symbol" w:char="F062"/>
      </w:r>
      <w:r>
        <w:rPr>
          <w:vertAlign w:val="subscript"/>
        </w:rPr>
        <w:t>1</w:t>
      </w:r>
      <w:r>
        <w:rPr>
          <w:i/>
          <w:iCs/>
          <w:vertAlign w:val="subscript"/>
        </w:rPr>
        <w:t>j</w:t>
      </w:r>
      <w:r>
        <w:t>(</w:t>
      </w:r>
      <w:proofErr w:type="spellStart"/>
      <w:r>
        <w:t>Extraversion</w:t>
      </w:r>
      <w:r w:rsidRPr="00F26546">
        <w:rPr>
          <w:i/>
          <w:iCs/>
          <w:vertAlign w:val="subscript"/>
        </w:rPr>
        <w:t>ij</w:t>
      </w:r>
      <w:proofErr w:type="spellEnd"/>
      <w:r>
        <w:t xml:space="preserve">) + </w:t>
      </w:r>
      <w:r w:rsidRPr="00F26546">
        <w:rPr>
          <w:i/>
          <w:iCs/>
        </w:rPr>
        <w:sym w:font="Symbol" w:char="F062"/>
      </w:r>
      <w:r>
        <w:rPr>
          <w:vertAlign w:val="subscript"/>
        </w:rPr>
        <w:t>2</w:t>
      </w:r>
      <w:r>
        <w:rPr>
          <w:i/>
          <w:iCs/>
          <w:vertAlign w:val="subscript"/>
        </w:rPr>
        <w:t>j</w:t>
      </w:r>
      <w:r>
        <w:t>(</w:t>
      </w:r>
      <w:proofErr w:type="spellStart"/>
      <w:r>
        <w:t>Neuroticism</w:t>
      </w:r>
      <w:r w:rsidRPr="00F26546">
        <w:rPr>
          <w:i/>
          <w:iCs/>
          <w:vertAlign w:val="subscript"/>
        </w:rPr>
        <w:t>ij</w:t>
      </w:r>
      <w:proofErr w:type="spellEnd"/>
      <w:r>
        <w:t>)</w:t>
      </w:r>
      <w:r>
        <w:t xml:space="preserve"> + </w:t>
      </w:r>
      <w:r>
        <w:sym w:font="Symbol" w:char="F065"/>
      </w:r>
      <w:proofErr w:type="spellStart"/>
      <w:r w:rsidRPr="00F26546">
        <w:rPr>
          <w:i/>
          <w:iCs/>
          <w:vertAlign w:val="subscript"/>
        </w:rPr>
        <w:t>ij</w:t>
      </w:r>
      <w:proofErr w:type="spellEnd"/>
    </w:p>
    <w:p w14:paraId="6F6B2077" w14:textId="73DE73A8" w:rsidR="00DA3ECF" w:rsidRDefault="00D13549" w:rsidP="003C0F51">
      <w:pPr>
        <w:spacing w:line="480" w:lineRule="auto"/>
      </w:pPr>
      <w:r>
        <w:t>Here,</w:t>
      </w:r>
      <w:r w:rsidR="00F26546">
        <w:t xml:space="preserve"> </w:t>
      </w:r>
      <w:r w:rsidR="00F26546" w:rsidRPr="00F26546">
        <w:rPr>
          <w:i/>
          <w:iCs/>
        </w:rPr>
        <w:sym w:font="Symbol" w:char="F062"/>
      </w:r>
      <w:r w:rsidR="00F26546">
        <w:rPr>
          <w:vertAlign w:val="subscript"/>
        </w:rPr>
        <w:t>0</w:t>
      </w:r>
      <w:r w:rsidR="00F26546">
        <w:rPr>
          <w:i/>
          <w:iCs/>
          <w:vertAlign w:val="subscript"/>
        </w:rPr>
        <w:t>j</w:t>
      </w:r>
      <w:r w:rsidR="00F26546">
        <w:t xml:space="preserve"> </w:t>
      </w:r>
      <w:r w:rsidR="00DA3ECF">
        <w:t xml:space="preserve">is the intercept, </w:t>
      </w:r>
      <w:r w:rsidR="00F26546" w:rsidRPr="00F26546">
        <w:rPr>
          <w:i/>
          <w:iCs/>
        </w:rPr>
        <w:sym w:font="Symbol" w:char="F062"/>
      </w:r>
      <w:r w:rsidR="00F26546">
        <w:rPr>
          <w:vertAlign w:val="subscript"/>
        </w:rPr>
        <w:t>1</w:t>
      </w:r>
      <w:r w:rsidR="00F26546">
        <w:rPr>
          <w:i/>
          <w:iCs/>
          <w:vertAlign w:val="subscript"/>
        </w:rPr>
        <w:t>j</w:t>
      </w:r>
      <w:r w:rsidR="00F26546">
        <w:rPr>
          <w:i/>
          <w:iCs/>
          <w:vertAlign w:val="subscript"/>
        </w:rPr>
        <w:t xml:space="preserve"> </w:t>
      </w:r>
      <w:r w:rsidR="00DA3ECF">
        <w:t xml:space="preserve">and </w:t>
      </w:r>
      <w:r w:rsidR="00F26546" w:rsidRPr="00F26546">
        <w:rPr>
          <w:i/>
          <w:iCs/>
        </w:rPr>
        <w:sym w:font="Symbol" w:char="F062"/>
      </w:r>
      <w:r w:rsidR="00F26546">
        <w:rPr>
          <w:vertAlign w:val="subscript"/>
        </w:rPr>
        <w:t>2</w:t>
      </w:r>
      <w:r w:rsidR="00F26546">
        <w:rPr>
          <w:i/>
          <w:iCs/>
          <w:vertAlign w:val="subscript"/>
        </w:rPr>
        <w:t>j</w:t>
      </w:r>
      <w:r w:rsidR="00F26546">
        <w:rPr>
          <w:i/>
          <w:iCs/>
          <w:vertAlign w:val="subscript"/>
        </w:rPr>
        <w:t xml:space="preserve"> </w:t>
      </w:r>
      <w:r w:rsidR="00DA3ECF">
        <w:t xml:space="preserve">represent </w:t>
      </w:r>
      <w:r w:rsidR="00DA3ECF">
        <w:t>participant-specific slopes for extraversion and neuroticism, respectively, and</w:t>
      </w:r>
      <w:r w:rsidR="00DA3ECF">
        <w:t xml:space="preserve"> </w:t>
      </w:r>
      <w:r w:rsidR="00F26546">
        <w:sym w:font="Symbol" w:char="F065"/>
      </w:r>
      <w:proofErr w:type="spellStart"/>
      <w:r w:rsidR="00F26546" w:rsidRPr="00F26546">
        <w:rPr>
          <w:i/>
          <w:iCs/>
          <w:vertAlign w:val="subscript"/>
        </w:rPr>
        <w:t>ij</w:t>
      </w:r>
      <w:proofErr w:type="spellEnd"/>
      <w:r w:rsidR="00F26546">
        <w:rPr>
          <w:i/>
          <w:iCs/>
          <w:vertAlign w:val="subscript"/>
        </w:rPr>
        <w:t xml:space="preserve"> </w:t>
      </w:r>
      <w:r w:rsidR="00DA3ECF">
        <w:t>is the residual error.</w:t>
      </w:r>
      <w:r w:rsidR="00554406">
        <w:t xml:space="preserve"> </w:t>
      </w:r>
      <w:r w:rsidR="003C0F51">
        <w:t xml:space="preserve">At </w:t>
      </w:r>
      <w:r w:rsidR="00DA3ECF" w:rsidRPr="00DA3ECF">
        <w:t>Level 2 (between-person)</w:t>
      </w:r>
      <w:r w:rsidR="003C0F51">
        <w:t xml:space="preserve">, each of the Level 1 coefficients </w:t>
      </w:r>
      <w:r w:rsidR="00B646C8">
        <w:t>are</w:t>
      </w:r>
      <w:r w:rsidR="003C0F51">
        <w:t xml:space="preserve"> modeled as a function of fixed effects and random deviations:</w:t>
      </w:r>
    </w:p>
    <w:p w14:paraId="0B3B14BA" w14:textId="775511E3" w:rsidR="00F26546" w:rsidRDefault="00F26546" w:rsidP="00F26546">
      <w:pPr>
        <w:spacing w:line="480" w:lineRule="auto"/>
        <w:jc w:val="center"/>
        <w:rPr>
          <w:i/>
          <w:iCs/>
          <w:vertAlign w:val="subscript"/>
        </w:rPr>
      </w:pPr>
      <w:r w:rsidRPr="00F26546">
        <w:rPr>
          <w:i/>
          <w:iCs/>
        </w:rPr>
        <w:lastRenderedPageBreak/>
        <w:sym w:font="Symbol" w:char="F062"/>
      </w:r>
      <w:r>
        <w:rPr>
          <w:vertAlign w:val="subscript"/>
        </w:rPr>
        <w:t>0</w:t>
      </w:r>
      <w:r>
        <w:rPr>
          <w:i/>
          <w:iCs/>
          <w:vertAlign w:val="subscript"/>
        </w:rPr>
        <w:t>j</w:t>
      </w:r>
      <w:r>
        <w:t xml:space="preserve"> </w:t>
      </w:r>
      <w:r>
        <w:t xml:space="preserve">= </w:t>
      </w:r>
      <w:r>
        <w:sym w:font="Symbol" w:char="F070"/>
      </w:r>
      <w:r>
        <w:rPr>
          <w:vertAlign w:val="subscript"/>
        </w:rPr>
        <w:t xml:space="preserve">00 </w:t>
      </w:r>
      <w:r>
        <w:t xml:space="preserve">+ </w:t>
      </w:r>
      <w:r w:rsidRPr="00F26546">
        <w:rPr>
          <w:i/>
          <w:iCs/>
        </w:rPr>
        <w:t>u</w:t>
      </w:r>
      <w:r>
        <w:rPr>
          <w:vertAlign w:val="subscript"/>
        </w:rPr>
        <w:t>0</w:t>
      </w:r>
      <w:r>
        <w:rPr>
          <w:i/>
          <w:iCs/>
          <w:vertAlign w:val="subscript"/>
        </w:rPr>
        <w:t>j</w:t>
      </w:r>
    </w:p>
    <w:p w14:paraId="0A2280C7" w14:textId="732994A6" w:rsidR="00F26546" w:rsidRDefault="00F26546" w:rsidP="00F26546">
      <w:pPr>
        <w:spacing w:line="480" w:lineRule="auto"/>
        <w:jc w:val="center"/>
        <w:rPr>
          <w:i/>
          <w:iCs/>
          <w:vertAlign w:val="subscript"/>
        </w:rPr>
      </w:pPr>
      <w:r w:rsidRPr="00F26546">
        <w:rPr>
          <w:i/>
          <w:iCs/>
        </w:rPr>
        <w:sym w:font="Symbol" w:char="F062"/>
      </w:r>
      <w:r>
        <w:rPr>
          <w:vertAlign w:val="subscript"/>
        </w:rPr>
        <w:t>0</w:t>
      </w:r>
      <w:r>
        <w:rPr>
          <w:i/>
          <w:iCs/>
          <w:vertAlign w:val="subscript"/>
        </w:rPr>
        <w:t>j</w:t>
      </w:r>
      <w:r>
        <w:t xml:space="preserve"> = </w:t>
      </w:r>
      <w:r>
        <w:sym w:font="Symbol" w:char="F070"/>
      </w:r>
      <w:r>
        <w:rPr>
          <w:vertAlign w:val="subscript"/>
        </w:rPr>
        <w:t>1</w:t>
      </w:r>
      <w:r>
        <w:rPr>
          <w:vertAlign w:val="subscript"/>
        </w:rPr>
        <w:t xml:space="preserve">0 </w:t>
      </w:r>
      <w:r>
        <w:t xml:space="preserve">+ </w:t>
      </w:r>
      <w:r w:rsidRPr="00F26546">
        <w:rPr>
          <w:i/>
          <w:iCs/>
        </w:rPr>
        <w:t>u</w:t>
      </w:r>
      <w:r>
        <w:rPr>
          <w:vertAlign w:val="subscript"/>
        </w:rPr>
        <w:t>1</w:t>
      </w:r>
      <w:r>
        <w:rPr>
          <w:i/>
          <w:iCs/>
          <w:vertAlign w:val="subscript"/>
        </w:rPr>
        <w:t>j</w:t>
      </w:r>
    </w:p>
    <w:p w14:paraId="7BD866FD" w14:textId="13CAC118" w:rsidR="00F26546" w:rsidRPr="00F26546" w:rsidRDefault="00F26546" w:rsidP="00F26546">
      <w:pPr>
        <w:spacing w:line="480" w:lineRule="auto"/>
        <w:jc w:val="center"/>
        <w:rPr>
          <w:i/>
          <w:iCs/>
          <w:vertAlign w:val="subscript"/>
        </w:rPr>
      </w:pPr>
      <w:r w:rsidRPr="00F26546">
        <w:rPr>
          <w:i/>
          <w:iCs/>
        </w:rPr>
        <w:sym w:font="Symbol" w:char="F062"/>
      </w:r>
      <w:r>
        <w:rPr>
          <w:vertAlign w:val="subscript"/>
        </w:rPr>
        <w:t>0</w:t>
      </w:r>
      <w:r>
        <w:rPr>
          <w:i/>
          <w:iCs/>
          <w:vertAlign w:val="subscript"/>
        </w:rPr>
        <w:t>j</w:t>
      </w:r>
      <w:r>
        <w:t xml:space="preserve"> = </w:t>
      </w:r>
      <w:r>
        <w:sym w:font="Symbol" w:char="F070"/>
      </w:r>
      <w:r>
        <w:rPr>
          <w:vertAlign w:val="subscript"/>
        </w:rPr>
        <w:t>2</w:t>
      </w:r>
      <w:r>
        <w:rPr>
          <w:vertAlign w:val="subscript"/>
        </w:rPr>
        <w:t xml:space="preserve">0 </w:t>
      </w:r>
      <w:r>
        <w:t xml:space="preserve">+ </w:t>
      </w:r>
      <w:r w:rsidRPr="00F26546">
        <w:rPr>
          <w:i/>
          <w:iCs/>
        </w:rPr>
        <w:t>u</w:t>
      </w:r>
      <w:r>
        <w:rPr>
          <w:vertAlign w:val="subscript"/>
        </w:rPr>
        <w:t>2</w:t>
      </w:r>
      <w:r>
        <w:rPr>
          <w:i/>
          <w:iCs/>
          <w:vertAlign w:val="subscript"/>
        </w:rPr>
        <w:t>j</w:t>
      </w:r>
    </w:p>
    <w:p w14:paraId="7644ED25" w14:textId="180550E4" w:rsidR="00493D6E" w:rsidRDefault="00910781" w:rsidP="00554406">
      <w:pPr>
        <w:spacing w:line="480" w:lineRule="auto"/>
      </w:pPr>
      <w:r>
        <w:t>In these equations,</w:t>
      </w:r>
      <w:r w:rsidR="00493D6E">
        <w:t xml:space="preserve"> </w:t>
      </w:r>
      <w:r w:rsidR="00F26546">
        <w:sym w:font="Symbol" w:char="F070"/>
      </w:r>
      <w:r w:rsidR="00F26546">
        <w:rPr>
          <w:vertAlign w:val="subscript"/>
        </w:rPr>
        <w:t>00</w:t>
      </w:r>
      <w:r w:rsidR="00493D6E">
        <w:t xml:space="preserve">, </w:t>
      </w:r>
      <w:r w:rsidR="00F26546">
        <w:sym w:font="Symbol" w:char="F070"/>
      </w:r>
      <w:r w:rsidR="00F26546">
        <w:rPr>
          <w:vertAlign w:val="subscript"/>
        </w:rPr>
        <w:t>1</w:t>
      </w:r>
      <w:r w:rsidR="00F26546">
        <w:rPr>
          <w:vertAlign w:val="subscript"/>
        </w:rPr>
        <w:t>0</w:t>
      </w:r>
      <w:r w:rsidR="00493D6E">
        <w:t xml:space="preserve">, and </w:t>
      </w:r>
      <w:r w:rsidR="00F26546">
        <w:sym w:font="Symbol" w:char="F070"/>
      </w:r>
      <w:r w:rsidR="00F26546">
        <w:rPr>
          <w:vertAlign w:val="subscript"/>
        </w:rPr>
        <w:t>2</w:t>
      </w:r>
      <w:r w:rsidR="00F26546">
        <w:rPr>
          <w:vertAlign w:val="subscript"/>
        </w:rPr>
        <w:t>0</w:t>
      </w:r>
      <w:r w:rsidR="00493D6E">
        <w:t xml:space="preserve"> </w:t>
      </w:r>
      <w:r>
        <w:t>are the fixed (average) intercept and slopes across all participants</w:t>
      </w:r>
      <w:r w:rsidR="00493D6E">
        <w:t>.</w:t>
      </w:r>
      <w:r w:rsidR="00493D6E">
        <w:t xml:space="preserve"> The terms </w:t>
      </w:r>
      <w:r w:rsidR="00F26546" w:rsidRPr="00F26546">
        <w:rPr>
          <w:i/>
          <w:iCs/>
        </w:rPr>
        <w:t>u</w:t>
      </w:r>
      <w:r w:rsidR="00F26546">
        <w:rPr>
          <w:vertAlign w:val="subscript"/>
        </w:rPr>
        <w:t>0</w:t>
      </w:r>
      <w:r w:rsidR="00F26546">
        <w:rPr>
          <w:i/>
          <w:iCs/>
          <w:vertAlign w:val="subscript"/>
        </w:rPr>
        <w:t>j</w:t>
      </w:r>
      <w:r w:rsidR="00493D6E">
        <w:t xml:space="preserve">, </w:t>
      </w:r>
      <w:r w:rsidR="00F26546" w:rsidRPr="00F26546">
        <w:rPr>
          <w:i/>
          <w:iCs/>
        </w:rPr>
        <w:t>u</w:t>
      </w:r>
      <w:r w:rsidR="00F26546">
        <w:rPr>
          <w:vertAlign w:val="subscript"/>
        </w:rPr>
        <w:t>1</w:t>
      </w:r>
      <w:r w:rsidR="00F26546">
        <w:rPr>
          <w:i/>
          <w:iCs/>
          <w:vertAlign w:val="subscript"/>
        </w:rPr>
        <w:t>j</w:t>
      </w:r>
      <w:r w:rsidR="00493D6E">
        <w:t xml:space="preserve">, and </w:t>
      </w:r>
      <w:r w:rsidR="00F26546" w:rsidRPr="00F26546">
        <w:rPr>
          <w:i/>
          <w:iCs/>
        </w:rPr>
        <w:t>u</w:t>
      </w:r>
      <w:r w:rsidR="00F26546">
        <w:rPr>
          <w:vertAlign w:val="subscript"/>
        </w:rPr>
        <w:t>2</w:t>
      </w:r>
      <w:r w:rsidR="00F26546">
        <w:rPr>
          <w:i/>
          <w:iCs/>
          <w:vertAlign w:val="subscript"/>
        </w:rPr>
        <w:t>j</w:t>
      </w:r>
      <w:r w:rsidR="00493D6E">
        <w:t xml:space="preserve"> are</w:t>
      </w:r>
      <w:r>
        <w:t xml:space="preserve"> participant-specific random effects</w:t>
      </w:r>
      <w:r w:rsidR="00493D6E">
        <w:t>.</w:t>
      </w:r>
      <w:r w:rsidR="00554406">
        <w:t xml:space="preserve"> </w:t>
      </w:r>
      <w:r>
        <w:t xml:space="preserve">The combined equation for Model 4 is as follows: </w:t>
      </w:r>
    </w:p>
    <w:p w14:paraId="7FE2536B" w14:textId="6F25E8D4" w:rsidR="00EE21B0" w:rsidRPr="00EE21B0" w:rsidRDefault="00EE21B0" w:rsidP="00EE21B0">
      <w:pPr>
        <w:spacing w:line="480" w:lineRule="auto"/>
        <w:jc w:val="center"/>
      </w:pPr>
      <w:proofErr w:type="spellStart"/>
      <w:r>
        <w:t>SWL</w:t>
      </w:r>
      <w:r>
        <w:rPr>
          <w:i/>
          <w:iCs/>
          <w:vertAlign w:val="subscript"/>
        </w:rPr>
        <w:t>ij</w:t>
      </w:r>
      <w:proofErr w:type="spellEnd"/>
      <w:r>
        <w:t xml:space="preserve"> = </w:t>
      </w:r>
      <w:r w:rsidRPr="00EE21B0">
        <w:rPr>
          <w:i/>
          <w:iCs/>
        </w:rPr>
        <w:sym w:font="Symbol" w:char="F062"/>
      </w:r>
      <w:r>
        <w:rPr>
          <w:vertAlign w:val="subscript"/>
        </w:rPr>
        <w:t xml:space="preserve">00 </w:t>
      </w:r>
      <w:r>
        <w:t xml:space="preserve">+ </w:t>
      </w:r>
      <w:r w:rsidRPr="00EE21B0">
        <w:rPr>
          <w:i/>
          <w:iCs/>
        </w:rPr>
        <w:sym w:font="Symbol" w:char="F062"/>
      </w:r>
      <w:r>
        <w:rPr>
          <w:vertAlign w:val="subscript"/>
        </w:rPr>
        <w:t>1</w:t>
      </w:r>
      <w:r>
        <w:rPr>
          <w:vertAlign w:val="subscript"/>
        </w:rPr>
        <w:t>0</w:t>
      </w:r>
      <w:r>
        <w:t>(</w:t>
      </w:r>
      <w:proofErr w:type="spellStart"/>
      <w:r>
        <w:t>Extraversion</w:t>
      </w:r>
      <w:r>
        <w:rPr>
          <w:i/>
          <w:iCs/>
          <w:vertAlign w:val="subscript"/>
        </w:rPr>
        <w:t>ij</w:t>
      </w:r>
      <w:proofErr w:type="spellEnd"/>
      <w:r>
        <w:t xml:space="preserve">) + </w:t>
      </w:r>
      <w:r w:rsidRPr="00EE21B0">
        <w:rPr>
          <w:i/>
          <w:iCs/>
        </w:rPr>
        <w:sym w:font="Symbol" w:char="F062"/>
      </w:r>
      <w:r>
        <w:rPr>
          <w:vertAlign w:val="subscript"/>
        </w:rPr>
        <w:t>2</w:t>
      </w:r>
      <w:r>
        <w:rPr>
          <w:vertAlign w:val="subscript"/>
        </w:rPr>
        <w:t>0</w:t>
      </w:r>
      <w:r>
        <w:t>(</w:t>
      </w:r>
      <w:proofErr w:type="spellStart"/>
      <w:r>
        <w:t>Neuroticism</w:t>
      </w:r>
      <w:r>
        <w:rPr>
          <w:i/>
          <w:iCs/>
          <w:vertAlign w:val="subscript"/>
        </w:rPr>
        <w:t>ij</w:t>
      </w:r>
      <w:proofErr w:type="spellEnd"/>
      <w:r>
        <w:t>) +</w:t>
      </w:r>
      <w:r>
        <w:t xml:space="preserve"> </w:t>
      </w:r>
      <w:r>
        <w:rPr>
          <w:i/>
          <w:iCs/>
        </w:rPr>
        <w:t>u</w:t>
      </w:r>
      <w:r>
        <w:rPr>
          <w:vertAlign w:val="subscript"/>
        </w:rPr>
        <w:t>0</w:t>
      </w:r>
      <w:r>
        <w:rPr>
          <w:i/>
          <w:iCs/>
          <w:vertAlign w:val="subscript"/>
        </w:rPr>
        <w:t>j</w:t>
      </w:r>
      <w:r>
        <w:t xml:space="preserve"> + </w:t>
      </w:r>
      <w:r>
        <w:rPr>
          <w:i/>
          <w:iCs/>
        </w:rPr>
        <w:t>u</w:t>
      </w:r>
      <w:r>
        <w:rPr>
          <w:vertAlign w:val="subscript"/>
        </w:rPr>
        <w:t>1</w:t>
      </w:r>
      <w:r>
        <w:rPr>
          <w:i/>
          <w:iCs/>
          <w:vertAlign w:val="subscript"/>
        </w:rPr>
        <w:t>j</w:t>
      </w:r>
      <w:r>
        <w:t>(</w:t>
      </w:r>
      <w:proofErr w:type="spellStart"/>
      <w:r>
        <w:t>Extraversion</w:t>
      </w:r>
      <w:r>
        <w:rPr>
          <w:i/>
          <w:iCs/>
          <w:vertAlign w:val="subscript"/>
        </w:rPr>
        <w:t>ij</w:t>
      </w:r>
      <w:proofErr w:type="spellEnd"/>
      <w:r>
        <w:t>)</w:t>
      </w:r>
      <w:r>
        <w:t xml:space="preserve"> +</w:t>
      </w:r>
      <w:r>
        <w:t xml:space="preserve"> </w:t>
      </w:r>
      <w:r>
        <w:rPr>
          <w:i/>
          <w:iCs/>
        </w:rPr>
        <w:t>u</w:t>
      </w:r>
      <w:r>
        <w:rPr>
          <w:vertAlign w:val="subscript"/>
        </w:rPr>
        <w:t>2</w:t>
      </w:r>
      <w:r>
        <w:rPr>
          <w:i/>
          <w:iCs/>
          <w:vertAlign w:val="subscript"/>
        </w:rPr>
        <w:t>j</w:t>
      </w:r>
      <w:r>
        <w:t>(</w:t>
      </w:r>
      <w:proofErr w:type="spellStart"/>
      <w:r>
        <w:t>Neuroticism</w:t>
      </w:r>
      <w:r>
        <w:rPr>
          <w:i/>
          <w:iCs/>
          <w:vertAlign w:val="subscript"/>
        </w:rPr>
        <w:t>ij</w:t>
      </w:r>
      <w:proofErr w:type="spellEnd"/>
      <w:r>
        <w:t>) +</w:t>
      </w:r>
      <w:r>
        <w:t xml:space="preserve"> </w:t>
      </w:r>
      <w:r>
        <w:sym w:font="Symbol" w:char="F065"/>
      </w:r>
      <w:proofErr w:type="spellStart"/>
      <w:r w:rsidRPr="00F26546">
        <w:rPr>
          <w:i/>
          <w:iCs/>
          <w:vertAlign w:val="subscript"/>
        </w:rPr>
        <w:t>ij</w:t>
      </w:r>
      <w:proofErr w:type="spellEnd"/>
    </w:p>
    <w:p w14:paraId="79485670" w14:textId="1C38C920" w:rsidR="00493D6E" w:rsidRPr="00D76E1D" w:rsidRDefault="00493D6E" w:rsidP="00D76E1D">
      <w:pPr>
        <w:spacing w:line="480" w:lineRule="auto"/>
      </w:pPr>
      <w:r>
        <w:t xml:space="preserve">In this equation, </w:t>
      </w:r>
      <w:r w:rsidR="00187D56" w:rsidRPr="00EE21B0">
        <w:rPr>
          <w:i/>
          <w:iCs/>
        </w:rPr>
        <w:sym w:font="Symbol" w:char="F062"/>
      </w:r>
      <w:r w:rsidR="00187D56">
        <w:rPr>
          <w:vertAlign w:val="subscript"/>
        </w:rPr>
        <w:t>00</w:t>
      </w:r>
      <w:r w:rsidR="006B40F3">
        <w:t xml:space="preserve"> reflects the overall life satisfaction score in the sample, </w:t>
      </w:r>
      <w:r w:rsidR="00187D56" w:rsidRPr="00EE21B0">
        <w:rPr>
          <w:i/>
          <w:iCs/>
        </w:rPr>
        <w:sym w:font="Symbol" w:char="F062"/>
      </w:r>
      <w:r w:rsidR="00187D56">
        <w:rPr>
          <w:vertAlign w:val="subscript"/>
        </w:rPr>
        <w:t>10</w:t>
      </w:r>
      <w:r w:rsidR="006B40F3">
        <w:t xml:space="preserve"> and </w:t>
      </w:r>
      <w:r w:rsidR="00187D56" w:rsidRPr="00EE21B0">
        <w:rPr>
          <w:i/>
          <w:iCs/>
        </w:rPr>
        <w:sym w:font="Symbol" w:char="F062"/>
      </w:r>
      <w:r w:rsidR="00187D56">
        <w:rPr>
          <w:vertAlign w:val="subscript"/>
        </w:rPr>
        <w:t>2</w:t>
      </w:r>
      <w:r w:rsidR="00187D56">
        <w:rPr>
          <w:vertAlign w:val="subscript"/>
        </w:rPr>
        <w:t>0</w:t>
      </w:r>
      <w:r w:rsidR="00187D56">
        <w:rPr>
          <w:vertAlign w:val="subscript"/>
        </w:rPr>
        <w:t xml:space="preserve"> </w:t>
      </w:r>
      <w:r w:rsidR="006B40F3">
        <w:t xml:space="preserve">represent the fixed slopes for extraversion and neuroticism, respectively. </w:t>
      </w:r>
      <w:r w:rsidR="00187D56">
        <w:rPr>
          <w:i/>
          <w:iCs/>
        </w:rPr>
        <w:t>u</w:t>
      </w:r>
      <w:r w:rsidR="00187D56">
        <w:rPr>
          <w:vertAlign w:val="subscript"/>
        </w:rPr>
        <w:t>0</w:t>
      </w:r>
      <w:r w:rsidR="00187D56">
        <w:rPr>
          <w:i/>
          <w:iCs/>
          <w:vertAlign w:val="subscript"/>
        </w:rPr>
        <w:t>j</w:t>
      </w:r>
      <w:r w:rsidR="00187D56">
        <w:rPr>
          <w:i/>
          <w:iCs/>
          <w:vertAlign w:val="subscript"/>
        </w:rPr>
        <w:t xml:space="preserve"> </w:t>
      </w:r>
      <w:r w:rsidR="006B40F3">
        <w:t>represents the random intercept,</w:t>
      </w:r>
      <w:r w:rsidR="006B40F3" w:rsidRPr="006B40F3">
        <w:rPr>
          <w:rFonts w:ascii="Cambria Math" w:hAnsi="Cambria Math"/>
          <w:i/>
        </w:rPr>
        <w:t xml:space="preserve"> </w:t>
      </w:r>
      <w:r w:rsidR="00187D56">
        <w:rPr>
          <w:i/>
          <w:iCs/>
        </w:rPr>
        <w:t>u</w:t>
      </w:r>
      <w:r w:rsidR="00187D56">
        <w:rPr>
          <w:vertAlign w:val="subscript"/>
        </w:rPr>
        <w:t>1</w:t>
      </w:r>
      <w:r w:rsidR="00187D56">
        <w:rPr>
          <w:i/>
          <w:iCs/>
          <w:vertAlign w:val="subscript"/>
        </w:rPr>
        <w:t>j</w:t>
      </w:r>
      <w:r w:rsidR="006B40F3">
        <w:rPr>
          <w:iCs/>
        </w:rPr>
        <w:t xml:space="preserve"> and </w:t>
      </w:r>
      <w:r w:rsidR="00187D56">
        <w:rPr>
          <w:i/>
          <w:iCs/>
        </w:rPr>
        <w:t>u</w:t>
      </w:r>
      <w:r w:rsidR="00187D56">
        <w:rPr>
          <w:vertAlign w:val="subscript"/>
        </w:rPr>
        <w:t>2</w:t>
      </w:r>
      <w:r w:rsidR="00187D56">
        <w:rPr>
          <w:i/>
          <w:iCs/>
          <w:vertAlign w:val="subscript"/>
        </w:rPr>
        <w:t>j</w:t>
      </w:r>
      <w:r w:rsidR="00187D56">
        <w:rPr>
          <w:i/>
          <w:iCs/>
          <w:vertAlign w:val="subscript"/>
        </w:rPr>
        <w:t xml:space="preserve"> </w:t>
      </w:r>
      <w:r w:rsidR="006B40F3">
        <w:t xml:space="preserve">are the random slopes for extraversion and neuroticism, respectively, and </w:t>
      </w:r>
      <w:r w:rsidR="00187D56">
        <w:sym w:font="Symbol" w:char="F065"/>
      </w:r>
      <w:proofErr w:type="spellStart"/>
      <w:r w:rsidR="00187D56" w:rsidRPr="00F26546">
        <w:rPr>
          <w:i/>
          <w:iCs/>
          <w:vertAlign w:val="subscript"/>
        </w:rPr>
        <w:t>ij</w:t>
      </w:r>
      <w:proofErr w:type="spellEnd"/>
      <w:r w:rsidR="00D76E1D">
        <w:t xml:space="preserve"> </w:t>
      </w:r>
      <w:r w:rsidR="006B40F3">
        <w:rPr>
          <w:iCs/>
        </w:rPr>
        <w:t xml:space="preserve">represents the residual error. </w:t>
      </w:r>
      <w:r w:rsidR="006B40F3">
        <w:t>T</w:t>
      </w:r>
      <w:r>
        <w:t>h</w:t>
      </w:r>
      <w:r w:rsidR="006B40F3">
        <w:t>is</w:t>
      </w:r>
      <w:r>
        <w:t xml:space="preserve"> model captures both fixed effects </w:t>
      </w:r>
      <w:r>
        <w:t>(population-level estimates) and random effects (individual-level deviations) for each predictor and the intercept.</w:t>
      </w:r>
    </w:p>
    <w:p w14:paraId="102DAE7C" w14:textId="26200140" w:rsidR="00B00F4C" w:rsidRPr="0058394E" w:rsidRDefault="00B00F4C" w:rsidP="0058394E">
      <w:pPr>
        <w:spacing w:line="480" w:lineRule="auto"/>
        <w:rPr>
          <w:b/>
          <w:bCs/>
        </w:rPr>
      </w:pPr>
      <w:r>
        <w:rPr>
          <w:b/>
          <w:bCs/>
        </w:rPr>
        <w:t xml:space="preserve">Final Model </w:t>
      </w:r>
      <w:r w:rsidR="00803E87">
        <w:rPr>
          <w:b/>
          <w:bCs/>
        </w:rPr>
        <w:t xml:space="preserve">4 </w:t>
      </w:r>
      <w:r w:rsidR="00476694">
        <w:rPr>
          <w:b/>
          <w:bCs/>
        </w:rPr>
        <w:t>Estimates</w:t>
      </w:r>
    </w:p>
    <w:p w14:paraId="52373C2D" w14:textId="5ADD611C" w:rsidR="00BE0D27" w:rsidRDefault="00B00F4C" w:rsidP="00AC32CA">
      <w:pPr>
        <w:spacing w:line="480" w:lineRule="auto"/>
      </w:pPr>
      <w:r>
        <w:tab/>
      </w:r>
      <w:r w:rsidR="00CC523C">
        <w:t>As shown in Table 2, b</w:t>
      </w:r>
      <w:r w:rsidR="00BE0D27">
        <w:t xml:space="preserve">oth extraversion and neuroticism significantly predicted satisfaction with life. Extraversion was positively associated with satisfaction with life, </w:t>
      </w:r>
      <w:r w:rsidR="00BE0D27">
        <w:rPr>
          <w:rStyle w:val="Emphasis"/>
          <w:rFonts w:eastAsiaTheme="majorEastAsia"/>
        </w:rPr>
        <w:t>b</w:t>
      </w:r>
      <w:r w:rsidR="00BE0D27">
        <w:t xml:space="preserve"> = 0.16, </w:t>
      </w:r>
      <w:r w:rsidR="00BE0D27">
        <w:rPr>
          <w:rStyle w:val="Emphasis"/>
          <w:rFonts w:eastAsiaTheme="majorEastAsia"/>
        </w:rPr>
        <w:t>SE</w:t>
      </w:r>
      <w:r w:rsidR="00BE0D27">
        <w:t xml:space="preserve"> = 0.02, </w:t>
      </w:r>
      <w:proofErr w:type="gramStart"/>
      <w:r w:rsidR="00BE0D27">
        <w:rPr>
          <w:rStyle w:val="Emphasis"/>
          <w:rFonts w:eastAsiaTheme="majorEastAsia"/>
        </w:rPr>
        <w:t>t</w:t>
      </w:r>
      <w:r w:rsidR="00BE0D27">
        <w:t>(</w:t>
      </w:r>
      <w:proofErr w:type="gramEnd"/>
      <w:r w:rsidR="00BE0D27">
        <w:t xml:space="preserve">206.06) = 10.55, </w:t>
      </w:r>
      <w:r w:rsidR="00BE0D27">
        <w:rPr>
          <w:rStyle w:val="Emphasis"/>
          <w:rFonts w:eastAsiaTheme="majorEastAsia"/>
        </w:rPr>
        <w:t>p</w:t>
      </w:r>
      <w:r w:rsidR="00BE0D27">
        <w:t xml:space="preserve"> &lt; .001, 95% CI [0.13, 0.19]. This indicates that, on average, for every one-unit increase in extraversion, satisfaction with life increased by 0.16 points. The effect size is modest, and the narrow confidence interval that does not include zero suggests the effect is both statistically reliable and precise.</w:t>
      </w:r>
      <w:r w:rsidR="00BE0D27">
        <w:t xml:space="preserve"> </w:t>
      </w:r>
      <w:r w:rsidR="00BE0D27">
        <w:t xml:space="preserve">Neuroticism was negatively associated with satisfaction with life, </w:t>
      </w:r>
      <w:r w:rsidR="00BE0D27">
        <w:rPr>
          <w:rStyle w:val="Emphasis"/>
          <w:rFonts w:eastAsiaTheme="majorEastAsia"/>
        </w:rPr>
        <w:t>b</w:t>
      </w:r>
      <w:r w:rsidR="00BE0D27">
        <w:t xml:space="preserve"> = –0.21, </w:t>
      </w:r>
      <w:r w:rsidR="00BE0D27">
        <w:rPr>
          <w:rStyle w:val="Emphasis"/>
          <w:rFonts w:eastAsiaTheme="majorEastAsia"/>
        </w:rPr>
        <w:t>SE</w:t>
      </w:r>
      <w:r w:rsidR="00BE0D27">
        <w:t xml:space="preserve"> = 0.02, </w:t>
      </w:r>
      <w:proofErr w:type="gramStart"/>
      <w:r w:rsidR="00BE0D27">
        <w:rPr>
          <w:rStyle w:val="Emphasis"/>
          <w:rFonts w:eastAsiaTheme="majorEastAsia"/>
        </w:rPr>
        <w:t>t</w:t>
      </w:r>
      <w:r w:rsidR="00BE0D27">
        <w:t>(</w:t>
      </w:r>
      <w:proofErr w:type="gramEnd"/>
      <w:r w:rsidR="00BE0D27">
        <w:t xml:space="preserve">250.44) = –12.32, </w:t>
      </w:r>
      <w:r w:rsidR="00BE0D27">
        <w:rPr>
          <w:rStyle w:val="Emphasis"/>
          <w:rFonts w:eastAsiaTheme="majorEastAsia"/>
        </w:rPr>
        <w:t>p</w:t>
      </w:r>
      <w:r w:rsidR="00BE0D27">
        <w:t xml:space="preserve"> &lt; .001, 95% CI [–0.24, –0.18]. This means that for every one-unit increase in neuroticism, satisfaction with life decreased by approximately 0.21 points. This effect is slightly stronger than that of extraversion, and the confidence interval </w:t>
      </w:r>
      <w:r w:rsidR="00BE0D27">
        <w:lastRenderedPageBreak/>
        <w:t>also excludes zero, indicating a robust and statistically significant negative association.</w:t>
      </w:r>
      <w:r w:rsidR="00BE0D27">
        <w:t xml:space="preserve"> </w:t>
      </w:r>
      <w:r w:rsidR="00BE0D27">
        <w:t xml:space="preserve">The model intercept was </w:t>
      </w:r>
      <w:r w:rsidR="00BE0D27">
        <w:rPr>
          <w:rStyle w:val="Emphasis"/>
          <w:rFonts w:eastAsiaTheme="majorEastAsia"/>
        </w:rPr>
        <w:t>b</w:t>
      </w:r>
      <w:r w:rsidR="00BE0D27">
        <w:t xml:space="preserve"> = 4.51, </w:t>
      </w:r>
      <w:r w:rsidR="00BE0D27">
        <w:rPr>
          <w:rStyle w:val="Emphasis"/>
          <w:rFonts w:eastAsiaTheme="majorEastAsia"/>
        </w:rPr>
        <w:t>SE</w:t>
      </w:r>
      <w:r w:rsidR="00BE0D27">
        <w:t xml:space="preserve"> = 0.12, </w:t>
      </w:r>
      <w:proofErr w:type="gramStart"/>
      <w:r w:rsidR="00BE0D27">
        <w:rPr>
          <w:rStyle w:val="Emphasis"/>
          <w:rFonts w:eastAsiaTheme="majorEastAsia"/>
        </w:rPr>
        <w:t>t</w:t>
      </w:r>
      <w:r w:rsidR="00BE0D27">
        <w:t>(</w:t>
      </w:r>
      <w:proofErr w:type="gramEnd"/>
      <w:r w:rsidR="00BE0D27">
        <w:t xml:space="preserve">229.52) = 38.10, </w:t>
      </w:r>
      <w:r w:rsidR="00BE0D27">
        <w:rPr>
          <w:rStyle w:val="Emphasis"/>
          <w:rFonts w:eastAsiaTheme="majorEastAsia"/>
        </w:rPr>
        <w:t>p</w:t>
      </w:r>
      <w:r w:rsidR="00BE0D27">
        <w:t xml:space="preserve"> &lt; .001, which reflects the predicted satisfaction with life score for a participant with average levels (i.e., zero-centered values) of both extraversion and neuroticism. </w:t>
      </w:r>
      <w:r w:rsidR="00F94BD0">
        <w:t xml:space="preserve">This means that the average predicted life satisfaction for a person with </w:t>
      </w:r>
      <w:r w:rsidR="00F94BD0">
        <w:t>typical personality scores was approximately 4.51 on a 7-point scale, suggesting that most participants reported moderately high life satisfaction.</w:t>
      </w:r>
    </w:p>
    <w:p w14:paraId="4AB813D7" w14:textId="77777777" w:rsidR="00FD1A46" w:rsidRDefault="00BE0D27" w:rsidP="00AC32CA">
      <w:pPr>
        <w:spacing w:line="480" w:lineRule="auto"/>
      </w:pPr>
      <w:r>
        <w:tab/>
      </w:r>
      <w:r>
        <w:t>Random effects revealed considerable between-person variability in baseline levels of satisfaction with life. The standard deviation of the random intercept was 1.42, indicating that participants’ average life satisfaction scores differed by approximately ±1.42 points from the overall sample mean. This reflects substantial heterogeneity in individuals’ typical satisfaction with life levels.</w:t>
      </w:r>
      <w:r>
        <w:t xml:space="preserve"> Additionally, </w:t>
      </w:r>
      <w:r>
        <w:t>the random slope standard deviation for extraversion was 0.14, suggesting that the strength of the association between extraversion and life satisfaction varied across participants by about ±0.14 points per one-unit change in extraversion. Similarly, the standard deviation for the neuroticism slope was 0.19, indicating that the effect of neuroticism on life satisfaction also differed across individuals by roughly ±0.19 points per one-unit change in neuroticism. These estimates reflect meaningful individual differences in how personality traits relate to life satisfaction, supporting the inclusion of random slopes in the model to account for this variability.</w:t>
      </w:r>
    </w:p>
    <w:p w14:paraId="7CCB5335" w14:textId="1377B7AF" w:rsidR="00BE0D27" w:rsidRDefault="00FD1A46" w:rsidP="00FD1A46">
      <w:pPr>
        <w:spacing w:line="480" w:lineRule="auto"/>
      </w:pPr>
      <w:r>
        <w:tab/>
      </w:r>
      <w:r>
        <w:t xml:space="preserve">Together, these results supported H1 and H2, confirming that higher extraversion was linked to greater life satisfaction and higher neuroticism was linked to lower life satisfaction. However, H3 was not directly tested in Model 4, as it did not include decomposed within- and between-person components of the predictors. Although random slope variance suggests that the strength of effects varied across individuals, the question of whether the effects were </w:t>
      </w:r>
      <w:r>
        <w:rPr>
          <w:i/>
          <w:iCs/>
        </w:rPr>
        <w:t xml:space="preserve">similar </w:t>
      </w:r>
      <w:r>
        <w:t xml:space="preserve">at </w:t>
      </w:r>
      <w:r>
        <w:lastRenderedPageBreak/>
        <w:t>both the within- and between-person levels was addressed in a separate model (Model 5) that disaggregated these components.</w:t>
      </w:r>
      <w:r w:rsidR="00B00F4C">
        <w:tab/>
      </w:r>
    </w:p>
    <w:p w14:paraId="0605AC5D" w14:textId="4FE5F90F" w:rsidR="007C0662" w:rsidRDefault="007C0662" w:rsidP="007C0662">
      <w:pPr>
        <w:spacing w:line="480" w:lineRule="auto"/>
        <w:rPr>
          <w:b/>
          <w:bCs/>
        </w:rPr>
      </w:pPr>
      <w:r>
        <w:rPr>
          <w:b/>
          <w:bCs/>
        </w:rPr>
        <w:t>Table 2</w:t>
      </w:r>
    </w:p>
    <w:p w14:paraId="22B221E3" w14:textId="739A6AC4" w:rsidR="007C0662" w:rsidRDefault="007C0662" w:rsidP="007C0662">
      <w:pPr>
        <w:spacing w:line="480" w:lineRule="auto"/>
        <w:rPr>
          <w:i/>
          <w:iCs/>
        </w:rPr>
      </w:pPr>
      <w:r>
        <w:rPr>
          <w:i/>
          <w:iCs/>
        </w:rPr>
        <w:t>Fixed effects estimates</w:t>
      </w:r>
      <w:r w:rsidR="009C041E">
        <w:rPr>
          <w:i/>
          <w:iCs/>
        </w:rPr>
        <w:t xml:space="preserve"> and model fit statistics</w:t>
      </w:r>
      <w:r>
        <w:rPr>
          <w:i/>
          <w:iCs/>
        </w:rPr>
        <w:t xml:space="preserve"> for</w:t>
      </w:r>
      <w:r w:rsidR="00EE2615">
        <w:rPr>
          <w:i/>
          <w:iCs/>
        </w:rPr>
        <w:t xml:space="preserve"> </w:t>
      </w:r>
      <w:r w:rsidR="008E740A">
        <w:rPr>
          <w:i/>
          <w:iCs/>
        </w:rPr>
        <w:t>the final model (model 4)</w:t>
      </w:r>
    </w:p>
    <w:tbl>
      <w:tblPr>
        <w:tblStyle w:val="TableGrid"/>
        <w:tblW w:w="0" w:type="auto"/>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838"/>
        <w:gridCol w:w="1134"/>
        <w:gridCol w:w="1134"/>
        <w:gridCol w:w="1985"/>
        <w:gridCol w:w="1134"/>
        <w:gridCol w:w="2125"/>
      </w:tblGrid>
      <w:tr w:rsidR="007C0662" w14:paraId="49D70F36" w14:textId="77777777" w:rsidTr="008C0522">
        <w:tc>
          <w:tcPr>
            <w:tcW w:w="1838" w:type="dxa"/>
            <w:tcBorders>
              <w:top w:val="single" w:sz="4" w:space="0" w:color="000000" w:themeColor="text1"/>
              <w:bottom w:val="single" w:sz="4" w:space="0" w:color="000000" w:themeColor="text1"/>
            </w:tcBorders>
            <w:vAlign w:val="center"/>
          </w:tcPr>
          <w:p w14:paraId="26CABA7D" w14:textId="41F97076" w:rsidR="007C0662" w:rsidRPr="00DE339C" w:rsidRDefault="0045328A" w:rsidP="00E476B3">
            <w:pPr>
              <w:rPr>
                <w:b/>
                <w:bCs/>
              </w:rPr>
            </w:pPr>
            <w:r>
              <w:rPr>
                <w:b/>
                <w:bCs/>
              </w:rPr>
              <w:t>Predictor</w:t>
            </w:r>
          </w:p>
        </w:tc>
        <w:tc>
          <w:tcPr>
            <w:tcW w:w="1134" w:type="dxa"/>
            <w:tcBorders>
              <w:top w:val="single" w:sz="4" w:space="0" w:color="000000" w:themeColor="text1"/>
              <w:bottom w:val="single" w:sz="4" w:space="0" w:color="000000" w:themeColor="text1"/>
            </w:tcBorders>
            <w:vAlign w:val="center"/>
          </w:tcPr>
          <w:p w14:paraId="4A6109A7" w14:textId="77777777" w:rsidR="007C0662" w:rsidRPr="00DE339C" w:rsidRDefault="007C0662" w:rsidP="00E476B3">
            <w:pPr>
              <w:jc w:val="center"/>
              <w:rPr>
                <w:b/>
                <w:bCs/>
                <w:i/>
                <w:iCs/>
              </w:rPr>
            </w:pPr>
            <w:r w:rsidRPr="00DE339C">
              <w:rPr>
                <w:b/>
                <w:bCs/>
                <w:i/>
                <w:iCs/>
              </w:rPr>
              <w:t>b</w:t>
            </w:r>
          </w:p>
        </w:tc>
        <w:tc>
          <w:tcPr>
            <w:tcW w:w="1134" w:type="dxa"/>
            <w:tcBorders>
              <w:top w:val="single" w:sz="4" w:space="0" w:color="000000" w:themeColor="text1"/>
              <w:bottom w:val="single" w:sz="4" w:space="0" w:color="000000" w:themeColor="text1"/>
            </w:tcBorders>
            <w:vAlign w:val="center"/>
          </w:tcPr>
          <w:p w14:paraId="07BC2702" w14:textId="77777777" w:rsidR="007C0662" w:rsidRPr="00DE339C" w:rsidRDefault="007C0662" w:rsidP="00E476B3">
            <w:pPr>
              <w:jc w:val="center"/>
              <w:rPr>
                <w:b/>
                <w:bCs/>
                <w:i/>
                <w:iCs/>
              </w:rPr>
            </w:pPr>
            <w:r w:rsidRPr="00DE339C">
              <w:rPr>
                <w:b/>
                <w:bCs/>
                <w:i/>
                <w:iCs/>
              </w:rPr>
              <w:t>SE</w:t>
            </w:r>
          </w:p>
        </w:tc>
        <w:tc>
          <w:tcPr>
            <w:tcW w:w="1985" w:type="dxa"/>
            <w:tcBorders>
              <w:top w:val="single" w:sz="4" w:space="0" w:color="000000" w:themeColor="text1"/>
              <w:bottom w:val="single" w:sz="4" w:space="0" w:color="000000" w:themeColor="text1"/>
            </w:tcBorders>
            <w:vAlign w:val="center"/>
          </w:tcPr>
          <w:p w14:paraId="58313B50" w14:textId="77777777" w:rsidR="007C0662" w:rsidRPr="00DE339C" w:rsidRDefault="007C0662" w:rsidP="00E476B3">
            <w:pPr>
              <w:jc w:val="center"/>
              <w:rPr>
                <w:b/>
                <w:bCs/>
              </w:rPr>
            </w:pPr>
            <w:r w:rsidRPr="00DE339C">
              <w:rPr>
                <w:b/>
                <w:bCs/>
                <w:i/>
                <w:iCs/>
              </w:rPr>
              <w:t>t</w:t>
            </w:r>
            <w:r w:rsidRPr="00DE339C">
              <w:rPr>
                <w:b/>
                <w:bCs/>
              </w:rPr>
              <w:t>(</w:t>
            </w:r>
            <w:proofErr w:type="spellStart"/>
            <w:r w:rsidRPr="00DE339C">
              <w:rPr>
                <w:b/>
                <w:bCs/>
              </w:rPr>
              <w:t>df</w:t>
            </w:r>
            <w:proofErr w:type="spellEnd"/>
            <w:r w:rsidRPr="00DE339C">
              <w:rPr>
                <w:b/>
                <w:bCs/>
              </w:rPr>
              <w:t>)</w:t>
            </w:r>
          </w:p>
        </w:tc>
        <w:tc>
          <w:tcPr>
            <w:tcW w:w="1134" w:type="dxa"/>
            <w:tcBorders>
              <w:top w:val="single" w:sz="4" w:space="0" w:color="000000" w:themeColor="text1"/>
              <w:bottom w:val="single" w:sz="4" w:space="0" w:color="000000" w:themeColor="text1"/>
            </w:tcBorders>
            <w:vAlign w:val="center"/>
          </w:tcPr>
          <w:p w14:paraId="73BD3FC1" w14:textId="77777777" w:rsidR="007C0662" w:rsidRPr="00DE339C" w:rsidRDefault="007C0662" w:rsidP="00E476B3">
            <w:pPr>
              <w:jc w:val="center"/>
              <w:rPr>
                <w:b/>
                <w:bCs/>
                <w:i/>
                <w:iCs/>
              </w:rPr>
            </w:pPr>
            <w:r w:rsidRPr="00DE339C">
              <w:rPr>
                <w:b/>
                <w:bCs/>
                <w:i/>
                <w:iCs/>
              </w:rPr>
              <w:t>p</w:t>
            </w:r>
          </w:p>
        </w:tc>
        <w:tc>
          <w:tcPr>
            <w:tcW w:w="2125" w:type="dxa"/>
            <w:tcBorders>
              <w:top w:val="single" w:sz="4" w:space="0" w:color="000000" w:themeColor="text1"/>
              <w:bottom w:val="single" w:sz="4" w:space="0" w:color="000000" w:themeColor="text1"/>
            </w:tcBorders>
            <w:vAlign w:val="center"/>
          </w:tcPr>
          <w:p w14:paraId="3E43CB32" w14:textId="77777777" w:rsidR="007C0662" w:rsidRPr="00DE339C" w:rsidRDefault="007C0662" w:rsidP="00E476B3">
            <w:pPr>
              <w:jc w:val="center"/>
              <w:rPr>
                <w:b/>
                <w:bCs/>
              </w:rPr>
            </w:pPr>
            <w:r w:rsidRPr="00DE339C">
              <w:rPr>
                <w:b/>
                <w:bCs/>
              </w:rPr>
              <w:t>95% CI</w:t>
            </w:r>
          </w:p>
        </w:tc>
      </w:tr>
      <w:tr w:rsidR="00E305CF" w14:paraId="41CF7CF3" w14:textId="77777777" w:rsidTr="00E305CF">
        <w:tc>
          <w:tcPr>
            <w:tcW w:w="1838" w:type="dxa"/>
            <w:tcBorders>
              <w:top w:val="nil"/>
              <w:bottom w:val="nil"/>
            </w:tcBorders>
            <w:vAlign w:val="center"/>
          </w:tcPr>
          <w:p w14:paraId="5BD94332" w14:textId="6CC50AF4" w:rsidR="00E305CF" w:rsidRDefault="00E305CF" w:rsidP="00DB7351">
            <w:r>
              <w:t>Fixed Effects</w:t>
            </w:r>
          </w:p>
        </w:tc>
        <w:tc>
          <w:tcPr>
            <w:tcW w:w="1134" w:type="dxa"/>
            <w:tcBorders>
              <w:top w:val="nil"/>
              <w:bottom w:val="nil"/>
            </w:tcBorders>
            <w:vAlign w:val="center"/>
          </w:tcPr>
          <w:p w14:paraId="38F3C302" w14:textId="77777777" w:rsidR="00E305CF" w:rsidRDefault="00E305CF" w:rsidP="00DB7351">
            <w:pPr>
              <w:jc w:val="center"/>
            </w:pPr>
          </w:p>
        </w:tc>
        <w:tc>
          <w:tcPr>
            <w:tcW w:w="1134" w:type="dxa"/>
            <w:tcBorders>
              <w:top w:val="nil"/>
              <w:bottom w:val="nil"/>
            </w:tcBorders>
            <w:vAlign w:val="center"/>
          </w:tcPr>
          <w:p w14:paraId="7A8D0880" w14:textId="77777777" w:rsidR="00E305CF" w:rsidRDefault="00E305CF" w:rsidP="00DB7351">
            <w:pPr>
              <w:jc w:val="center"/>
            </w:pPr>
          </w:p>
        </w:tc>
        <w:tc>
          <w:tcPr>
            <w:tcW w:w="1985" w:type="dxa"/>
            <w:tcBorders>
              <w:top w:val="nil"/>
              <w:bottom w:val="nil"/>
            </w:tcBorders>
            <w:vAlign w:val="center"/>
          </w:tcPr>
          <w:p w14:paraId="0F8C2278" w14:textId="77777777" w:rsidR="00E305CF" w:rsidRDefault="00E305CF" w:rsidP="00DB7351">
            <w:pPr>
              <w:jc w:val="center"/>
            </w:pPr>
          </w:p>
        </w:tc>
        <w:tc>
          <w:tcPr>
            <w:tcW w:w="1134" w:type="dxa"/>
            <w:tcBorders>
              <w:top w:val="nil"/>
              <w:bottom w:val="nil"/>
            </w:tcBorders>
            <w:vAlign w:val="center"/>
          </w:tcPr>
          <w:p w14:paraId="0E1314C3" w14:textId="77777777" w:rsidR="00E305CF" w:rsidRDefault="00E305CF" w:rsidP="00DB7351">
            <w:pPr>
              <w:jc w:val="center"/>
            </w:pPr>
          </w:p>
        </w:tc>
        <w:tc>
          <w:tcPr>
            <w:tcW w:w="2125" w:type="dxa"/>
            <w:tcBorders>
              <w:top w:val="nil"/>
              <w:bottom w:val="nil"/>
            </w:tcBorders>
            <w:vAlign w:val="center"/>
          </w:tcPr>
          <w:p w14:paraId="0D10350A" w14:textId="77777777" w:rsidR="00E305CF" w:rsidRDefault="00E305CF" w:rsidP="00DB7351">
            <w:pPr>
              <w:jc w:val="center"/>
            </w:pPr>
          </w:p>
        </w:tc>
      </w:tr>
      <w:tr w:rsidR="007C0662" w14:paraId="62168960" w14:textId="77777777" w:rsidTr="00E305CF">
        <w:tc>
          <w:tcPr>
            <w:tcW w:w="1838" w:type="dxa"/>
            <w:tcBorders>
              <w:top w:val="nil"/>
              <w:bottom w:val="nil"/>
            </w:tcBorders>
            <w:vAlign w:val="center"/>
          </w:tcPr>
          <w:p w14:paraId="5A6F607C" w14:textId="529D0387" w:rsidR="007C0662" w:rsidRDefault="00E305CF" w:rsidP="009502B2">
            <w:r>
              <w:t xml:space="preserve">   </w:t>
            </w:r>
            <w:r w:rsidR="007C0662">
              <w:t>(Intercept)</w:t>
            </w:r>
          </w:p>
        </w:tc>
        <w:tc>
          <w:tcPr>
            <w:tcW w:w="1134" w:type="dxa"/>
            <w:tcBorders>
              <w:top w:val="nil"/>
              <w:bottom w:val="nil"/>
            </w:tcBorders>
            <w:vAlign w:val="center"/>
          </w:tcPr>
          <w:p w14:paraId="7DD55507" w14:textId="77777777" w:rsidR="007C0662" w:rsidRDefault="007C0662" w:rsidP="009502B2">
            <w:pPr>
              <w:jc w:val="center"/>
            </w:pPr>
            <w:r>
              <w:t>4.51</w:t>
            </w:r>
          </w:p>
        </w:tc>
        <w:tc>
          <w:tcPr>
            <w:tcW w:w="1134" w:type="dxa"/>
            <w:tcBorders>
              <w:top w:val="nil"/>
              <w:bottom w:val="nil"/>
            </w:tcBorders>
            <w:vAlign w:val="center"/>
          </w:tcPr>
          <w:p w14:paraId="7C2BE187" w14:textId="77777777" w:rsidR="007C0662" w:rsidRDefault="007C0662" w:rsidP="009502B2">
            <w:pPr>
              <w:jc w:val="center"/>
            </w:pPr>
            <w:r>
              <w:t>0.12</w:t>
            </w:r>
          </w:p>
        </w:tc>
        <w:tc>
          <w:tcPr>
            <w:tcW w:w="1985" w:type="dxa"/>
            <w:tcBorders>
              <w:top w:val="nil"/>
              <w:bottom w:val="nil"/>
            </w:tcBorders>
            <w:vAlign w:val="center"/>
          </w:tcPr>
          <w:p w14:paraId="3A77FF24" w14:textId="77777777" w:rsidR="007C0662" w:rsidRDefault="007C0662" w:rsidP="009502B2">
            <w:pPr>
              <w:jc w:val="center"/>
            </w:pPr>
            <w:r>
              <w:t>38.10 (229.52)</w:t>
            </w:r>
          </w:p>
        </w:tc>
        <w:tc>
          <w:tcPr>
            <w:tcW w:w="1134" w:type="dxa"/>
            <w:tcBorders>
              <w:top w:val="nil"/>
              <w:bottom w:val="nil"/>
            </w:tcBorders>
            <w:vAlign w:val="center"/>
          </w:tcPr>
          <w:p w14:paraId="2883CEBD" w14:textId="77777777" w:rsidR="007C0662" w:rsidRDefault="007C0662" w:rsidP="009502B2">
            <w:pPr>
              <w:jc w:val="center"/>
            </w:pPr>
            <w:r>
              <w:t>&lt; .001</w:t>
            </w:r>
          </w:p>
        </w:tc>
        <w:tc>
          <w:tcPr>
            <w:tcW w:w="2125" w:type="dxa"/>
            <w:tcBorders>
              <w:top w:val="nil"/>
              <w:bottom w:val="nil"/>
            </w:tcBorders>
            <w:vAlign w:val="center"/>
          </w:tcPr>
          <w:p w14:paraId="639EE726" w14:textId="77777777" w:rsidR="007C0662" w:rsidRDefault="007C0662" w:rsidP="009502B2">
            <w:pPr>
              <w:jc w:val="center"/>
            </w:pPr>
            <w:r>
              <w:t>[4.27, 4.74]</w:t>
            </w:r>
          </w:p>
        </w:tc>
      </w:tr>
      <w:tr w:rsidR="007C0662" w14:paraId="6133B2B7" w14:textId="77777777" w:rsidTr="00E305CF">
        <w:tc>
          <w:tcPr>
            <w:tcW w:w="1838" w:type="dxa"/>
            <w:tcBorders>
              <w:top w:val="nil"/>
            </w:tcBorders>
            <w:vAlign w:val="bottom"/>
          </w:tcPr>
          <w:p w14:paraId="15A10949" w14:textId="1CFFFE3A" w:rsidR="007C0662" w:rsidRDefault="00E305CF" w:rsidP="009502B2">
            <w:r>
              <w:t xml:space="preserve">   </w:t>
            </w:r>
            <w:r w:rsidR="007C0662">
              <w:t>Extraversion</w:t>
            </w:r>
          </w:p>
        </w:tc>
        <w:tc>
          <w:tcPr>
            <w:tcW w:w="1134" w:type="dxa"/>
            <w:tcBorders>
              <w:top w:val="nil"/>
            </w:tcBorders>
            <w:vAlign w:val="center"/>
          </w:tcPr>
          <w:p w14:paraId="5DEDEE17" w14:textId="77777777" w:rsidR="007C0662" w:rsidRDefault="007C0662" w:rsidP="009502B2">
            <w:pPr>
              <w:jc w:val="center"/>
            </w:pPr>
            <w:r>
              <w:t>0.16</w:t>
            </w:r>
          </w:p>
        </w:tc>
        <w:tc>
          <w:tcPr>
            <w:tcW w:w="1134" w:type="dxa"/>
            <w:tcBorders>
              <w:top w:val="nil"/>
            </w:tcBorders>
            <w:vAlign w:val="center"/>
          </w:tcPr>
          <w:p w14:paraId="0BD3C785" w14:textId="77777777" w:rsidR="007C0662" w:rsidRDefault="007C0662" w:rsidP="009502B2">
            <w:pPr>
              <w:jc w:val="center"/>
            </w:pPr>
            <w:r>
              <w:t>0.02</w:t>
            </w:r>
          </w:p>
        </w:tc>
        <w:tc>
          <w:tcPr>
            <w:tcW w:w="1985" w:type="dxa"/>
            <w:tcBorders>
              <w:top w:val="nil"/>
            </w:tcBorders>
            <w:vAlign w:val="center"/>
          </w:tcPr>
          <w:p w14:paraId="5699E0A7" w14:textId="77777777" w:rsidR="007C0662" w:rsidRDefault="007C0662" w:rsidP="009502B2">
            <w:pPr>
              <w:jc w:val="center"/>
            </w:pPr>
            <w:r>
              <w:t>10.55 (206.06)</w:t>
            </w:r>
          </w:p>
        </w:tc>
        <w:tc>
          <w:tcPr>
            <w:tcW w:w="1134" w:type="dxa"/>
            <w:tcBorders>
              <w:top w:val="nil"/>
            </w:tcBorders>
            <w:vAlign w:val="center"/>
          </w:tcPr>
          <w:p w14:paraId="684C4E5E" w14:textId="77777777" w:rsidR="007C0662" w:rsidRDefault="007C0662" w:rsidP="009502B2">
            <w:pPr>
              <w:jc w:val="center"/>
            </w:pPr>
            <w:r>
              <w:t>&lt; .001</w:t>
            </w:r>
          </w:p>
        </w:tc>
        <w:tc>
          <w:tcPr>
            <w:tcW w:w="2125" w:type="dxa"/>
            <w:tcBorders>
              <w:top w:val="nil"/>
            </w:tcBorders>
            <w:vAlign w:val="center"/>
          </w:tcPr>
          <w:p w14:paraId="526754F9" w14:textId="77777777" w:rsidR="007C0662" w:rsidRDefault="007C0662" w:rsidP="009502B2">
            <w:pPr>
              <w:jc w:val="center"/>
            </w:pPr>
            <w:r>
              <w:t>[0.13, 0.19]</w:t>
            </w:r>
          </w:p>
        </w:tc>
      </w:tr>
      <w:tr w:rsidR="007C0662" w14:paraId="6493C81A" w14:textId="77777777" w:rsidTr="00E305CF">
        <w:tc>
          <w:tcPr>
            <w:tcW w:w="1838" w:type="dxa"/>
            <w:vAlign w:val="bottom"/>
          </w:tcPr>
          <w:p w14:paraId="175C03A7" w14:textId="60B22A4B" w:rsidR="007C0662" w:rsidRDefault="00E305CF" w:rsidP="009502B2">
            <w:r>
              <w:t xml:space="preserve">   </w:t>
            </w:r>
            <w:r w:rsidR="007C0662">
              <w:t>Neuroticism</w:t>
            </w:r>
          </w:p>
        </w:tc>
        <w:tc>
          <w:tcPr>
            <w:tcW w:w="1134" w:type="dxa"/>
            <w:vAlign w:val="center"/>
          </w:tcPr>
          <w:p w14:paraId="4004EA18" w14:textId="77777777" w:rsidR="007C0662" w:rsidRDefault="007C0662" w:rsidP="009502B2">
            <w:pPr>
              <w:jc w:val="center"/>
            </w:pPr>
            <w:r>
              <w:t>–0.21</w:t>
            </w:r>
          </w:p>
        </w:tc>
        <w:tc>
          <w:tcPr>
            <w:tcW w:w="1134" w:type="dxa"/>
            <w:vAlign w:val="center"/>
          </w:tcPr>
          <w:p w14:paraId="17957F0D" w14:textId="77777777" w:rsidR="007C0662" w:rsidRDefault="007C0662" w:rsidP="009502B2">
            <w:pPr>
              <w:jc w:val="center"/>
            </w:pPr>
            <w:r>
              <w:t>0.02</w:t>
            </w:r>
          </w:p>
        </w:tc>
        <w:tc>
          <w:tcPr>
            <w:tcW w:w="1985" w:type="dxa"/>
            <w:vAlign w:val="center"/>
          </w:tcPr>
          <w:p w14:paraId="5D37D184" w14:textId="77777777" w:rsidR="007C0662" w:rsidRDefault="007C0662" w:rsidP="009502B2">
            <w:pPr>
              <w:jc w:val="center"/>
            </w:pPr>
            <w:r>
              <w:t>–12.33 (250.44)</w:t>
            </w:r>
          </w:p>
        </w:tc>
        <w:tc>
          <w:tcPr>
            <w:tcW w:w="1134" w:type="dxa"/>
            <w:vAlign w:val="center"/>
          </w:tcPr>
          <w:p w14:paraId="416D8CD8" w14:textId="77777777" w:rsidR="007C0662" w:rsidRDefault="007C0662" w:rsidP="009502B2">
            <w:pPr>
              <w:jc w:val="center"/>
            </w:pPr>
            <w:r>
              <w:t>&lt; .001</w:t>
            </w:r>
          </w:p>
        </w:tc>
        <w:tc>
          <w:tcPr>
            <w:tcW w:w="2125" w:type="dxa"/>
            <w:vAlign w:val="center"/>
          </w:tcPr>
          <w:p w14:paraId="22C116C8" w14:textId="77777777" w:rsidR="007C0662" w:rsidRDefault="007C0662" w:rsidP="009502B2">
            <w:pPr>
              <w:jc w:val="center"/>
            </w:pPr>
            <w:r>
              <w:t>[–0.24, –0.18]</w:t>
            </w:r>
          </w:p>
        </w:tc>
      </w:tr>
      <w:tr w:rsidR="00D72534" w14:paraId="680A7468" w14:textId="77777777" w:rsidTr="009502B2">
        <w:tc>
          <w:tcPr>
            <w:tcW w:w="1838" w:type="dxa"/>
            <w:tcBorders>
              <w:bottom w:val="single" w:sz="4" w:space="0" w:color="000000" w:themeColor="text1"/>
            </w:tcBorders>
            <w:vAlign w:val="center"/>
          </w:tcPr>
          <w:p w14:paraId="7175EDFD" w14:textId="77777777" w:rsidR="00D72534" w:rsidRDefault="00D72534" w:rsidP="00E476B3"/>
        </w:tc>
        <w:tc>
          <w:tcPr>
            <w:tcW w:w="1134" w:type="dxa"/>
            <w:tcBorders>
              <w:bottom w:val="single" w:sz="4" w:space="0" w:color="000000" w:themeColor="text1"/>
            </w:tcBorders>
            <w:vAlign w:val="center"/>
          </w:tcPr>
          <w:p w14:paraId="543802F6" w14:textId="77777777" w:rsidR="00D72534" w:rsidRDefault="00D72534" w:rsidP="00E476B3">
            <w:pPr>
              <w:jc w:val="center"/>
            </w:pPr>
          </w:p>
        </w:tc>
        <w:tc>
          <w:tcPr>
            <w:tcW w:w="1134" w:type="dxa"/>
            <w:tcBorders>
              <w:bottom w:val="single" w:sz="4" w:space="0" w:color="000000" w:themeColor="text1"/>
            </w:tcBorders>
            <w:vAlign w:val="center"/>
          </w:tcPr>
          <w:p w14:paraId="03D6818B" w14:textId="77777777" w:rsidR="00D72534" w:rsidRDefault="00D72534" w:rsidP="00E476B3">
            <w:pPr>
              <w:jc w:val="center"/>
            </w:pPr>
          </w:p>
        </w:tc>
        <w:tc>
          <w:tcPr>
            <w:tcW w:w="1985" w:type="dxa"/>
            <w:tcBorders>
              <w:bottom w:val="single" w:sz="4" w:space="0" w:color="000000" w:themeColor="text1"/>
            </w:tcBorders>
            <w:vAlign w:val="center"/>
          </w:tcPr>
          <w:p w14:paraId="573473BB" w14:textId="77777777" w:rsidR="00D72534" w:rsidRDefault="00D72534" w:rsidP="00E476B3">
            <w:pPr>
              <w:jc w:val="center"/>
            </w:pPr>
          </w:p>
        </w:tc>
        <w:tc>
          <w:tcPr>
            <w:tcW w:w="1134" w:type="dxa"/>
            <w:tcBorders>
              <w:bottom w:val="single" w:sz="4" w:space="0" w:color="000000" w:themeColor="text1"/>
            </w:tcBorders>
            <w:vAlign w:val="center"/>
          </w:tcPr>
          <w:p w14:paraId="1248BCA8" w14:textId="77777777" w:rsidR="00D72534" w:rsidRDefault="00D72534" w:rsidP="00E476B3">
            <w:pPr>
              <w:jc w:val="center"/>
            </w:pPr>
          </w:p>
        </w:tc>
        <w:tc>
          <w:tcPr>
            <w:tcW w:w="2125" w:type="dxa"/>
            <w:tcBorders>
              <w:bottom w:val="single" w:sz="4" w:space="0" w:color="000000" w:themeColor="text1"/>
            </w:tcBorders>
            <w:vAlign w:val="center"/>
          </w:tcPr>
          <w:p w14:paraId="0B7A25D8" w14:textId="77777777" w:rsidR="00D72534" w:rsidRDefault="00D72534" w:rsidP="00E476B3">
            <w:pPr>
              <w:jc w:val="center"/>
            </w:pPr>
          </w:p>
        </w:tc>
      </w:tr>
      <w:tr w:rsidR="00D72534" w14:paraId="5F8F59CE" w14:textId="77777777" w:rsidTr="009502B2">
        <w:tc>
          <w:tcPr>
            <w:tcW w:w="1838" w:type="dxa"/>
            <w:tcBorders>
              <w:top w:val="single" w:sz="4" w:space="0" w:color="000000" w:themeColor="text1"/>
              <w:bottom w:val="nil"/>
            </w:tcBorders>
            <w:vAlign w:val="center"/>
          </w:tcPr>
          <w:p w14:paraId="00F5658C" w14:textId="62BAB4C0" w:rsidR="00D72534" w:rsidRPr="009502B2" w:rsidRDefault="00D72534" w:rsidP="00E476B3">
            <w:pPr>
              <w:rPr>
                <w:b/>
                <w:bCs/>
              </w:rPr>
            </w:pPr>
            <w:r w:rsidRPr="009502B2">
              <w:rPr>
                <w:b/>
                <w:bCs/>
              </w:rPr>
              <w:t>ICC</w:t>
            </w:r>
          </w:p>
        </w:tc>
        <w:tc>
          <w:tcPr>
            <w:tcW w:w="1134" w:type="dxa"/>
            <w:tcBorders>
              <w:top w:val="single" w:sz="4" w:space="0" w:color="000000" w:themeColor="text1"/>
              <w:bottom w:val="nil"/>
            </w:tcBorders>
            <w:vAlign w:val="center"/>
          </w:tcPr>
          <w:p w14:paraId="61456CD2" w14:textId="7E673789" w:rsidR="00D72534" w:rsidRDefault="00D72534" w:rsidP="00E476B3">
            <w:pPr>
              <w:jc w:val="center"/>
            </w:pPr>
          </w:p>
        </w:tc>
        <w:tc>
          <w:tcPr>
            <w:tcW w:w="1134" w:type="dxa"/>
            <w:tcBorders>
              <w:top w:val="single" w:sz="4" w:space="0" w:color="000000" w:themeColor="text1"/>
              <w:bottom w:val="nil"/>
            </w:tcBorders>
            <w:vAlign w:val="center"/>
          </w:tcPr>
          <w:p w14:paraId="3F6CA0A3" w14:textId="77777777" w:rsidR="00D72534" w:rsidRDefault="00D72534" w:rsidP="00E476B3">
            <w:pPr>
              <w:jc w:val="center"/>
            </w:pPr>
          </w:p>
        </w:tc>
        <w:tc>
          <w:tcPr>
            <w:tcW w:w="1985" w:type="dxa"/>
            <w:tcBorders>
              <w:top w:val="single" w:sz="4" w:space="0" w:color="000000" w:themeColor="text1"/>
              <w:bottom w:val="nil"/>
            </w:tcBorders>
            <w:vAlign w:val="center"/>
          </w:tcPr>
          <w:p w14:paraId="455B652E" w14:textId="77777777" w:rsidR="00D72534" w:rsidRDefault="00D72534" w:rsidP="00E476B3">
            <w:pPr>
              <w:jc w:val="center"/>
            </w:pPr>
          </w:p>
        </w:tc>
        <w:tc>
          <w:tcPr>
            <w:tcW w:w="1134" w:type="dxa"/>
            <w:tcBorders>
              <w:top w:val="single" w:sz="4" w:space="0" w:color="000000" w:themeColor="text1"/>
              <w:bottom w:val="nil"/>
            </w:tcBorders>
            <w:vAlign w:val="center"/>
          </w:tcPr>
          <w:p w14:paraId="5E4578FD" w14:textId="77777777" w:rsidR="00D72534" w:rsidRDefault="00D72534" w:rsidP="00E476B3">
            <w:pPr>
              <w:jc w:val="center"/>
            </w:pPr>
          </w:p>
        </w:tc>
        <w:tc>
          <w:tcPr>
            <w:tcW w:w="2125" w:type="dxa"/>
            <w:tcBorders>
              <w:top w:val="single" w:sz="4" w:space="0" w:color="000000" w:themeColor="text1"/>
              <w:bottom w:val="nil"/>
            </w:tcBorders>
            <w:vAlign w:val="center"/>
          </w:tcPr>
          <w:p w14:paraId="2A3F759A" w14:textId="77777777" w:rsidR="00D72534" w:rsidRDefault="00D72534" w:rsidP="00E476B3">
            <w:pPr>
              <w:jc w:val="center"/>
            </w:pPr>
          </w:p>
        </w:tc>
      </w:tr>
      <w:tr w:rsidR="009502B2" w14:paraId="4566FBE7" w14:textId="77777777" w:rsidTr="009502B2">
        <w:tc>
          <w:tcPr>
            <w:tcW w:w="1838" w:type="dxa"/>
            <w:tcBorders>
              <w:top w:val="nil"/>
            </w:tcBorders>
            <w:vAlign w:val="center"/>
          </w:tcPr>
          <w:p w14:paraId="676603D9" w14:textId="7FA65633" w:rsidR="009502B2" w:rsidRPr="009502B2" w:rsidRDefault="009502B2" w:rsidP="00E476B3">
            <w:r w:rsidRPr="009502B2">
              <w:t xml:space="preserve">   Adjusted </w:t>
            </w:r>
          </w:p>
        </w:tc>
        <w:tc>
          <w:tcPr>
            <w:tcW w:w="1134" w:type="dxa"/>
            <w:tcBorders>
              <w:top w:val="nil"/>
            </w:tcBorders>
            <w:vAlign w:val="center"/>
          </w:tcPr>
          <w:p w14:paraId="4FAE7EA9" w14:textId="7052E5F1" w:rsidR="009502B2" w:rsidRDefault="009502B2" w:rsidP="00E476B3">
            <w:pPr>
              <w:jc w:val="center"/>
            </w:pPr>
            <w:r>
              <w:t>0.77</w:t>
            </w:r>
          </w:p>
        </w:tc>
        <w:tc>
          <w:tcPr>
            <w:tcW w:w="1134" w:type="dxa"/>
            <w:tcBorders>
              <w:top w:val="nil"/>
            </w:tcBorders>
            <w:vAlign w:val="center"/>
          </w:tcPr>
          <w:p w14:paraId="743E09A2" w14:textId="77777777" w:rsidR="009502B2" w:rsidRDefault="009502B2" w:rsidP="00E476B3">
            <w:pPr>
              <w:jc w:val="center"/>
            </w:pPr>
          </w:p>
        </w:tc>
        <w:tc>
          <w:tcPr>
            <w:tcW w:w="1985" w:type="dxa"/>
            <w:tcBorders>
              <w:top w:val="nil"/>
            </w:tcBorders>
            <w:vAlign w:val="center"/>
          </w:tcPr>
          <w:p w14:paraId="0B048FCE" w14:textId="77777777" w:rsidR="009502B2" w:rsidRDefault="009502B2" w:rsidP="00E476B3">
            <w:pPr>
              <w:jc w:val="center"/>
            </w:pPr>
          </w:p>
        </w:tc>
        <w:tc>
          <w:tcPr>
            <w:tcW w:w="1134" w:type="dxa"/>
            <w:tcBorders>
              <w:top w:val="nil"/>
            </w:tcBorders>
            <w:vAlign w:val="center"/>
          </w:tcPr>
          <w:p w14:paraId="490D805E" w14:textId="77777777" w:rsidR="009502B2" w:rsidRDefault="009502B2" w:rsidP="00E476B3">
            <w:pPr>
              <w:jc w:val="center"/>
            </w:pPr>
          </w:p>
        </w:tc>
        <w:tc>
          <w:tcPr>
            <w:tcW w:w="2125" w:type="dxa"/>
            <w:tcBorders>
              <w:top w:val="nil"/>
            </w:tcBorders>
            <w:vAlign w:val="center"/>
          </w:tcPr>
          <w:p w14:paraId="26026846" w14:textId="77777777" w:rsidR="009502B2" w:rsidRDefault="009502B2" w:rsidP="00E476B3">
            <w:pPr>
              <w:jc w:val="center"/>
            </w:pPr>
          </w:p>
        </w:tc>
      </w:tr>
      <w:tr w:rsidR="009502B2" w14:paraId="1B853495" w14:textId="77777777" w:rsidTr="00A43138">
        <w:tc>
          <w:tcPr>
            <w:tcW w:w="1838" w:type="dxa"/>
            <w:vAlign w:val="center"/>
          </w:tcPr>
          <w:p w14:paraId="28A5355D" w14:textId="48FBC952" w:rsidR="009502B2" w:rsidRPr="009502B2" w:rsidRDefault="009502B2" w:rsidP="00E476B3">
            <w:r w:rsidRPr="009502B2">
              <w:t xml:space="preserve">   Unadjusted</w:t>
            </w:r>
          </w:p>
        </w:tc>
        <w:tc>
          <w:tcPr>
            <w:tcW w:w="1134" w:type="dxa"/>
            <w:vAlign w:val="center"/>
          </w:tcPr>
          <w:p w14:paraId="64FCF63E" w14:textId="1F0F8AB1" w:rsidR="009502B2" w:rsidRDefault="009502B2" w:rsidP="00E476B3">
            <w:pPr>
              <w:jc w:val="center"/>
            </w:pPr>
            <w:r>
              <w:t>0.69</w:t>
            </w:r>
          </w:p>
        </w:tc>
        <w:tc>
          <w:tcPr>
            <w:tcW w:w="1134" w:type="dxa"/>
            <w:vAlign w:val="center"/>
          </w:tcPr>
          <w:p w14:paraId="577F90F9" w14:textId="77777777" w:rsidR="009502B2" w:rsidRDefault="009502B2" w:rsidP="00E476B3">
            <w:pPr>
              <w:jc w:val="center"/>
            </w:pPr>
          </w:p>
        </w:tc>
        <w:tc>
          <w:tcPr>
            <w:tcW w:w="1985" w:type="dxa"/>
            <w:vAlign w:val="center"/>
          </w:tcPr>
          <w:p w14:paraId="53E9823D" w14:textId="77777777" w:rsidR="009502B2" w:rsidRDefault="009502B2" w:rsidP="00E476B3">
            <w:pPr>
              <w:jc w:val="center"/>
            </w:pPr>
          </w:p>
        </w:tc>
        <w:tc>
          <w:tcPr>
            <w:tcW w:w="1134" w:type="dxa"/>
            <w:vAlign w:val="center"/>
          </w:tcPr>
          <w:p w14:paraId="40363993" w14:textId="77777777" w:rsidR="009502B2" w:rsidRDefault="009502B2" w:rsidP="00E476B3">
            <w:pPr>
              <w:jc w:val="center"/>
            </w:pPr>
          </w:p>
        </w:tc>
        <w:tc>
          <w:tcPr>
            <w:tcW w:w="2125" w:type="dxa"/>
            <w:vAlign w:val="center"/>
          </w:tcPr>
          <w:p w14:paraId="7B4B86F4" w14:textId="77777777" w:rsidR="009502B2" w:rsidRDefault="009502B2" w:rsidP="00E476B3">
            <w:pPr>
              <w:jc w:val="center"/>
            </w:pPr>
          </w:p>
        </w:tc>
      </w:tr>
      <w:tr w:rsidR="00D72534" w14:paraId="25F25145" w14:textId="77777777" w:rsidTr="009502B2">
        <w:tc>
          <w:tcPr>
            <w:tcW w:w="1838" w:type="dxa"/>
            <w:tcBorders>
              <w:bottom w:val="single" w:sz="4" w:space="0" w:color="000000" w:themeColor="text1"/>
            </w:tcBorders>
            <w:vAlign w:val="center"/>
          </w:tcPr>
          <w:p w14:paraId="5C884FCB" w14:textId="77777777" w:rsidR="00D72534" w:rsidRDefault="00D72534" w:rsidP="00E476B3"/>
        </w:tc>
        <w:tc>
          <w:tcPr>
            <w:tcW w:w="1134" w:type="dxa"/>
            <w:tcBorders>
              <w:bottom w:val="single" w:sz="4" w:space="0" w:color="000000" w:themeColor="text1"/>
            </w:tcBorders>
            <w:vAlign w:val="center"/>
          </w:tcPr>
          <w:p w14:paraId="7469FC54" w14:textId="77777777" w:rsidR="00D72534" w:rsidRDefault="00D72534" w:rsidP="00E476B3">
            <w:pPr>
              <w:jc w:val="center"/>
            </w:pPr>
          </w:p>
        </w:tc>
        <w:tc>
          <w:tcPr>
            <w:tcW w:w="1134" w:type="dxa"/>
            <w:tcBorders>
              <w:bottom w:val="single" w:sz="4" w:space="0" w:color="000000" w:themeColor="text1"/>
            </w:tcBorders>
            <w:vAlign w:val="center"/>
          </w:tcPr>
          <w:p w14:paraId="21021DB3" w14:textId="77777777" w:rsidR="00D72534" w:rsidRDefault="00D72534" w:rsidP="00E476B3">
            <w:pPr>
              <w:jc w:val="center"/>
            </w:pPr>
          </w:p>
        </w:tc>
        <w:tc>
          <w:tcPr>
            <w:tcW w:w="1985" w:type="dxa"/>
            <w:tcBorders>
              <w:bottom w:val="single" w:sz="4" w:space="0" w:color="000000" w:themeColor="text1"/>
            </w:tcBorders>
            <w:vAlign w:val="center"/>
          </w:tcPr>
          <w:p w14:paraId="693A272E" w14:textId="77777777" w:rsidR="00D72534" w:rsidRDefault="00D72534" w:rsidP="00E476B3">
            <w:pPr>
              <w:jc w:val="center"/>
            </w:pPr>
          </w:p>
        </w:tc>
        <w:tc>
          <w:tcPr>
            <w:tcW w:w="1134" w:type="dxa"/>
            <w:tcBorders>
              <w:bottom w:val="single" w:sz="4" w:space="0" w:color="000000" w:themeColor="text1"/>
            </w:tcBorders>
            <w:vAlign w:val="center"/>
          </w:tcPr>
          <w:p w14:paraId="76FDF0AA" w14:textId="77777777" w:rsidR="00D72534" w:rsidRDefault="00D72534" w:rsidP="00E476B3">
            <w:pPr>
              <w:jc w:val="center"/>
            </w:pPr>
          </w:p>
        </w:tc>
        <w:tc>
          <w:tcPr>
            <w:tcW w:w="2125" w:type="dxa"/>
            <w:tcBorders>
              <w:bottom w:val="single" w:sz="4" w:space="0" w:color="000000" w:themeColor="text1"/>
            </w:tcBorders>
            <w:vAlign w:val="center"/>
          </w:tcPr>
          <w:p w14:paraId="0706AB9D" w14:textId="77777777" w:rsidR="00D72534" w:rsidRDefault="00D72534" w:rsidP="00E476B3">
            <w:pPr>
              <w:jc w:val="center"/>
            </w:pPr>
          </w:p>
        </w:tc>
      </w:tr>
      <w:tr w:rsidR="00D72534" w14:paraId="065C98E3" w14:textId="77777777" w:rsidTr="009502B2">
        <w:tc>
          <w:tcPr>
            <w:tcW w:w="1838" w:type="dxa"/>
            <w:tcBorders>
              <w:top w:val="single" w:sz="4" w:space="0" w:color="000000" w:themeColor="text1"/>
              <w:bottom w:val="nil"/>
            </w:tcBorders>
            <w:vAlign w:val="center"/>
          </w:tcPr>
          <w:p w14:paraId="7AA880FD" w14:textId="28927749" w:rsidR="00D72534" w:rsidRPr="009502B2" w:rsidRDefault="00D72534" w:rsidP="00E476B3">
            <w:pPr>
              <w:rPr>
                <w:b/>
                <w:bCs/>
              </w:rPr>
            </w:pPr>
            <w:r w:rsidRPr="009502B2">
              <w:rPr>
                <w:b/>
                <w:bCs/>
              </w:rPr>
              <w:t>R²</w:t>
            </w:r>
          </w:p>
        </w:tc>
        <w:tc>
          <w:tcPr>
            <w:tcW w:w="1134" w:type="dxa"/>
            <w:tcBorders>
              <w:top w:val="single" w:sz="4" w:space="0" w:color="000000" w:themeColor="text1"/>
              <w:bottom w:val="nil"/>
            </w:tcBorders>
            <w:vAlign w:val="center"/>
          </w:tcPr>
          <w:p w14:paraId="2D695210" w14:textId="77777777" w:rsidR="00D72534" w:rsidRDefault="00D72534" w:rsidP="00E476B3">
            <w:pPr>
              <w:jc w:val="center"/>
            </w:pPr>
          </w:p>
        </w:tc>
        <w:tc>
          <w:tcPr>
            <w:tcW w:w="1134" w:type="dxa"/>
            <w:tcBorders>
              <w:top w:val="single" w:sz="4" w:space="0" w:color="000000" w:themeColor="text1"/>
              <w:bottom w:val="nil"/>
            </w:tcBorders>
            <w:vAlign w:val="center"/>
          </w:tcPr>
          <w:p w14:paraId="3C7DF5B9" w14:textId="77777777" w:rsidR="00D72534" w:rsidRDefault="00D72534" w:rsidP="00E476B3">
            <w:pPr>
              <w:jc w:val="center"/>
            </w:pPr>
          </w:p>
        </w:tc>
        <w:tc>
          <w:tcPr>
            <w:tcW w:w="1985" w:type="dxa"/>
            <w:tcBorders>
              <w:top w:val="single" w:sz="4" w:space="0" w:color="000000" w:themeColor="text1"/>
              <w:bottom w:val="nil"/>
            </w:tcBorders>
            <w:vAlign w:val="center"/>
          </w:tcPr>
          <w:p w14:paraId="47487FBE" w14:textId="77777777" w:rsidR="00D72534" w:rsidRDefault="00D72534" w:rsidP="00E476B3">
            <w:pPr>
              <w:jc w:val="center"/>
            </w:pPr>
          </w:p>
        </w:tc>
        <w:tc>
          <w:tcPr>
            <w:tcW w:w="1134" w:type="dxa"/>
            <w:tcBorders>
              <w:top w:val="single" w:sz="4" w:space="0" w:color="000000" w:themeColor="text1"/>
              <w:bottom w:val="nil"/>
            </w:tcBorders>
            <w:vAlign w:val="center"/>
          </w:tcPr>
          <w:p w14:paraId="43596514" w14:textId="77777777" w:rsidR="00D72534" w:rsidRDefault="00D72534" w:rsidP="00E476B3">
            <w:pPr>
              <w:jc w:val="center"/>
            </w:pPr>
          </w:p>
        </w:tc>
        <w:tc>
          <w:tcPr>
            <w:tcW w:w="2125" w:type="dxa"/>
            <w:tcBorders>
              <w:top w:val="single" w:sz="4" w:space="0" w:color="000000" w:themeColor="text1"/>
              <w:bottom w:val="nil"/>
            </w:tcBorders>
            <w:vAlign w:val="center"/>
          </w:tcPr>
          <w:p w14:paraId="57878DED" w14:textId="77777777" w:rsidR="00D72534" w:rsidRDefault="00D72534" w:rsidP="00E476B3">
            <w:pPr>
              <w:jc w:val="center"/>
            </w:pPr>
          </w:p>
        </w:tc>
      </w:tr>
      <w:tr w:rsidR="00D72534" w14:paraId="03E75895" w14:textId="77777777" w:rsidTr="009502B2">
        <w:tc>
          <w:tcPr>
            <w:tcW w:w="1838" w:type="dxa"/>
            <w:tcBorders>
              <w:top w:val="nil"/>
            </w:tcBorders>
            <w:vAlign w:val="center"/>
          </w:tcPr>
          <w:p w14:paraId="79B42F17" w14:textId="37DE6118" w:rsidR="00D72534" w:rsidRDefault="00D72534" w:rsidP="00E476B3">
            <w:r>
              <w:t xml:space="preserve">   </w:t>
            </w:r>
            <w:r w:rsidR="009502B2">
              <w:t>Conditional</w:t>
            </w:r>
          </w:p>
        </w:tc>
        <w:tc>
          <w:tcPr>
            <w:tcW w:w="1134" w:type="dxa"/>
            <w:tcBorders>
              <w:top w:val="nil"/>
            </w:tcBorders>
            <w:vAlign w:val="center"/>
          </w:tcPr>
          <w:p w14:paraId="107F881C" w14:textId="5AD5AC27" w:rsidR="00D72534" w:rsidRDefault="009502B2" w:rsidP="00E476B3">
            <w:pPr>
              <w:jc w:val="center"/>
            </w:pPr>
            <w:r>
              <w:t>0.79</w:t>
            </w:r>
          </w:p>
        </w:tc>
        <w:tc>
          <w:tcPr>
            <w:tcW w:w="1134" w:type="dxa"/>
            <w:tcBorders>
              <w:top w:val="nil"/>
            </w:tcBorders>
            <w:vAlign w:val="center"/>
          </w:tcPr>
          <w:p w14:paraId="07954C4D" w14:textId="77777777" w:rsidR="00D72534" w:rsidRDefault="00D72534" w:rsidP="00E476B3">
            <w:pPr>
              <w:jc w:val="center"/>
            </w:pPr>
          </w:p>
        </w:tc>
        <w:tc>
          <w:tcPr>
            <w:tcW w:w="1985" w:type="dxa"/>
            <w:tcBorders>
              <w:top w:val="nil"/>
            </w:tcBorders>
            <w:vAlign w:val="center"/>
          </w:tcPr>
          <w:p w14:paraId="059CED4F" w14:textId="77777777" w:rsidR="00D72534" w:rsidRDefault="00D72534" w:rsidP="00E476B3">
            <w:pPr>
              <w:jc w:val="center"/>
            </w:pPr>
          </w:p>
        </w:tc>
        <w:tc>
          <w:tcPr>
            <w:tcW w:w="1134" w:type="dxa"/>
            <w:tcBorders>
              <w:top w:val="nil"/>
            </w:tcBorders>
            <w:vAlign w:val="center"/>
          </w:tcPr>
          <w:p w14:paraId="7048A02D" w14:textId="77777777" w:rsidR="00D72534" w:rsidRDefault="00D72534" w:rsidP="00E476B3">
            <w:pPr>
              <w:jc w:val="center"/>
            </w:pPr>
          </w:p>
        </w:tc>
        <w:tc>
          <w:tcPr>
            <w:tcW w:w="2125" w:type="dxa"/>
            <w:tcBorders>
              <w:top w:val="nil"/>
            </w:tcBorders>
            <w:vAlign w:val="center"/>
          </w:tcPr>
          <w:p w14:paraId="2D35CC32" w14:textId="77777777" w:rsidR="00D72534" w:rsidRDefault="00D72534" w:rsidP="00E476B3">
            <w:pPr>
              <w:jc w:val="center"/>
            </w:pPr>
          </w:p>
        </w:tc>
      </w:tr>
      <w:tr w:rsidR="00D72534" w14:paraId="6617B9C7" w14:textId="77777777" w:rsidTr="00A43138">
        <w:tc>
          <w:tcPr>
            <w:tcW w:w="1838" w:type="dxa"/>
            <w:vAlign w:val="center"/>
          </w:tcPr>
          <w:p w14:paraId="71CFC6A1" w14:textId="6603C08E" w:rsidR="00D72534" w:rsidRDefault="00D72534" w:rsidP="00E476B3">
            <w:r>
              <w:t xml:space="preserve">   </w:t>
            </w:r>
            <w:r w:rsidR="009502B2">
              <w:t>Marginal</w:t>
            </w:r>
          </w:p>
        </w:tc>
        <w:tc>
          <w:tcPr>
            <w:tcW w:w="1134" w:type="dxa"/>
            <w:vAlign w:val="center"/>
          </w:tcPr>
          <w:p w14:paraId="4B04070C" w14:textId="374E35B7" w:rsidR="00D72534" w:rsidRDefault="009502B2" w:rsidP="00E476B3">
            <w:pPr>
              <w:jc w:val="center"/>
            </w:pPr>
            <w:r>
              <w:t>0.09</w:t>
            </w:r>
          </w:p>
        </w:tc>
        <w:tc>
          <w:tcPr>
            <w:tcW w:w="1134" w:type="dxa"/>
            <w:vAlign w:val="center"/>
          </w:tcPr>
          <w:p w14:paraId="748F3B3C" w14:textId="77777777" w:rsidR="00D72534" w:rsidRDefault="00D72534" w:rsidP="00E476B3">
            <w:pPr>
              <w:jc w:val="center"/>
            </w:pPr>
          </w:p>
        </w:tc>
        <w:tc>
          <w:tcPr>
            <w:tcW w:w="1985" w:type="dxa"/>
            <w:vAlign w:val="center"/>
          </w:tcPr>
          <w:p w14:paraId="35E071DF" w14:textId="77777777" w:rsidR="00D72534" w:rsidRDefault="00D72534" w:rsidP="00E476B3">
            <w:pPr>
              <w:jc w:val="center"/>
            </w:pPr>
          </w:p>
        </w:tc>
        <w:tc>
          <w:tcPr>
            <w:tcW w:w="1134" w:type="dxa"/>
            <w:vAlign w:val="center"/>
          </w:tcPr>
          <w:p w14:paraId="7E7D4243" w14:textId="77777777" w:rsidR="00D72534" w:rsidRDefault="00D72534" w:rsidP="00E476B3">
            <w:pPr>
              <w:jc w:val="center"/>
            </w:pPr>
          </w:p>
        </w:tc>
        <w:tc>
          <w:tcPr>
            <w:tcW w:w="2125" w:type="dxa"/>
            <w:vAlign w:val="center"/>
          </w:tcPr>
          <w:p w14:paraId="266404C5" w14:textId="77777777" w:rsidR="00D72534" w:rsidRDefault="00D72534" w:rsidP="00E476B3">
            <w:pPr>
              <w:jc w:val="center"/>
            </w:pPr>
          </w:p>
        </w:tc>
      </w:tr>
    </w:tbl>
    <w:p w14:paraId="1470784C" w14:textId="77777777" w:rsidR="007C0662" w:rsidRDefault="007C0662" w:rsidP="007C0662">
      <w:pPr>
        <w:rPr>
          <w:i/>
          <w:iCs/>
        </w:rPr>
      </w:pPr>
    </w:p>
    <w:p w14:paraId="39C3AFD6" w14:textId="70605DEF" w:rsidR="007C0662" w:rsidRDefault="007C0662" w:rsidP="007C0662">
      <w:r>
        <w:rPr>
          <w:i/>
          <w:iCs/>
        </w:rPr>
        <w:t xml:space="preserve">Note. </w:t>
      </w:r>
      <w:r w:rsidR="009C041E">
        <w:t>Model 4 includes fixed effects for extraversion and neuroticism, random intercepts, and random slopes for both predictors. ICC = intraclass correlation coefficient. Marginal R² reflects variance explained by fixed effects only; conditional R² reflects variance explained by both fixed and random effects.</w:t>
      </w:r>
    </w:p>
    <w:p w14:paraId="1B5AD0B7" w14:textId="06E6660F" w:rsidR="007C0662" w:rsidRDefault="007C0662" w:rsidP="00AC32CA">
      <w:pPr>
        <w:spacing w:line="480" w:lineRule="auto"/>
      </w:pPr>
    </w:p>
    <w:p w14:paraId="094C0843" w14:textId="56214EB4" w:rsidR="00FD1A46" w:rsidRPr="00FD1A46" w:rsidRDefault="00FD1A46" w:rsidP="00FD1A46">
      <w:pPr>
        <w:spacing w:line="480" w:lineRule="auto"/>
        <w:rPr>
          <w:b/>
          <w:bCs/>
          <w:i/>
          <w:iCs/>
        </w:rPr>
      </w:pPr>
      <w:r w:rsidRPr="00FD1A46">
        <w:rPr>
          <w:b/>
          <w:bCs/>
          <w:i/>
          <w:iCs/>
        </w:rPr>
        <w:t>Final Model Diagnostics</w:t>
      </w:r>
    </w:p>
    <w:p w14:paraId="11C7D653" w14:textId="77777777" w:rsidR="00F528BC" w:rsidRDefault="00F528BC" w:rsidP="00F528BC">
      <w:pPr>
        <w:spacing w:line="480" w:lineRule="auto"/>
        <w:ind w:firstLine="720"/>
      </w:pPr>
      <w:r>
        <w:t>Model diagnostics for Model 4 indicated that the residuals met most assumptions reasonably well, though some minor violations were observed (see Figure 3). The histogram of residuals showed a bell-shaped, symmetric distribution centered around zero, suggesting that the residuals were approximately normally distributed. This supports the assumption of normality, which is important for valid hypothesis testing and confidence interval estimation.</w:t>
      </w:r>
    </w:p>
    <w:p w14:paraId="07FB44C6" w14:textId="6726B452" w:rsidR="00F528BC" w:rsidRDefault="00F528BC" w:rsidP="00F528BC">
      <w:pPr>
        <w:spacing w:line="480" w:lineRule="auto"/>
        <w:ind w:firstLine="720"/>
      </w:pPr>
      <w:r>
        <w:t>The residual dependence plot (top-right) displayed a slight funnel-shaped pattern, with greater variability in residuals at lower levels of predicted satisfaction with life. This indicates minor heteroscedasticity</w:t>
      </w:r>
      <w:r>
        <w:t xml:space="preserve">. </w:t>
      </w:r>
      <w:r>
        <w:t xml:space="preserve">That is, the model tended to predict scores more accurately for </w:t>
      </w:r>
      <w:r>
        <w:lastRenderedPageBreak/>
        <w:t>participants with higher life satisfaction, while predictions were slightly more variable among those with lower satisfaction.</w:t>
      </w:r>
      <w:r>
        <w:t xml:space="preserve"> </w:t>
      </w:r>
      <w:r>
        <w:t>The spread-level (S-L) plot (bottom) confirmed this pattern, showing that the absolute values of residuals decreased as predicted values increased. Although the slope of the blue loess line is slightly negative, indicating mild heteroscedasticity, the deviation was not extreme and did not suggest a serious threat to model validity.</w:t>
      </w:r>
      <w:r>
        <w:t xml:space="preserve"> </w:t>
      </w:r>
      <w:r>
        <w:t xml:space="preserve">Overall, these plots suggest that the model fits the data well, with only minor violations of the homoscedasticity assumption. </w:t>
      </w:r>
    </w:p>
    <w:p w14:paraId="610CE63D" w14:textId="5EFD6092" w:rsidR="00BE0D27" w:rsidRDefault="00BE0D27" w:rsidP="00702223">
      <w:pPr>
        <w:spacing w:line="480" w:lineRule="auto"/>
        <w:ind w:firstLine="720"/>
      </w:pPr>
      <w:r>
        <w:t xml:space="preserve">The model accounted for a substantial proportion of the variance in satisfaction with life. The </w:t>
      </w:r>
      <w:r w:rsidRPr="00BE0D27">
        <w:rPr>
          <w:rStyle w:val="Strong"/>
          <w:rFonts w:eastAsiaTheme="majorEastAsia"/>
          <w:b w:val="0"/>
          <w:bCs w:val="0"/>
        </w:rPr>
        <w:t>conditional R²</w:t>
      </w:r>
      <w:r>
        <w:t xml:space="preserve">, </w:t>
      </w:r>
      <w:r>
        <w:t xml:space="preserve">which reflects the combined explanatory power of both fixed effects (extraversion and neuroticism) and random effects (individual-specific intercepts and slopes), was </w:t>
      </w:r>
      <w:r w:rsidRPr="00BE0D27">
        <w:rPr>
          <w:rStyle w:val="Strong"/>
          <w:rFonts w:eastAsiaTheme="majorEastAsia"/>
          <w:b w:val="0"/>
          <w:bCs w:val="0"/>
        </w:rPr>
        <w:t>0.79</w:t>
      </w:r>
      <w:r>
        <w:t>, meaning that 7</w:t>
      </w:r>
      <w:r>
        <w:t>8.9</w:t>
      </w:r>
      <w:r>
        <w:t xml:space="preserve">% of the variability in life satisfaction was explained by the model. In contrast, the </w:t>
      </w:r>
      <w:r w:rsidRPr="00BE0D27">
        <w:rPr>
          <w:rStyle w:val="Strong"/>
          <w:rFonts w:eastAsiaTheme="majorEastAsia"/>
          <w:b w:val="0"/>
          <w:bCs w:val="0"/>
        </w:rPr>
        <w:t>marginal R²</w:t>
      </w:r>
      <w:r>
        <w:t>,</w:t>
      </w:r>
      <w:r>
        <w:t xml:space="preserve"> which includes only the fixed effects, was </w:t>
      </w:r>
      <w:r w:rsidRPr="00BE0D27">
        <w:rPr>
          <w:rStyle w:val="Strong"/>
          <w:rFonts w:eastAsiaTheme="majorEastAsia"/>
          <w:b w:val="0"/>
          <w:bCs w:val="0"/>
        </w:rPr>
        <w:t>0.09</w:t>
      </w:r>
      <w:r>
        <w:t>, indicating that extraversion and neuroticism alone accounted for 9% of the variance in satisfaction with life. The large difference between these values suggests that the majority of variability in life satisfaction was due to stable, person-level differences not fully captured by the personality predictors.</w:t>
      </w:r>
      <w:r w:rsidR="00B00F4C">
        <w:tab/>
      </w:r>
    </w:p>
    <w:p w14:paraId="508EFDA1" w14:textId="3015ED55" w:rsidR="006B5DA3" w:rsidRDefault="00BE0D27" w:rsidP="00113D76">
      <w:pPr>
        <w:spacing w:line="480" w:lineRule="auto"/>
      </w:pPr>
      <w:r>
        <w:tab/>
      </w:r>
      <w:r>
        <w:t>The model produced a minor convergence warning (</w:t>
      </w:r>
      <w:proofErr w:type="spellStart"/>
      <w:r>
        <w:t>max|grad</w:t>
      </w:r>
      <w:proofErr w:type="spellEnd"/>
      <w:r>
        <w:t>| = 0.00265; tolerance = 0.002), indicating that the optimizer nearly</w:t>
      </w:r>
      <w:r w:rsidR="006B5DA3">
        <w:t xml:space="preserve"> </w:t>
      </w:r>
      <w:r>
        <w:t xml:space="preserve">met the convergence threshold. </w:t>
      </w:r>
      <w:r w:rsidR="006B5DA3">
        <w:t>This type of warning is common in complex models that include random slopes. Although the assignment instructions said to proceed, it is worth noting that minor convergence issues can sometimes be resolved</w:t>
      </w:r>
      <w:r w:rsidR="006B5DA3">
        <w:t xml:space="preserve"> by </w:t>
      </w:r>
      <w:r w:rsidR="006B5DA3">
        <w:t>increasing the number of iterations the optimizer is allowed to run, switching to a different optimizer</w:t>
      </w:r>
      <w:r w:rsidR="006B5DA3">
        <w:t xml:space="preserve">, </w:t>
      </w:r>
      <w:r w:rsidR="006B5DA3">
        <w:t>or simplifying the model structure slightly (e.g., removing a random slope if it</w:t>
      </w:r>
      <w:r w:rsidR="00094B9D">
        <w:t>’</w:t>
      </w:r>
      <w:r w:rsidR="006B5DA3">
        <w:t xml:space="preserve">s not </w:t>
      </w:r>
      <w:r w:rsidR="006B5DA3">
        <w:lastRenderedPageBreak/>
        <w:t>necessary). In this case, the warning was small and did not affect interpretation of the results, so Model 4 was retained as the final model and used to test H1 and H2.</w:t>
      </w:r>
    </w:p>
    <w:p w14:paraId="1275E22C" w14:textId="77777777" w:rsidR="0061337B" w:rsidRPr="00655DD4" w:rsidRDefault="0061337B" w:rsidP="0061337B">
      <w:pPr>
        <w:spacing w:line="480" w:lineRule="auto"/>
        <w:rPr>
          <w:b/>
          <w:bCs/>
        </w:rPr>
      </w:pPr>
      <w:r>
        <w:rPr>
          <w:b/>
          <w:bCs/>
        </w:rPr>
        <w:t>Figure 3</w:t>
      </w:r>
    </w:p>
    <w:p w14:paraId="4F7272CC" w14:textId="77777777" w:rsidR="0061337B" w:rsidRDefault="0061337B" w:rsidP="0061337B">
      <w:pPr>
        <w:spacing w:line="480" w:lineRule="auto"/>
        <w:rPr>
          <w:i/>
          <w:iCs/>
        </w:rPr>
      </w:pPr>
      <w:r>
        <w:rPr>
          <w:i/>
          <w:iCs/>
        </w:rPr>
        <w:t xml:space="preserve">Residual diagnostic plots for the final mixed effects model </w:t>
      </w:r>
    </w:p>
    <w:p w14:paraId="74AADA84" w14:textId="77777777" w:rsidR="0061337B" w:rsidRPr="00C37814" w:rsidRDefault="0061337B" w:rsidP="0061337B">
      <w:pPr>
        <w:spacing w:line="480" w:lineRule="auto"/>
      </w:pPr>
      <w:r>
        <w:rPr>
          <w:noProof/>
        </w:rPr>
        <w:drawing>
          <wp:inline distT="0" distB="0" distL="0" distR="0" wp14:anchorId="598DF50F" wp14:editId="35FF2B13">
            <wp:extent cx="5943600" cy="3667760"/>
            <wp:effectExtent l="0" t="0" r="0" b="2540"/>
            <wp:docPr id="792370050" name="Picture 1" descr="A group of graphs showing res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5479" name="Picture 1" descr="A group of graphs showing residual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D8E984E" w14:textId="017D2943" w:rsidR="0061337B" w:rsidRDefault="00FD328F" w:rsidP="0061337B">
      <w:pPr>
        <w:spacing w:line="480" w:lineRule="auto"/>
        <w:rPr>
          <w:b/>
          <w:bCs/>
        </w:rPr>
      </w:pPr>
      <w:r>
        <w:rPr>
          <w:b/>
          <w:bCs/>
        </w:rPr>
        <w:t>Hypothesis 3: Testing Within- and Between-Person Effects</w:t>
      </w:r>
    </w:p>
    <w:p w14:paraId="2370513E" w14:textId="4F505196" w:rsidR="009F3EE4" w:rsidRDefault="00FD328F" w:rsidP="00E9228C">
      <w:pPr>
        <w:spacing w:line="480" w:lineRule="auto"/>
      </w:pPr>
      <w:r>
        <w:rPr>
          <w:b/>
          <w:bCs/>
        </w:rPr>
        <w:tab/>
      </w:r>
      <w:r>
        <w:t xml:space="preserve">To evaluate </w:t>
      </w:r>
      <w:r>
        <w:t xml:space="preserve">H3, </w:t>
      </w:r>
      <w:r>
        <w:t xml:space="preserve">a new linear mixed-effects model (Model 5) was fit using disaggregated predictors. </w:t>
      </w:r>
      <w:r w:rsidR="00CF49CF">
        <w:t xml:space="preserve">Each </w:t>
      </w:r>
      <w:r w:rsidR="00CF49CF" w:rsidRPr="00CF49CF">
        <w:t>personality variable was separated into two components using person-mean centering: a within-person variable representing daily deviations from an individual’s average (Level 1), and a between-person variable representing the individual’s mean score across all days (Level 2).</w:t>
      </w:r>
      <w:r w:rsidR="00E9228C">
        <w:t xml:space="preserve"> </w:t>
      </w:r>
      <w:r w:rsidR="00CF49CF">
        <w:t xml:space="preserve">Model 5 included fixed effects for all four disaggregated predictors and a random intercept for participant ID. </w:t>
      </w:r>
    </w:p>
    <w:p w14:paraId="44B97A98" w14:textId="601C0A46" w:rsidR="00DD3F99" w:rsidRDefault="00DD3F99" w:rsidP="00DD3F99">
      <w:pPr>
        <w:spacing w:line="480" w:lineRule="auto"/>
        <w:ind w:firstLine="720"/>
      </w:pPr>
      <w:r>
        <w:t>To examine whether the disaggregated model improved statistical fit compared to the final selected model (Model 4), a likelihood-based model comparison</w:t>
      </w:r>
      <w:r>
        <w:t xml:space="preserve"> using ML</w:t>
      </w:r>
      <w:r>
        <w:t xml:space="preserve"> was conducted. </w:t>
      </w:r>
      <w:r>
        <w:lastRenderedPageBreak/>
        <w:t>Model 5 provided theoretical precision by estimating within- and between-person effects separately but showed worse fit statistics (AIC = 10,516.40; BIC = 10,574.88) than Model 4 (AIC = 10,364.47; BIC = 10,428.02). Median predicted differences between models were minimal (0.062), indicating negligible practical benefit.</w:t>
      </w:r>
    </w:p>
    <w:p w14:paraId="42A16556" w14:textId="76A5F2DE" w:rsidR="00DD3F99" w:rsidRDefault="00DD3F99" w:rsidP="00DD3F99">
      <w:pPr>
        <w:spacing w:line="480" w:lineRule="auto"/>
        <w:ind w:firstLine="720"/>
      </w:pPr>
      <w:r>
        <w:t>However, Model 5 was not intended to replace Model 4 but to directly test H3. Unlike prior models, Model 5 isolated daily fluctuations (within-person) from stable trait differences (between-person), making it uniquely suited to evaluate whether the effects of personality on life satisfaction were consistent across levels.</w:t>
      </w:r>
    </w:p>
    <w:p w14:paraId="73E2FF36" w14:textId="43DF7448" w:rsidR="00E71F8A" w:rsidRPr="00822FBE" w:rsidRDefault="00E71F8A" w:rsidP="00E71F8A">
      <w:pPr>
        <w:spacing w:line="480" w:lineRule="auto"/>
        <w:ind w:firstLine="720"/>
      </w:pPr>
      <w:r>
        <w:t>All fixed effects were statistically significant</w:t>
      </w:r>
      <w:r w:rsidR="00EC6FB5">
        <w:t xml:space="preserve"> (see Table 3)</w:t>
      </w:r>
      <w:r>
        <w:t xml:space="preserve">. At the within-person level, increases in extraversion were associated with higher satisfaction with life, </w:t>
      </w:r>
      <w:r>
        <w:rPr>
          <w:rStyle w:val="Emphasis"/>
          <w:rFonts w:eastAsiaTheme="majorEastAsia"/>
        </w:rPr>
        <w:t>b</w:t>
      </w:r>
      <w:r>
        <w:t xml:space="preserve"> = 0.15, </w:t>
      </w:r>
      <w:r>
        <w:rPr>
          <w:rStyle w:val="Emphasis"/>
          <w:rFonts w:eastAsiaTheme="majorEastAsia"/>
        </w:rPr>
        <w:t>SE</w:t>
      </w:r>
      <w:r>
        <w:t xml:space="preserve"> = 0.01, </w:t>
      </w:r>
      <w:proofErr w:type="gramStart"/>
      <w:r>
        <w:rPr>
          <w:rStyle w:val="Emphasis"/>
          <w:rFonts w:eastAsiaTheme="majorEastAsia"/>
        </w:rPr>
        <w:t>t</w:t>
      </w:r>
      <w:r>
        <w:t>(</w:t>
      </w:r>
      <w:proofErr w:type="gramEnd"/>
      <w:r>
        <w:t xml:space="preserve">3986.15) = 12.73, </w:t>
      </w:r>
      <w:r>
        <w:rPr>
          <w:rStyle w:val="Emphasis"/>
          <w:rFonts w:eastAsiaTheme="majorEastAsia"/>
        </w:rPr>
        <w:t>p</w:t>
      </w:r>
      <w:r>
        <w:t xml:space="preserve"> &lt; .001, 95% CI [0.13, 0.17]. This indicates that on days when participants reported feeling more extraverted than their personal average, they also reported life satisfaction scores approximately 0.15 points higher. The small standard error, large </w:t>
      </w:r>
      <w:r>
        <w:rPr>
          <w:rStyle w:val="Emphasis"/>
          <w:rFonts w:eastAsiaTheme="majorEastAsia"/>
        </w:rPr>
        <w:t>t</w:t>
      </w:r>
      <w:r>
        <w:t xml:space="preserve"> value, and confidence interval that excludes zero all support the precision and statistical reliability of this effect. In contrast, increases in daily neuroticism were associated with lower satisfaction with life, </w:t>
      </w:r>
      <w:r>
        <w:rPr>
          <w:rStyle w:val="Emphasis"/>
          <w:rFonts w:eastAsiaTheme="majorEastAsia"/>
        </w:rPr>
        <w:t>b</w:t>
      </w:r>
      <w:r>
        <w:t xml:space="preserve"> = –0.22, </w:t>
      </w:r>
      <w:r>
        <w:rPr>
          <w:rStyle w:val="Emphasis"/>
          <w:rFonts w:eastAsiaTheme="majorEastAsia"/>
        </w:rPr>
        <w:t>SE</w:t>
      </w:r>
      <w:r>
        <w:t xml:space="preserve"> = 0.01, </w:t>
      </w:r>
      <w:proofErr w:type="gramStart"/>
      <w:r>
        <w:rPr>
          <w:rStyle w:val="Emphasis"/>
          <w:rFonts w:eastAsiaTheme="majorEastAsia"/>
        </w:rPr>
        <w:t>t</w:t>
      </w:r>
      <w:r>
        <w:t>(</w:t>
      </w:r>
      <w:proofErr w:type="gramEnd"/>
      <w:r>
        <w:t xml:space="preserve">3986.15) = –19.36, </w:t>
      </w:r>
      <w:r>
        <w:rPr>
          <w:rStyle w:val="Emphasis"/>
          <w:rFonts w:eastAsiaTheme="majorEastAsia"/>
        </w:rPr>
        <w:t>p</w:t>
      </w:r>
      <w:r>
        <w:t xml:space="preserve"> &lt; .001, 95% CI [–0.24, –0.20]. On days when participants felt more neurotic than usual, their life satisfaction scores were approximately 0.22 points lower. This negative association was also strong and statistically robust</w:t>
      </w:r>
      <w:r w:rsidR="00822FBE">
        <w:t xml:space="preserve"> given the small standard error, large </w:t>
      </w:r>
      <w:r w:rsidR="00822FBE">
        <w:rPr>
          <w:i/>
          <w:iCs/>
        </w:rPr>
        <w:t xml:space="preserve">t </w:t>
      </w:r>
      <w:r w:rsidR="00822FBE">
        <w:t>value, and confidence interval that does not include zero.</w:t>
      </w:r>
    </w:p>
    <w:p w14:paraId="3A252700" w14:textId="7A0CBBE6" w:rsidR="00DD3F99" w:rsidRDefault="00E71F8A" w:rsidP="00DD3F99">
      <w:pPr>
        <w:spacing w:line="480" w:lineRule="auto"/>
        <w:ind w:firstLine="720"/>
      </w:pPr>
      <w:r>
        <w:t xml:space="preserve">At the between-person level, trait extraversion predicted higher average satisfaction with life, </w:t>
      </w:r>
      <w:r>
        <w:rPr>
          <w:rStyle w:val="Emphasis"/>
          <w:rFonts w:eastAsiaTheme="majorEastAsia"/>
        </w:rPr>
        <w:t>b</w:t>
      </w:r>
      <w:r>
        <w:t xml:space="preserve"> = 0.36, </w:t>
      </w:r>
      <w:r>
        <w:rPr>
          <w:rStyle w:val="Emphasis"/>
          <w:rFonts w:eastAsiaTheme="majorEastAsia"/>
        </w:rPr>
        <w:t>SE</w:t>
      </w:r>
      <w:r>
        <w:t xml:space="preserve"> = 0.07, </w:t>
      </w:r>
      <w:proofErr w:type="gramStart"/>
      <w:r>
        <w:rPr>
          <w:rStyle w:val="Emphasis"/>
          <w:rFonts w:eastAsiaTheme="majorEastAsia"/>
        </w:rPr>
        <w:t>t</w:t>
      </w:r>
      <w:r>
        <w:t>(</w:t>
      </w:r>
      <w:proofErr w:type="gramEnd"/>
      <w:r>
        <w:t xml:space="preserve">257.89) = 5.33, </w:t>
      </w:r>
      <w:r>
        <w:rPr>
          <w:rStyle w:val="Emphasis"/>
          <w:rFonts w:eastAsiaTheme="majorEastAsia"/>
        </w:rPr>
        <w:t>p</w:t>
      </w:r>
      <w:r>
        <w:t xml:space="preserve"> &lt; .001, 95% CI [0.23, 0.49]. Individuals who were more extraverted on average than their peers reported life satisfaction scores approximately 0.36 points higher. This effect was statistically significant and precisely estimated, as reflected by the </w:t>
      </w:r>
      <w:r>
        <w:lastRenderedPageBreak/>
        <w:t xml:space="preserve">narrow confidence interval and large </w:t>
      </w:r>
      <w:r>
        <w:rPr>
          <w:rStyle w:val="Emphasis"/>
          <w:rFonts w:eastAsiaTheme="majorEastAsia"/>
        </w:rPr>
        <w:t>t</w:t>
      </w:r>
      <w:r>
        <w:t xml:space="preserve"> value. In contrast, trait neuroticism was associated with lower average satisfaction with life, </w:t>
      </w:r>
      <w:r>
        <w:rPr>
          <w:rStyle w:val="Emphasis"/>
          <w:rFonts w:eastAsiaTheme="majorEastAsia"/>
        </w:rPr>
        <w:t>b</w:t>
      </w:r>
      <w:r>
        <w:t xml:space="preserve"> = –0.52, </w:t>
      </w:r>
      <w:r>
        <w:rPr>
          <w:rStyle w:val="Emphasis"/>
          <w:rFonts w:eastAsiaTheme="majorEastAsia"/>
        </w:rPr>
        <w:t>SE</w:t>
      </w:r>
      <w:r>
        <w:t xml:space="preserve"> = 0.07, </w:t>
      </w:r>
      <w:proofErr w:type="gramStart"/>
      <w:r>
        <w:rPr>
          <w:rStyle w:val="Emphasis"/>
          <w:rFonts w:eastAsiaTheme="majorEastAsia"/>
        </w:rPr>
        <w:t>t</w:t>
      </w:r>
      <w:r>
        <w:t>(</w:t>
      </w:r>
      <w:proofErr w:type="gramEnd"/>
      <w:r>
        <w:t xml:space="preserve">258.21) = –7.81, </w:t>
      </w:r>
      <w:r>
        <w:rPr>
          <w:rStyle w:val="Emphasis"/>
          <w:rFonts w:eastAsiaTheme="majorEastAsia"/>
        </w:rPr>
        <w:t>p</w:t>
      </w:r>
      <w:r>
        <w:t xml:space="preserve"> &lt; .001, 95% CI [–0.66, –0.39]. Participants who were higher in trait neuroticism reported life satisfaction scores that were, on average, 0.52 points lower than those </w:t>
      </w:r>
      <w:r w:rsidR="003A7D25">
        <w:t>who reported less neuroticism</w:t>
      </w:r>
      <w:r>
        <w:t>. Th</w:t>
      </w:r>
      <w:r w:rsidR="002D282F">
        <w:t xml:space="preserve">e small </w:t>
      </w:r>
      <w:r w:rsidR="002D282F">
        <w:rPr>
          <w:i/>
          <w:iCs/>
        </w:rPr>
        <w:t>p</w:t>
      </w:r>
      <w:r w:rsidR="002D282F">
        <w:t>-value and narrow confidence interval indicate the</w:t>
      </w:r>
      <w:r>
        <w:t xml:space="preserve"> effect was strong and statistically robust.</w:t>
      </w:r>
      <w:r w:rsidR="00DD3F99">
        <w:t xml:space="preserve"> </w:t>
      </w:r>
      <w:r w:rsidR="00DD3F99">
        <w:t xml:space="preserve">Model 5 also accounted for substantial variance (conditional R² = 0.79), with 69% of variance attributable to stable individual differences (ICC = 0.69) and 30.5% explained by the predictors (marginal R² = 0.31). </w:t>
      </w:r>
    </w:p>
    <w:p w14:paraId="622E42E4" w14:textId="0B7D9929" w:rsidR="00B00F4C" w:rsidRPr="00092C60" w:rsidRDefault="00D73012" w:rsidP="00092C60">
      <w:pPr>
        <w:spacing w:line="480" w:lineRule="auto"/>
        <w:ind w:firstLine="720"/>
      </w:pPr>
      <w:r>
        <w:t>Altogether, t</w:t>
      </w:r>
      <w:r>
        <w:t xml:space="preserve">hese results provide partial support for H3. The effects of both extraversion and neuroticism on life satisfaction were statistically significant, consistent in direction, and </w:t>
      </w:r>
      <w:r w:rsidR="00F26AAE">
        <w:t>present</w:t>
      </w:r>
      <w:r>
        <w:t xml:space="preserve"> at both within- and between-person levels. However, the between-person effects were larger than the within-person effects, suggesting that stable, trait-level differences account for more variance in life satisfaction than day-to-day fluctuations in personality.</w:t>
      </w:r>
    </w:p>
    <w:p w14:paraId="78851854" w14:textId="77777777" w:rsidR="000804E9" w:rsidRDefault="000804E9" w:rsidP="000804E9">
      <w:pPr>
        <w:spacing w:line="480" w:lineRule="auto"/>
        <w:rPr>
          <w:b/>
          <w:bCs/>
        </w:rPr>
      </w:pPr>
      <w:r>
        <w:rPr>
          <w:b/>
          <w:bCs/>
        </w:rPr>
        <w:t>Table 3</w:t>
      </w:r>
    </w:p>
    <w:p w14:paraId="25035025" w14:textId="77777777" w:rsidR="000804E9" w:rsidRDefault="000804E9" w:rsidP="000804E9">
      <w:pPr>
        <w:spacing w:line="480" w:lineRule="auto"/>
        <w:rPr>
          <w:i/>
          <w:iCs/>
        </w:rPr>
      </w:pPr>
      <w:r>
        <w:rPr>
          <w:i/>
          <w:iCs/>
        </w:rPr>
        <w:t>Fixed effects estimates for within- and between-person effects (disaggregated model)</w:t>
      </w:r>
    </w:p>
    <w:tbl>
      <w:tblPr>
        <w:tblStyle w:val="TableGrid"/>
        <w:tblW w:w="0" w:type="auto"/>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838"/>
        <w:gridCol w:w="1134"/>
        <w:gridCol w:w="1134"/>
        <w:gridCol w:w="1985"/>
        <w:gridCol w:w="1134"/>
        <w:gridCol w:w="2125"/>
      </w:tblGrid>
      <w:tr w:rsidR="000804E9" w14:paraId="4EAA400A" w14:textId="77777777" w:rsidTr="00A43138">
        <w:tc>
          <w:tcPr>
            <w:tcW w:w="1838" w:type="dxa"/>
            <w:tcBorders>
              <w:top w:val="single" w:sz="4" w:space="0" w:color="000000" w:themeColor="text1"/>
              <w:bottom w:val="single" w:sz="4" w:space="0" w:color="000000" w:themeColor="text1"/>
            </w:tcBorders>
            <w:vAlign w:val="center"/>
          </w:tcPr>
          <w:p w14:paraId="0B265810" w14:textId="77777777" w:rsidR="000804E9" w:rsidRPr="0072619F" w:rsidRDefault="000804E9" w:rsidP="00537A30">
            <w:pPr>
              <w:rPr>
                <w:b/>
                <w:bCs/>
              </w:rPr>
            </w:pPr>
            <w:r w:rsidRPr="0072619F">
              <w:rPr>
                <w:b/>
                <w:bCs/>
              </w:rPr>
              <w:t>Predictor</w:t>
            </w:r>
          </w:p>
        </w:tc>
        <w:tc>
          <w:tcPr>
            <w:tcW w:w="1134" w:type="dxa"/>
            <w:tcBorders>
              <w:top w:val="single" w:sz="4" w:space="0" w:color="000000" w:themeColor="text1"/>
              <w:bottom w:val="single" w:sz="4" w:space="0" w:color="000000" w:themeColor="text1"/>
            </w:tcBorders>
            <w:vAlign w:val="center"/>
          </w:tcPr>
          <w:p w14:paraId="590D0F44" w14:textId="77777777" w:rsidR="000804E9" w:rsidRPr="005A24C1" w:rsidRDefault="000804E9" w:rsidP="00537A30">
            <w:pPr>
              <w:jc w:val="center"/>
              <w:rPr>
                <w:b/>
                <w:bCs/>
                <w:i/>
                <w:iCs/>
              </w:rPr>
            </w:pPr>
            <w:r w:rsidRPr="005A24C1">
              <w:rPr>
                <w:b/>
                <w:bCs/>
                <w:i/>
                <w:iCs/>
              </w:rPr>
              <w:t>b</w:t>
            </w:r>
          </w:p>
        </w:tc>
        <w:tc>
          <w:tcPr>
            <w:tcW w:w="1134" w:type="dxa"/>
            <w:tcBorders>
              <w:top w:val="single" w:sz="4" w:space="0" w:color="000000" w:themeColor="text1"/>
              <w:bottom w:val="single" w:sz="4" w:space="0" w:color="000000" w:themeColor="text1"/>
            </w:tcBorders>
            <w:vAlign w:val="center"/>
          </w:tcPr>
          <w:p w14:paraId="650F790B" w14:textId="77777777" w:rsidR="000804E9" w:rsidRPr="005A24C1" w:rsidRDefault="000804E9" w:rsidP="00537A30">
            <w:pPr>
              <w:jc w:val="center"/>
              <w:rPr>
                <w:b/>
                <w:bCs/>
                <w:i/>
                <w:iCs/>
              </w:rPr>
            </w:pPr>
            <w:r w:rsidRPr="005A24C1">
              <w:rPr>
                <w:b/>
                <w:bCs/>
                <w:i/>
                <w:iCs/>
              </w:rPr>
              <w:t>SE</w:t>
            </w:r>
          </w:p>
        </w:tc>
        <w:tc>
          <w:tcPr>
            <w:tcW w:w="1985" w:type="dxa"/>
            <w:tcBorders>
              <w:top w:val="single" w:sz="4" w:space="0" w:color="000000" w:themeColor="text1"/>
              <w:bottom w:val="single" w:sz="4" w:space="0" w:color="000000" w:themeColor="text1"/>
            </w:tcBorders>
            <w:vAlign w:val="center"/>
          </w:tcPr>
          <w:p w14:paraId="1DA396EE" w14:textId="77777777" w:rsidR="000804E9" w:rsidRPr="0072619F" w:rsidRDefault="000804E9" w:rsidP="00537A30">
            <w:pPr>
              <w:jc w:val="center"/>
              <w:rPr>
                <w:b/>
                <w:bCs/>
              </w:rPr>
            </w:pPr>
            <w:r w:rsidRPr="004E76F3">
              <w:rPr>
                <w:b/>
                <w:bCs/>
                <w:i/>
                <w:iCs/>
              </w:rPr>
              <w:t>t</w:t>
            </w:r>
            <w:r w:rsidRPr="0072619F">
              <w:rPr>
                <w:b/>
                <w:bCs/>
              </w:rPr>
              <w:t>(</w:t>
            </w:r>
            <w:proofErr w:type="spellStart"/>
            <w:r w:rsidRPr="0072619F">
              <w:rPr>
                <w:b/>
                <w:bCs/>
              </w:rPr>
              <w:t>df</w:t>
            </w:r>
            <w:proofErr w:type="spellEnd"/>
            <w:r w:rsidRPr="0072619F">
              <w:rPr>
                <w:b/>
                <w:bCs/>
              </w:rPr>
              <w:t>)</w:t>
            </w:r>
          </w:p>
        </w:tc>
        <w:tc>
          <w:tcPr>
            <w:tcW w:w="1134" w:type="dxa"/>
            <w:tcBorders>
              <w:top w:val="single" w:sz="4" w:space="0" w:color="000000" w:themeColor="text1"/>
              <w:bottom w:val="single" w:sz="4" w:space="0" w:color="000000" w:themeColor="text1"/>
            </w:tcBorders>
            <w:vAlign w:val="center"/>
          </w:tcPr>
          <w:p w14:paraId="27E1EC93" w14:textId="77777777" w:rsidR="000804E9" w:rsidRPr="005A24C1" w:rsidRDefault="000804E9" w:rsidP="00537A30">
            <w:pPr>
              <w:jc w:val="center"/>
              <w:rPr>
                <w:b/>
                <w:bCs/>
                <w:i/>
                <w:iCs/>
              </w:rPr>
            </w:pPr>
            <w:r w:rsidRPr="005A24C1">
              <w:rPr>
                <w:b/>
                <w:bCs/>
                <w:i/>
                <w:iCs/>
              </w:rPr>
              <w:t>p</w:t>
            </w:r>
          </w:p>
        </w:tc>
        <w:tc>
          <w:tcPr>
            <w:tcW w:w="2125" w:type="dxa"/>
            <w:tcBorders>
              <w:top w:val="single" w:sz="4" w:space="0" w:color="000000" w:themeColor="text1"/>
              <w:bottom w:val="single" w:sz="4" w:space="0" w:color="000000" w:themeColor="text1"/>
            </w:tcBorders>
            <w:vAlign w:val="center"/>
          </w:tcPr>
          <w:p w14:paraId="213D7B27" w14:textId="77777777" w:rsidR="000804E9" w:rsidRPr="0072619F" w:rsidRDefault="000804E9" w:rsidP="00537A30">
            <w:pPr>
              <w:jc w:val="center"/>
              <w:rPr>
                <w:b/>
                <w:bCs/>
              </w:rPr>
            </w:pPr>
            <w:r w:rsidRPr="0072619F">
              <w:rPr>
                <w:b/>
                <w:bCs/>
              </w:rPr>
              <w:t>95% CI</w:t>
            </w:r>
          </w:p>
        </w:tc>
      </w:tr>
      <w:tr w:rsidR="000804E9" w14:paraId="388961C6" w14:textId="77777777" w:rsidTr="00A43138">
        <w:tc>
          <w:tcPr>
            <w:tcW w:w="1838" w:type="dxa"/>
            <w:tcBorders>
              <w:top w:val="single" w:sz="4" w:space="0" w:color="000000" w:themeColor="text1"/>
              <w:bottom w:val="nil"/>
            </w:tcBorders>
            <w:vAlign w:val="center"/>
          </w:tcPr>
          <w:p w14:paraId="7467944D" w14:textId="77777777" w:rsidR="000804E9" w:rsidRDefault="000804E9" w:rsidP="00537A30">
            <w:pPr>
              <w:spacing w:before="120"/>
            </w:pPr>
            <w:r>
              <w:t>(Intercept)</w:t>
            </w:r>
          </w:p>
        </w:tc>
        <w:tc>
          <w:tcPr>
            <w:tcW w:w="1134" w:type="dxa"/>
            <w:tcBorders>
              <w:top w:val="single" w:sz="4" w:space="0" w:color="000000" w:themeColor="text1"/>
              <w:bottom w:val="nil"/>
            </w:tcBorders>
          </w:tcPr>
          <w:p w14:paraId="44B1318D" w14:textId="77777777" w:rsidR="000804E9" w:rsidRDefault="000804E9" w:rsidP="00537A30">
            <w:pPr>
              <w:spacing w:before="120"/>
              <w:jc w:val="center"/>
            </w:pPr>
            <w:r>
              <w:t>4.76</w:t>
            </w:r>
          </w:p>
        </w:tc>
        <w:tc>
          <w:tcPr>
            <w:tcW w:w="1134" w:type="dxa"/>
            <w:tcBorders>
              <w:top w:val="single" w:sz="4" w:space="0" w:color="000000" w:themeColor="text1"/>
              <w:bottom w:val="nil"/>
            </w:tcBorders>
          </w:tcPr>
          <w:p w14:paraId="5CC6D77F" w14:textId="77777777" w:rsidR="000804E9" w:rsidRDefault="000804E9" w:rsidP="00537A30">
            <w:pPr>
              <w:spacing w:before="120"/>
              <w:jc w:val="center"/>
            </w:pPr>
            <w:r>
              <w:t>0.44</w:t>
            </w:r>
          </w:p>
        </w:tc>
        <w:tc>
          <w:tcPr>
            <w:tcW w:w="1985" w:type="dxa"/>
            <w:tcBorders>
              <w:top w:val="single" w:sz="4" w:space="0" w:color="000000" w:themeColor="text1"/>
              <w:bottom w:val="nil"/>
            </w:tcBorders>
          </w:tcPr>
          <w:p w14:paraId="534604D8" w14:textId="77777777" w:rsidR="000804E9" w:rsidRDefault="000804E9" w:rsidP="00537A30">
            <w:pPr>
              <w:spacing w:before="120"/>
              <w:jc w:val="center"/>
            </w:pPr>
            <w:r>
              <w:t>10.86 (257.26)</w:t>
            </w:r>
          </w:p>
        </w:tc>
        <w:tc>
          <w:tcPr>
            <w:tcW w:w="1134" w:type="dxa"/>
            <w:tcBorders>
              <w:top w:val="single" w:sz="4" w:space="0" w:color="000000" w:themeColor="text1"/>
              <w:bottom w:val="nil"/>
            </w:tcBorders>
          </w:tcPr>
          <w:p w14:paraId="4034A6EA" w14:textId="77777777" w:rsidR="000804E9" w:rsidRDefault="000804E9" w:rsidP="00537A30">
            <w:pPr>
              <w:spacing w:before="120"/>
              <w:jc w:val="center"/>
            </w:pPr>
            <w:r>
              <w:t>&lt; .001</w:t>
            </w:r>
          </w:p>
        </w:tc>
        <w:tc>
          <w:tcPr>
            <w:tcW w:w="2125" w:type="dxa"/>
            <w:tcBorders>
              <w:top w:val="single" w:sz="4" w:space="0" w:color="000000" w:themeColor="text1"/>
              <w:bottom w:val="nil"/>
            </w:tcBorders>
          </w:tcPr>
          <w:p w14:paraId="3EF42DAF" w14:textId="77777777" w:rsidR="000804E9" w:rsidRDefault="000804E9" w:rsidP="00537A30">
            <w:pPr>
              <w:spacing w:before="120"/>
              <w:jc w:val="center"/>
            </w:pPr>
            <w:r>
              <w:t>[3.90, 5.63]</w:t>
            </w:r>
          </w:p>
        </w:tc>
      </w:tr>
      <w:tr w:rsidR="000804E9" w14:paraId="71F8DD05" w14:textId="77777777" w:rsidTr="00A43138">
        <w:tc>
          <w:tcPr>
            <w:tcW w:w="1838" w:type="dxa"/>
            <w:tcBorders>
              <w:top w:val="nil"/>
              <w:bottom w:val="nil"/>
            </w:tcBorders>
            <w:vAlign w:val="center"/>
          </w:tcPr>
          <w:p w14:paraId="0978C28C" w14:textId="77777777" w:rsidR="000804E9" w:rsidRDefault="000804E9" w:rsidP="00537A30">
            <w:pPr>
              <w:spacing w:before="120"/>
            </w:pPr>
            <w:r>
              <w:t>Extraversion (within)</w:t>
            </w:r>
          </w:p>
        </w:tc>
        <w:tc>
          <w:tcPr>
            <w:tcW w:w="1134" w:type="dxa"/>
            <w:tcBorders>
              <w:top w:val="nil"/>
              <w:bottom w:val="nil"/>
            </w:tcBorders>
          </w:tcPr>
          <w:p w14:paraId="78CC31A0" w14:textId="77777777" w:rsidR="000804E9" w:rsidRDefault="000804E9" w:rsidP="00537A30">
            <w:pPr>
              <w:spacing w:before="120"/>
              <w:jc w:val="center"/>
            </w:pPr>
            <w:r>
              <w:t>0.15</w:t>
            </w:r>
          </w:p>
        </w:tc>
        <w:tc>
          <w:tcPr>
            <w:tcW w:w="1134" w:type="dxa"/>
            <w:tcBorders>
              <w:top w:val="nil"/>
              <w:bottom w:val="nil"/>
            </w:tcBorders>
          </w:tcPr>
          <w:p w14:paraId="4C98ACE1" w14:textId="77777777" w:rsidR="000804E9" w:rsidRDefault="000804E9" w:rsidP="00537A30">
            <w:pPr>
              <w:spacing w:before="120"/>
              <w:jc w:val="center"/>
            </w:pPr>
            <w:r>
              <w:t>0.01</w:t>
            </w:r>
          </w:p>
        </w:tc>
        <w:tc>
          <w:tcPr>
            <w:tcW w:w="1985" w:type="dxa"/>
            <w:tcBorders>
              <w:top w:val="nil"/>
              <w:bottom w:val="nil"/>
            </w:tcBorders>
          </w:tcPr>
          <w:p w14:paraId="182D00D8" w14:textId="77777777" w:rsidR="000804E9" w:rsidRDefault="000804E9" w:rsidP="00537A30">
            <w:pPr>
              <w:spacing w:before="120"/>
              <w:jc w:val="center"/>
            </w:pPr>
            <w:r>
              <w:t>12.73 (3986.15)</w:t>
            </w:r>
          </w:p>
        </w:tc>
        <w:tc>
          <w:tcPr>
            <w:tcW w:w="1134" w:type="dxa"/>
            <w:tcBorders>
              <w:top w:val="nil"/>
              <w:bottom w:val="nil"/>
            </w:tcBorders>
          </w:tcPr>
          <w:p w14:paraId="11860E6D" w14:textId="77777777" w:rsidR="000804E9" w:rsidRDefault="000804E9" w:rsidP="00537A30">
            <w:pPr>
              <w:spacing w:before="120"/>
              <w:jc w:val="center"/>
            </w:pPr>
            <w:r>
              <w:t>&lt; .001</w:t>
            </w:r>
          </w:p>
        </w:tc>
        <w:tc>
          <w:tcPr>
            <w:tcW w:w="2125" w:type="dxa"/>
            <w:tcBorders>
              <w:top w:val="nil"/>
              <w:bottom w:val="nil"/>
            </w:tcBorders>
          </w:tcPr>
          <w:p w14:paraId="5EE428AA" w14:textId="77777777" w:rsidR="000804E9" w:rsidRDefault="000804E9" w:rsidP="00537A30">
            <w:pPr>
              <w:spacing w:before="120"/>
              <w:jc w:val="center"/>
            </w:pPr>
            <w:r>
              <w:t>[0.13, 0.17]</w:t>
            </w:r>
          </w:p>
        </w:tc>
      </w:tr>
      <w:tr w:rsidR="000804E9" w14:paraId="2DCF57C6" w14:textId="77777777" w:rsidTr="00A43138">
        <w:tc>
          <w:tcPr>
            <w:tcW w:w="1838" w:type="dxa"/>
            <w:vAlign w:val="center"/>
          </w:tcPr>
          <w:p w14:paraId="7343EBCB" w14:textId="77777777" w:rsidR="000804E9" w:rsidRDefault="000804E9" w:rsidP="00537A30">
            <w:pPr>
              <w:spacing w:before="120"/>
            </w:pPr>
            <w:r>
              <w:t>Extraversion (between)</w:t>
            </w:r>
          </w:p>
        </w:tc>
        <w:tc>
          <w:tcPr>
            <w:tcW w:w="1134" w:type="dxa"/>
          </w:tcPr>
          <w:p w14:paraId="0FB9C901" w14:textId="77777777" w:rsidR="000804E9" w:rsidRDefault="000804E9" w:rsidP="00537A30">
            <w:pPr>
              <w:spacing w:before="120"/>
              <w:jc w:val="center"/>
            </w:pPr>
            <w:r>
              <w:t>0.36</w:t>
            </w:r>
          </w:p>
        </w:tc>
        <w:tc>
          <w:tcPr>
            <w:tcW w:w="1134" w:type="dxa"/>
          </w:tcPr>
          <w:p w14:paraId="6560E162" w14:textId="77777777" w:rsidR="000804E9" w:rsidRDefault="000804E9" w:rsidP="00537A30">
            <w:pPr>
              <w:spacing w:before="120"/>
              <w:jc w:val="center"/>
            </w:pPr>
            <w:r>
              <w:t>0.07</w:t>
            </w:r>
          </w:p>
        </w:tc>
        <w:tc>
          <w:tcPr>
            <w:tcW w:w="1985" w:type="dxa"/>
          </w:tcPr>
          <w:p w14:paraId="50B36B61" w14:textId="77777777" w:rsidR="000804E9" w:rsidRDefault="000804E9" w:rsidP="00537A30">
            <w:pPr>
              <w:spacing w:before="120"/>
              <w:jc w:val="center"/>
            </w:pPr>
            <w:r>
              <w:t>5.33 (257.89)</w:t>
            </w:r>
          </w:p>
        </w:tc>
        <w:tc>
          <w:tcPr>
            <w:tcW w:w="1134" w:type="dxa"/>
          </w:tcPr>
          <w:p w14:paraId="0E2B4EF8" w14:textId="77777777" w:rsidR="000804E9" w:rsidRDefault="000804E9" w:rsidP="00537A30">
            <w:pPr>
              <w:spacing w:before="120"/>
              <w:jc w:val="center"/>
            </w:pPr>
            <w:r>
              <w:t>&lt; .001</w:t>
            </w:r>
          </w:p>
        </w:tc>
        <w:tc>
          <w:tcPr>
            <w:tcW w:w="2125" w:type="dxa"/>
          </w:tcPr>
          <w:p w14:paraId="2E8134B2" w14:textId="77777777" w:rsidR="000804E9" w:rsidRDefault="000804E9" w:rsidP="00537A30">
            <w:pPr>
              <w:spacing w:before="120"/>
              <w:jc w:val="center"/>
            </w:pPr>
            <w:r>
              <w:t>[0.23, 0.49]</w:t>
            </w:r>
          </w:p>
        </w:tc>
      </w:tr>
      <w:tr w:rsidR="000804E9" w14:paraId="3A02DA36" w14:textId="77777777" w:rsidTr="00A43138">
        <w:tc>
          <w:tcPr>
            <w:tcW w:w="1838" w:type="dxa"/>
            <w:vAlign w:val="center"/>
          </w:tcPr>
          <w:p w14:paraId="066708DF" w14:textId="77777777" w:rsidR="000804E9" w:rsidRDefault="000804E9" w:rsidP="00537A30">
            <w:pPr>
              <w:spacing w:before="120"/>
            </w:pPr>
            <w:r>
              <w:t>Neuroticism (within)</w:t>
            </w:r>
          </w:p>
        </w:tc>
        <w:tc>
          <w:tcPr>
            <w:tcW w:w="1134" w:type="dxa"/>
          </w:tcPr>
          <w:p w14:paraId="39CC007E" w14:textId="77777777" w:rsidR="000804E9" w:rsidRDefault="000804E9" w:rsidP="00537A30">
            <w:pPr>
              <w:spacing w:before="120"/>
              <w:jc w:val="center"/>
            </w:pPr>
            <w:r>
              <w:t>–0.22</w:t>
            </w:r>
          </w:p>
        </w:tc>
        <w:tc>
          <w:tcPr>
            <w:tcW w:w="1134" w:type="dxa"/>
          </w:tcPr>
          <w:p w14:paraId="623BC56D" w14:textId="77777777" w:rsidR="000804E9" w:rsidRDefault="000804E9" w:rsidP="00537A30">
            <w:pPr>
              <w:spacing w:before="120"/>
              <w:jc w:val="center"/>
            </w:pPr>
            <w:r>
              <w:t>0.01</w:t>
            </w:r>
          </w:p>
        </w:tc>
        <w:tc>
          <w:tcPr>
            <w:tcW w:w="1985" w:type="dxa"/>
          </w:tcPr>
          <w:p w14:paraId="2A11D6C4" w14:textId="77777777" w:rsidR="000804E9" w:rsidRDefault="000804E9" w:rsidP="00537A30">
            <w:pPr>
              <w:spacing w:before="120"/>
              <w:jc w:val="center"/>
            </w:pPr>
            <w:r>
              <w:t>–19.36 (3986.15)</w:t>
            </w:r>
          </w:p>
        </w:tc>
        <w:tc>
          <w:tcPr>
            <w:tcW w:w="1134" w:type="dxa"/>
          </w:tcPr>
          <w:p w14:paraId="0968F3D3" w14:textId="77777777" w:rsidR="000804E9" w:rsidRDefault="000804E9" w:rsidP="00537A30">
            <w:pPr>
              <w:spacing w:before="120"/>
              <w:jc w:val="center"/>
            </w:pPr>
            <w:r>
              <w:t>&lt; .001</w:t>
            </w:r>
          </w:p>
        </w:tc>
        <w:tc>
          <w:tcPr>
            <w:tcW w:w="2125" w:type="dxa"/>
          </w:tcPr>
          <w:p w14:paraId="1A5E983B" w14:textId="77777777" w:rsidR="000804E9" w:rsidRDefault="000804E9" w:rsidP="00537A30">
            <w:pPr>
              <w:spacing w:before="120"/>
              <w:jc w:val="center"/>
            </w:pPr>
            <w:r>
              <w:t>[–0.24, –0.20]</w:t>
            </w:r>
          </w:p>
        </w:tc>
      </w:tr>
      <w:tr w:rsidR="000804E9" w14:paraId="6BDB249A" w14:textId="77777777" w:rsidTr="00A43138">
        <w:tc>
          <w:tcPr>
            <w:tcW w:w="1838" w:type="dxa"/>
            <w:vAlign w:val="center"/>
          </w:tcPr>
          <w:p w14:paraId="1A7A2E19" w14:textId="77777777" w:rsidR="000804E9" w:rsidRDefault="000804E9" w:rsidP="00537A30">
            <w:pPr>
              <w:spacing w:before="120"/>
            </w:pPr>
            <w:r>
              <w:t>Neuroticism (between)</w:t>
            </w:r>
          </w:p>
        </w:tc>
        <w:tc>
          <w:tcPr>
            <w:tcW w:w="1134" w:type="dxa"/>
          </w:tcPr>
          <w:p w14:paraId="5C473ECF" w14:textId="77777777" w:rsidR="000804E9" w:rsidRDefault="000804E9" w:rsidP="00537A30">
            <w:pPr>
              <w:spacing w:before="120"/>
              <w:jc w:val="center"/>
            </w:pPr>
            <w:r>
              <w:t>–0.52</w:t>
            </w:r>
          </w:p>
        </w:tc>
        <w:tc>
          <w:tcPr>
            <w:tcW w:w="1134" w:type="dxa"/>
          </w:tcPr>
          <w:p w14:paraId="34418136" w14:textId="77777777" w:rsidR="000804E9" w:rsidRDefault="000804E9" w:rsidP="00537A30">
            <w:pPr>
              <w:spacing w:before="120"/>
              <w:jc w:val="center"/>
            </w:pPr>
            <w:r>
              <w:t>0.07</w:t>
            </w:r>
          </w:p>
        </w:tc>
        <w:tc>
          <w:tcPr>
            <w:tcW w:w="1985" w:type="dxa"/>
          </w:tcPr>
          <w:p w14:paraId="5006D1AD" w14:textId="77777777" w:rsidR="000804E9" w:rsidRDefault="000804E9" w:rsidP="00537A30">
            <w:pPr>
              <w:spacing w:before="120"/>
              <w:jc w:val="center"/>
            </w:pPr>
            <w:r>
              <w:t>–7.81 (258.21)</w:t>
            </w:r>
          </w:p>
        </w:tc>
        <w:tc>
          <w:tcPr>
            <w:tcW w:w="1134" w:type="dxa"/>
          </w:tcPr>
          <w:p w14:paraId="30A6CA9E" w14:textId="77777777" w:rsidR="000804E9" w:rsidRDefault="000804E9" w:rsidP="00537A30">
            <w:pPr>
              <w:spacing w:before="120"/>
              <w:jc w:val="center"/>
            </w:pPr>
            <w:r>
              <w:t>&lt; .001</w:t>
            </w:r>
          </w:p>
        </w:tc>
        <w:tc>
          <w:tcPr>
            <w:tcW w:w="2125" w:type="dxa"/>
          </w:tcPr>
          <w:p w14:paraId="09B7D10A" w14:textId="77777777" w:rsidR="000804E9" w:rsidRDefault="000804E9" w:rsidP="00537A30">
            <w:pPr>
              <w:spacing w:before="120"/>
              <w:jc w:val="center"/>
            </w:pPr>
            <w:r>
              <w:t>[–0.66, –0.39]</w:t>
            </w:r>
          </w:p>
        </w:tc>
      </w:tr>
    </w:tbl>
    <w:p w14:paraId="51181C15" w14:textId="77777777" w:rsidR="000804E9" w:rsidRDefault="000804E9" w:rsidP="000804E9">
      <w:pPr>
        <w:rPr>
          <w:i/>
          <w:iCs/>
        </w:rPr>
      </w:pPr>
    </w:p>
    <w:p w14:paraId="24FA404D" w14:textId="77777777" w:rsidR="000804E9" w:rsidRDefault="000804E9" w:rsidP="000804E9">
      <w:r>
        <w:rPr>
          <w:i/>
          <w:iCs/>
        </w:rPr>
        <w:t xml:space="preserve">Note. </w:t>
      </w:r>
      <w:r>
        <w:t>Adjusted ICC = 0.69; Unadjusted ICC = 0.48; Marginal R² = 0.31; Conditional R² = 0.79.</w:t>
      </w:r>
    </w:p>
    <w:p w14:paraId="7A5DCF8B" w14:textId="77777777" w:rsidR="00015D04" w:rsidRDefault="00015D04" w:rsidP="00C17D3F">
      <w:pPr>
        <w:spacing w:line="480" w:lineRule="auto"/>
      </w:pPr>
    </w:p>
    <w:p w14:paraId="3E7CE6EB" w14:textId="77777777" w:rsidR="008E5232" w:rsidRDefault="008671D3" w:rsidP="008E5232">
      <w:pPr>
        <w:spacing w:line="480" w:lineRule="auto"/>
        <w:rPr>
          <w:b/>
          <w:bCs/>
        </w:rPr>
      </w:pPr>
      <w:r>
        <w:rPr>
          <w:b/>
          <w:bCs/>
        </w:rPr>
        <w:lastRenderedPageBreak/>
        <w:t>Conclusion</w:t>
      </w:r>
    </w:p>
    <w:p w14:paraId="6DC274E5" w14:textId="314D3E38" w:rsidR="008E5232" w:rsidRDefault="008E5232" w:rsidP="008E5232">
      <w:pPr>
        <w:spacing w:line="480" w:lineRule="auto"/>
        <w:ind w:firstLine="720"/>
        <w:rPr>
          <w:b/>
          <w:bCs/>
        </w:rPr>
      </w:pPr>
      <w:r>
        <w:t xml:space="preserve">This study found that </w:t>
      </w:r>
      <w:r>
        <w:t xml:space="preserve">extraversion and neuroticism </w:t>
      </w:r>
      <w:r>
        <w:t xml:space="preserve">are meaningful predictors of how satisfied people feel with their lives. Supporting H1, people who were more </w:t>
      </w:r>
      <w:r w:rsidRPr="008E5232">
        <w:rPr>
          <w:rStyle w:val="Strong"/>
          <w:rFonts w:eastAsiaTheme="majorEastAsia"/>
          <w:b w:val="0"/>
          <w:bCs w:val="0"/>
        </w:rPr>
        <w:t>extraverted</w:t>
      </w:r>
      <w:r>
        <w:t xml:space="preserve"> (i.e., outgoing, energetic, and socially engaged) tended to report </w:t>
      </w:r>
      <w:r w:rsidRPr="008E5232">
        <w:rPr>
          <w:rStyle w:val="Strong"/>
          <w:rFonts w:eastAsiaTheme="majorEastAsia"/>
          <w:b w:val="0"/>
          <w:bCs w:val="0"/>
        </w:rPr>
        <w:t>higher life satisfaction</w:t>
      </w:r>
      <w:r>
        <w:t xml:space="preserve">. Supporting H2, people who were more </w:t>
      </w:r>
      <w:r w:rsidRPr="008E5232">
        <w:rPr>
          <w:rStyle w:val="Strong"/>
          <w:rFonts w:eastAsiaTheme="majorEastAsia"/>
          <w:b w:val="0"/>
          <w:bCs w:val="0"/>
        </w:rPr>
        <w:t>neurotic</w:t>
      </w:r>
      <w:r>
        <w:t xml:space="preserve"> (i.e., prone to negative emotions like anxiety or irritability) reported </w:t>
      </w:r>
      <w:r w:rsidRPr="008E5232">
        <w:rPr>
          <w:rStyle w:val="Strong"/>
          <w:rFonts w:eastAsiaTheme="majorEastAsia"/>
          <w:b w:val="0"/>
          <w:bCs w:val="0"/>
        </w:rPr>
        <w:t>lower life satisfaction</w:t>
      </w:r>
      <w:r>
        <w:t>.</w:t>
      </w:r>
      <w:r w:rsidR="00C8172E" w:rsidRPr="00C8172E">
        <w:t xml:space="preserve"> </w:t>
      </w:r>
      <w:r w:rsidR="0020133D">
        <w:t>For H3,</w:t>
      </w:r>
      <w:r w:rsidR="00C8172E">
        <w:t xml:space="preserve"> </w:t>
      </w:r>
      <w:r w:rsidR="0020133D">
        <w:t>t</w:t>
      </w:r>
      <w:r>
        <w:t xml:space="preserve">he results showed that both daily changes and </w:t>
      </w:r>
      <w:r w:rsidR="00C8172E">
        <w:t>stable personality traits</w:t>
      </w:r>
      <w:r w:rsidR="0020133D">
        <w:t xml:space="preserve"> matter</w:t>
      </w:r>
      <w:r>
        <w:t xml:space="preserve">. </w:t>
      </w:r>
      <w:r>
        <w:t xml:space="preserve">On days when someone felt more extraverted than usual, they also felt more satisfied with life; when they felt more neurotic than usual, their satisfaction went down. However, stable, long-term personality traits explained </w:t>
      </w:r>
      <w:r w:rsidRPr="008E5232">
        <w:rPr>
          <w:rStyle w:val="Strong"/>
          <w:rFonts w:eastAsiaTheme="majorEastAsia"/>
          <w:b w:val="0"/>
          <w:bCs w:val="0"/>
        </w:rPr>
        <w:t>more of the variation</w:t>
      </w:r>
      <w:r>
        <w:t xml:space="preserve"> in life satisfaction than daily ups and downs. </w:t>
      </w:r>
      <w:r>
        <w:t>W</w:t>
      </w:r>
      <w:r>
        <w:t>hile both levels are important, who you are most of the time may matter more for how satisfied you are with life than how you feel on any single day.</w:t>
      </w:r>
    </w:p>
    <w:p w14:paraId="6EAD6008" w14:textId="77777777" w:rsidR="008671D3" w:rsidRPr="008671D3" w:rsidRDefault="008671D3" w:rsidP="000804E9">
      <w:pPr>
        <w:spacing w:line="480" w:lineRule="auto"/>
        <w:rPr>
          <w:b/>
          <w:bCs/>
        </w:rPr>
      </w:pPr>
    </w:p>
    <w:p w14:paraId="175743B3" w14:textId="77777777" w:rsidR="000804E9" w:rsidRPr="00165903" w:rsidRDefault="000804E9" w:rsidP="000804E9"/>
    <w:p w14:paraId="38A8EF59" w14:textId="77777777" w:rsidR="000804E9" w:rsidRPr="000804E9" w:rsidRDefault="000804E9" w:rsidP="00525805">
      <w:pPr>
        <w:spacing w:line="480" w:lineRule="auto"/>
      </w:pPr>
    </w:p>
    <w:p w14:paraId="4C0BFEA7" w14:textId="77777777" w:rsidR="00525805" w:rsidRDefault="00525805" w:rsidP="00525805">
      <w:pPr>
        <w:spacing w:line="480" w:lineRule="auto"/>
        <w:rPr>
          <w:b/>
          <w:bCs/>
          <w:i/>
          <w:iCs/>
        </w:rPr>
      </w:pPr>
    </w:p>
    <w:p w14:paraId="4F51EE5C" w14:textId="736D1023" w:rsidR="00AC32CA" w:rsidRPr="00AC32CA" w:rsidRDefault="00AC32CA" w:rsidP="00525805">
      <w:pPr>
        <w:spacing w:line="480" w:lineRule="auto"/>
        <w:rPr>
          <w:b/>
          <w:bCs/>
          <w:i/>
          <w:iCs/>
        </w:rPr>
      </w:pPr>
    </w:p>
    <w:sectPr w:rsidR="00AC32CA" w:rsidRPr="00AC32CA">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2FD3A" w14:textId="77777777" w:rsidR="008A3986" w:rsidRDefault="008A3986" w:rsidP="008821D8">
      <w:r>
        <w:separator/>
      </w:r>
    </w:p>
  </w:endnote>
  <w:endnote w:type="continuationSeparator" w:id="0">
    <w:p w14:paraId="31C4E8E1" w14:textId="77777777" w:rsidR="008A3986" w:rsidRDefault="008A3986" w:rsidP="0088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50A5B" w14:textId="77777777" w:rsidR="008A3986" w:rsidRDefault="008A3986" w:rsidP="008821D8">
      <w:r>
        <w:separator/>
      </w:r>
    </w:p>
  </w:footnote>
  <w:footnote w:type="continuationSeparator" w:id="0">
    <w:p w14:paraId="2BD7F645" w14:textId="77777777" w:rsidR="008A3986" w:rsidRDefault="008A3986" w:rsidP="0088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5104277"/>
      <w:docPartObj>
        <w:docPartGallery w:val="Page Numbers (Top of Page)"/>
        <w:docPartUnique/>
      </w:docPartObj>
    </w:sdtPr>
    <w:sdtContent>
      <w:p w14:paraId="7F427FA6" w14:textId="59833656" w:rsidR="008821D8" w:rsidRDefault="008821D8" w:rsidP="005C7A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E43141" w14:textId="77777777" w:rsidR="008821D8" w:rsidRDefault="008821D8" w:rsidP="008821D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1029405"/>
      <w:docPartObj>
        <w:docPartGallery w:val="Page Numbers (Top of Page)"/>
        <w:docPartUnique/>
      </w:docPartObj>
    </w:sdtPr>
    <w:sdtContent>
      <w:p w14:paraId="4D02ACEA" w14:textId="704407C8" w:rsidR="008821D8" w:rsidRDefault="008821D8" w:rsidP="005C7A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3E6703" w14:textId="6D9079D1" w:rsidR="008821D8" w:rsidRDefault="008821D8" w:rsidP="008821D8">
    <w:pPr>
      <w:pStyle w:val="Header"/>
      <w:ind w:right="360"/>
    </w:pPr>
    <w:r>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CA"/>
    <w:rsid w:val="0000196C"/>
    <w:rsid w:val="00015D04"/>
    <w:rsid w:val="00044F90"/>
    <w:rsid w:val="00046DE6"/>
    <w:rsid w:val="000729D5"/>
    <w:rsid w:val="000804E9"/>
    <w:rsid w:val="00092C60"/>
    <w:rsid w:val="00094B9D"/>
    <w:rsid w:val="001133FF"/>
    <w:rsid w:val="00113D76"/>
    <w:rsid w:val="001239C3"/>
    <w:rsid w:val="00187D56"/>
    <w:rsid w:val="001B4940"/>
    <w:rsid w:val="001B55EE"/>
    <w:rsid w:val="001F384D"/>
    <w:rsid w:val="0020133D"/>
    <w:rsid w:val="002063D5"/>
    <w:rsid w:val="0026652F"/>
    <w:rsid w:val="002A4D8B"/>
    <w:rsid w:val="002A7DE8"/>
    <w:rsid w:val="002D282F"/>
    <w:rsid w:val="002E0EDB"/>
    <w:rsid w:val="003142C6"/>
    <w:rsid w:val="00346965"/>
    <w:rsid w:val="00356CC4"/>
    <w:rsid w:val="00392522"/>
    <w:rsid w:val="003A7D25"/>
    <w:rsid w:val="003C0F51"/>
    <w:rsid w:val="003E6394"/>
    <w:rsid w:val="0041157E"/>
    <w:rsid w:val="0044534C"/>
    <w:rsid w:val="00445877"/>
    <w:rsid w:val="0045328A"/>
    <w:rsid w:val="00476694"/>
    <w:rsid w:val="00493D6E"/>
    <w:rsid w:val="0049525F"/>
    <w:rsid w:val="004B263A"/>
    <w:rsid w:val="004D199F"/>
    <w:rsid w:val="00525805"/>
    <w:rsid w:val="00537A30"/>
    <w:rsid w:val="00541071"/>
    <w:rsid w:val="0054273D"/>
    <w:rsid w:val="00554406"/>
    <w:rsid w:val="0055663E"/>
    <w:rsid w:val="00577D52"/>
    <w:rsid w:val="0058394E"/>
    <w:rsid w:val="005918D9"/>
    <w:rsid w:val="005A68C5"/>
    <w:rsid w:val="005B5BB1"/>
    <w:rsid w:val="005C0D6B"/>
    <w:rsid w:val="005C32E3"/>
    <w:rsid w:val="005C39B7"/>
    <w:rsid w:val="005C562E"/>
    <w:rsid w:val="0061337B"/>
    <w:rsid w:val="006313DE"/>
    <w:rsid w:val="006510DB"/>
    <w:rsid w:val="00672055"/>
    <w:rsid w:val="00691C18"/>
    <w:rsid w:val="006B161E"/>
    <w:rsid w:val="006B40F3"/>
    <w:rsid w:val="006B5DA3"/>
    <w:rsid w:val="006D358E"/>
    <w:rsid w:val="00702223"/>
    <w:rsid w:val="007542BA"/>
    <w:rsid w:val="00773176"/>
    <w:rsid w:val="00785C83"/>
    <w:rsid w:val="00790147"/>
    <w:rsid w:val="007C0662"/>
    <w:rsid w:val="00803E87"/>
    <w:rsid w:val="008148F9"/>
    <w:rsid w:val="008166F1"/>
    <w:rsid w:val="00822FBE"/>
    <w:rsid w:val="00827067"/>
    <w:rsid w:val="008347C1"/>
    <w:rsid w:val="00862025"/>
    <w:rsid w:val="008671D3"/>
    <w:rsid w:val="008821D8"/>
    <w:rsid w:val="008A3986"/>
    <w:rsid w:val="008C0522"/>
    <w:rsid w:val="008C5021"/>
    <w:rsid w:val="008C5959"/>
    <w:rsid w:val="008D6302"/>
    <w:rsid w:val="008E5232"/>
    <w:rsid w:val="008E740A"/>
    <w:rsid w:val="008F7338"/>
    <w:rsid w:val="00910781"/>
    <w:rsid w:val="009502B2"/>
    <w:rsid w:val="009A619A"/>
    <w:rsid w:val="009C041E"/>
    <w:rsid w:val="009C0A65"/>
    <w:rsid w:val="009C2CD1"/>
    <w:rsid w:val="009D44BA"/>
    <w:rsid w:val="009E1529"/>
    <w:rsid w:val="009F3EE4"/>
    <w:rsid w:val="00A13785"/>
    <w:rsid w:val="00A22766"/>
    <w:rsid w:val="00A233B0"/>
    <w:rsid w:val="00A4435C"/>
    <w:rsid w:val="00AA3FA5"/>
    <w:rsid w:val="00AC32CA"/>
    <w:rsid w:val="00AC66E5"/>
    <w:rsid w:val="00AF2AD9"/>
    <w:rsid w:val="00B00F4C"/>
    <w:rsid w:val="00B34300"/>
    <w:rsid w:val="00B50E36"/>
    <w:rsid w:val="00B646C8"/>
    <w:rsid w:val="00B9783A"/>
    <w:rsid w:val="00BC2B45"/>
    <w:rsid w:val="00BD5D22"/>
    <w:rsid w:val="00BE0D27"/>
    <w:rsid w:val="00C122F7"/>
    <w:rsid w:val="00C17D3F"/>
    <w:rsid w:val="00C225CB"/>
    <w:rsid w:val="00C30AA2"/>
    <w:rsid w:val="00C34DF3"/>
    <w:rsid w:val="00C35447"/>
    <w:rsid w:val="00C8172E"/>
    <w:rsid w:val="00C9297F"/>
    <w:rsid w:val="00CB7754"/>
    <w:rsid w:val="00CC2CCB"/>
    <w:rsid w:val="00CC40DB"/>
    <w:rsid w:val="00CC4215"/>
    <w:rsid w:val="00CC523C"/>
    <w:rsid w:val="00CF49CF"/>
    <w:rsid w:val="00D13549"/>
    <w:rsid w:val="00D27746"/>
    <w:rsid w:val="00D34347"/>
    <w:rsid w:val="00D439DD"/>
    <w:rsid w:val="00D72534"/>
    <w:rsid w:val="00D73012"/>
    <w:rsid w:val="00D74129"/>
    <w:rsid w:val="00D76E1D"/>
    <w:rsid w:val="00D811FF"/>
    <w:rsid w:val="00D96524"/>
    <w:rsid w:val="00DA3ECF"/>
    <w:rsid w:val="00DB7351"/>
    <w:rsid w:val="00DD2098"/>
    <w:rsid w:val="00DD3F99"/>
    <w:rsid w:val="00DE339C"/>
    <w:rsid w:val="00E24796"/>
    <w:rsid w:val="00E305CF"/>
    <w:rsid w:val="00E34C96"/>
    <w:rsid w:val="00E34ECC"/>
    <w:rsid w:val="00E476B3"/>
    <w:rsid w:val="00E71F8A"/>
    <w:rsid w:val="00E85459"/>
    <w:rsid w:val="00E9100F"/>
    <w:rsid w:val="00E9228C"/>
    <w:rsid w:val="00EC6FB5"/>
    <w:rsid w:val="00EE21B0"/>
    <w:rsid w:val="00EE2615"/>
    <w:rsid w:val="00EE36A2"/>
    <w:rsid w:val="00F22976"/>
    <w:rsid w:val="00F23065"/>
    <w:rsid w:val="00F26546"/>
    <w:rsid w:val="00F26AAE"/>
    <w:rsid w:val="00F376E6"/>
    <w:rsid w:val="00F528BC"/>
    <w:rsid w:val="00F677D8"/>
    <w:rsid w:val="00F94BD0"/>
    <w:rsid w:val="00F973F9"/>
    <w:rsid w:val="00FB5F05"/>
    <w:rsid w:val="00FD1A46"/>
    <w:rsid w:val="00FD328F"/>
    <w:rsid w:val="00FF722B"/>
    <w:rsid w:val="00FF75C2"/>
    <w:rsid w:val="00FF77C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35DBAE8C"/>
  <w15:chartTrackingRefBased/>
  <w15:docId w15:val="{7782F05D-42C1-3F4E-9F66-458D4584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2BA"/>
    <w:rPr>
      <w:rFonts w:eastAsia="Times New Roman"/>
      <w:color w:val="auto"/>
      <w:lang w:bidi="he-IL"/>
    </w:rPr>
  </w:style>
  <w:style w:type="paragraph" w:styleId="Heading1">
    <w:name w:val="heading 1"/>
    <w:basedOn w:val="Normal"/>
    <w:next w:val="Normal"/>
    <w:link w:val="Heading1Char"/>
    <w:uiPriority w:val="9"/>
    <w:qFormat/>
    <w:rsid w:val="00AC32CA"/>
    <w:pPr>
      <w:keepNext/>
      <w:keepLines/>
      <w:spacing w:before="360" w:after="80"/>
      <w:outlineLvl w:val="0"/>
    </w:pPr>
    <w:rPr>
      <w:rFonts w:asciiTheme="majorHAnsi" w:eastAsiaTheme="majorEastAsia" w:hAnsiTheme="majorHAnsi" w:cstheme="majorBidi"/>
      <w:color w:val="2F5496" w:themeColor="accent1" w:themeShade="BF"/>
      <w:sz w:val="40"/>
      <w:szCs w:val="40"/>
      <w:lang w:bidi="ar-SA"/>
    </w:rPr>
  </w:style>
  <w:style w:type="paragraph" w:styleId="Heading2">
    <w:name w:val="heading 2"/>
    <w:basedOn w:val="Normal"/>
    <w:next w:val="Normal"/>
    <w:link w:val="Heading2Char"/>
    <w:uiPriority w:val="9"/>
    <w:semiHidden/>
    <w:unhideWhenUsed/>
    <w:qFormat/>
    <w:rsid w:val="00AC32CA"/>
    <w:pPr>
      <w:keepNext/>
      <w:keepLines/>
      <w:spacing w:before="160" w:after="80"/>
      <w:outlineLvl w:val="1"/>
    </w:pPr>
    <w:rPr>
      <w:rFonts w:asciiTheme="majorHAnsi" w:eastAsiaTheme="majorEastAsia" w:hAnsiTheme="majorHAnsi" w:cstheme="majorBidi"/>
      <w:color w:val="2F5496" w:themeColor="accent1" w:themeShade="BF"/>
      <w:sz w:val="32"/>
      <w:szCs w:val="32"/>
      <w:lang w:bidi="ar-SA"/>
    </w:rPr>
  </w:style>
  <w:style w:type="paragraph" w:styleId="Heading3">
    <w:name w:val="heading 3"/>
    <w:basedOn w:val="Normal"/>
    <w:next w:val="Normal"/>
    <w:link w:val="Heading3Char"/>
    <w:uiPriority w:val="9"/>
    <w:unhideWhenUsed/>
    <w:qFormat/>
    <w:rsid w:val="00AC32CA"/>
    <w:pPr>
      <w:keepNext/>
      <w:keepLines/>
      <w:spacing w:before="160" w:after="80"/>
      <w:outlineLvl w:val="2"/>
    </w:pPr>
    <w:rPr>
      <w:rFonts w:asciiTheme="minorHAnsi" w:eastAsiaTheme="majorEastAsia" w:hAnsiTheme="minorHAnsi" w:cstheme="majorBidi"/>
      <w:color w:val="2F5496" w:themeColor="accent1" w:themeShade="BF"/>
      <w:sz w:val="28"/>
      <w:szCs w:val="28"/>
      <w:lang w:bidi="ar-SA"/>
    </w:rPr>
  </w:style>
  <w:style w:type="paragraph" w:styleId="Heading4">
    <w:name w:val="heading 4"/>
    <w:basedOn w:val="Normal"/>
    <w:next w:val="Normal"/>
    <w:link w:val="Heading4Char"/>
    <w:uiPriority w:val="9"/>
    <w:semiHidden/>
    <w:unhideWhenUsed/>
    <w:qFormat/>
    <w:rsid w:val="00AC32CA"/>
    <w:pPr>
      <w:keepNext/>
      <w:keepLines/>
      <w:spacing w:before="80" w:after="40"/>
      <w:outlineLvl w:val="3"/>
    </w:pPr>
    <w:rPr>
      <w:rFonts w:asciiTheme="minorHAnsi" w:eastAsiaTheme="majorEastAsia" w:hAnsiTheme="min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AC32CA"/>
    <w:pPr>
      <w:keepNext/>
      <w:keepLines/>
      <w:spacing w:before="80" w:after="40"/>
      <w:outlineLvl w:val="4"/>
    </w:pPr>
    <w:rPr>
      <w:rFonts w:asciiTheme="minorHAnsi" w:eastAsiaTheme="majorEastAsia" w:hAnsiTheme="min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AC32CA"/>
    <w:pPr>
      <w:keepNext/>
      <w:keepLines/>
      <w:spacing w:before="40"/>
      <w:outlineLvl w:val="5"/>
    </w:pPr>
    <w:rPr>
      <w:rFonts w:asciiTheme="minorHAnsi" w:eastAsiaTheme="majorEastAsia" w:hAnsiTheme="minorHAnsi" w:cstheme="majorBidi"/>
      <w:i/>
      <w:iCs/>
      <w:color w:val="595959" w:themeColor="text1" w:themeTint="A6"/>
      <w:lang w:bidi="ar-SA"/>
    </w:rPr>
  </w:style>
  <w:style w:type="paragraph" w:styleId="Heading7">
    <w:name w:val="heading 7"/>
    <w:basedOn w:val="Normal"/>
    <w:next w:val="Normal"/>
    <w:link w:val="Heading7Char"/>
    <w:uiPriority w:val="9"/>
    <w:semiHidden/>
    <w:unhideWhenUsed/>
    <w:qFormat/>
    <w:rsid w:val="00AC32CA"/>
    <w:pPr>
      <w:keepNext/>
      <w:keepLines/>
      <w:spacing w:before="40"/>
      <w:outlineLvl w:val="6"/>
    </w:pPr>
    <w:rPr>
      <w:rFonts w:asciiTheme="minorHAnsi" w:eastAsiaTheme="majorEastAsia" w:hAnsiTheme="minorHAnsi" w:cstheme="majorBidi"/>
      <w:color w:val="595959" w:themeColor="text1" w:themeTint="A6"/>
      <w:lang w:bidi="ar-SA"/>
    </w:rPr>
  </w:style>
  <w:style w:type="paragraph" w:styleId="Heading8">
    <w:name w:val="heading 8"/>
    <w:basedOn w:val="Normal"/>
    <w:next w:val="Normal"/>
    <w:link w:val="Heading8Char"/>
    <w:uiPriority w:val="9"/>
    <w:semiHidden/>
    <w:unhideWhenUsed/>
    <w:qFormat/>
    <w:rsid w:val="00AC32CA"/>
    <w:pPr>
      <w:keepNext/>
      <w:keepLines/>
      <w:outlineLvl w:val="7"/>
    </w:pPr>
    <w:rPr>
      <w:rFonts w:asciiTheme="minorHAnsi" w:eastAsiaTheme="majorEastAsia" w:hAnsiTheme="minorHAnsi" w:cstheme="majorBidi"/>
      <w:i/>
      <w:iCs/>
      <w:color w:val="272727" w:themeColor="text1" w:themeTint="D8"/>
      <w:lang w:bidi="ar-SA"/>
    </w:rPr>
  </w:style>
  <w:style w:type="paragraph" w:styleId="Heading9">
    <w:name w:val="heading 9"/>
    <w:basedOn w:val="Normal"/>
    <w:next w:val="Normal"/>
    <w:link w:val="Heading9Char"/>
    <w:uiPriority w:val="9"/>
    <w:semiHidden/>
    <w:unhideWhenUsed/>
    <w:qFormat/>
    <w:rsid w:val="00AC32CA"/>
    <w:pPr>
      <w:keepNext/>
      <w:keepLines/>
      <w:outlineLvl w:val="8"/>
    </w:pPr>
    <w:rPr>
      <w:rFonts w:asciiTheme="minorHAnsi" w:eastAsiaTheme="majorEastAsia" w:hAnsiTheme="minorHAnsi" w:cstheme="majorBidi"/>
      <w:color w:val="272727" w:themeColor="text1" w:themeTint="D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2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32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32C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2C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C32C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C32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32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32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32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32CA"/>
    <w:pPr>
      <w:spacing w:after="80"/>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AC32C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C32CA"/>
    <w:pPr>
      <w:numPr>
        <w:ilvl w:val="1"/>
      </w:numPr>
      <w:spacing w:after="160"/>
    </w:pPr>
    <w:rPr>
      <w:rFonts w:asciiTheme="minorHAnsi" w:eastAsiaTheme="majorEastAsia" w:hAnsiTheme="minorHAnsi" w:cstheme="majorBid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AC32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32CA"/>
    <w:pPr>
      <w:spacing w:before="160" w:after="160"/>
      <w:jc w:val="center"/>
    </w:pPr>
    <w:rPr>
      <w:rFonts w:eastAsiaTheme="minorHAnsi"/>
      <w:i/>
      <w:iCs/>
      <w:color w:val="404040" w:themeColor="text1" w:themeTint="BF"/>
      <w:lang w:bidi="ar-SA"/>
    </w:rPr>
  </w:style>
  <w:style w:type="character" w:customStyle="1" w:styleId="QuoteChar">
    <w:name w:val="Quote Char"/>
    <w:basedOn w:val="DefaultParagraphFont"/>
    <w:link w:val="Quote"/>
    <w:uiPriority w:val="29"/>
    <w:rsid w:val="00AC32CA"/>
    <w:rPr>
      <w:i/>
      <w:iCs/>
      <w:color w:val="404040" w:themeColor="text1" w:themeTint="BF"/>
    </w:rPr>
  </w:style>
  <w:style w:type="paragraph" w:styleId="ListParagraph">
    <w:name w:val="List Paragraph"/>
    <w:basedOn w:val="Normal"/>
    <w:uiPriority w:val="34"/>
    <w:qFormat/>
    <w:rsid w:val="00AC32CA"/>
    <w:pPr>
      <w:ind w:left="720"/>
      <w:contextualSpacing/>
    </w:pPr>
    <w:rPr>
      <w:rFonts w:eastAsiaTheme="minorHAnsi"/>
      <w:color w:val="000000"/>
      <w:lang w:bidi="ar-SA"/>
    </w:rPr>
  </w:style>
  <w:style w:type="character" w:styleId="IntenseEmphasis">
    <w:name w:val="Intense Emphasis"/>
    <w:basedOn w:val="DefaultParagraphFont"/>
    <w:uiPriority w:val="21"/>
    <w:qFormat/>
    <w:rsid w:val="00AC32CA"/>
    <w:rPr>
      <w:i/>
      <w:iCs/>
      <w:color w:val="2F5496" w:themeColor="accent1" w:themeShade="BF"/>
    </w:rPr>
  </w:style>
  <w:style w:type="paragraph" w:styleId="IntenseQuote">
    <w:name w:val="Intense Quote"/>
    <w:basedOn w:val="Normal"/>
    <w:next w:val="Normal"/>
    <w:link w:val="IntenseQuoteChar"/>
    <w:uiPriority w:val="30"/>
    <w:qFormat/>
    <w:rsid w:val="00AC32CA"/>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lang w:bidi="ar-SA"/>
    </w:rPr>
  </w:style>
  <w:style w:type="character" w:customStyle="1" w:styleId="IntenseQuoteChar">
    <w:name w:val="Intense Quote Char"/>
    <w:basedOn w:val="DefaultParagraphFont"/>
    <w:link w:val="IntenseQuote"/>
    <w:uiPriority w:val="30"/>
    <w:rsid w:val="00AC32CA"/>
    <w:rPr>
      <w:i/>
      <w:iCs/>
      <w:color w:val="2F5496" w:themeColor="accent1" w:themeShade="BF"/>
    </w:rPr>
  </w:style>
  <w:style w:type="character" w:styleId="IntenseReference">
    <w:name w:val="Intense Reference"/>
    <w:basedOn w:val="DefaultParagraphFont"/>
    <w:uiPriority w:val="32"/>
    <w:qFormat/>
    <w:rsid w:val="00AC32CA"/>
    <w:rPr>
      <w:b/>
      <w:bCs/>
      <w:smallCaps/>
      <w:color w:val="2F5496" w:themeColor="accent1" w:themeShade="BF"/>
      <w:spacing w:val="5"/>
    </w:rPr>
  </w:style>
  <w:style w:type="character" w:styleId="Emphasis">
    <w:name w:val="Emphasis"/>
    <w:basedOn w:val="DefaultParagraphFont"/>
    <w:uiPriority w:val="20"/>
    <w:qFormat/>
    <w:rsid w:val="00AC32CA"/>
    <w:rPr>
      <w:i/>
      <w:iCs/>
    </w:rPr>
  </w:style>
  <w:style w:type="character" w:styleId="Strong">
    <w:name w:val="Strong"/>
    <w:basedOn w:val="DefaultParagraphFont"/>
    <w:uiPriority w:val="22"/>
    <w:qFormat/>
    <w:rsid w:val="00AC32CA"/>
    <w:rPr>
      <w:b/>
      <w:bCs/>
    </w:rPr>
  </w:style>
  <w:style w:type="character" w:customStyle="1" w:styleId="katex-mathml">
    <w:name w:val="katex-mathml"/>
    <w:basedOn w:val="DefaultParagraphFont"/>
    <w:rsid w:val="00AC32CA"/>
  </w:style>
  <w:style w:type="character" w:customStyle="1" w:styleId="mord">
    <w:name w:val="mord"/>
    <w:basedOn w:val="DefaultParagraphFont"/>
    <w:rsid w:val="00AC32CA"/>
  </w:style>
  <w:style w:type="character" w:customStyle="1" w:styleId="vlist-s">
    <w:name w:val="vlist-s"/>
    <w:basedOn w:val="DefaultParagraphFont"/>
    <w:rsid w:val="001F384D"/>
  </w:style>
  <w:style w:type="table" w:styleId="TableGrid">
    <w:name w:val="Table Grid"/>
    <w:basedOn w:val="TableNormal"/>
    <w:uiPriority w:val="39"/>
    <w:rsid w:val="001F3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804E9"/>
    <w:rPr>
      <w:rFonts w:ascii="Courier New" w:eastAsia="Times New Roman" w:hAnsi="Courier New" w:cs="Courier New"/>
      <w:sz w:val="20"/>
      <w:szCs w:val="20"/>
    </w:rPr>
  </w:style>
  <w:style w:type="paragraph" w:styleId="Header">
    <w:name w:val="header"/>
    <w:basedOn w:val="Normal"/>
    <w:link w:val="HeaderChar"/>
    <w:uiPriority w:val="99"/>
    <w:unhideWhenUsed/>
    <w:rsid w:val="008821D8"/>
    <w:pPr>
      <w:tabs>
        <w:tab w:val="center" w:pos="4680"/>
        <w:tab w:val="right" w:pos="9360"/>
      </w:tabs>
    </w:pPr>
  </w:style>
  <w:style w:type="character" w:customStyle="1" w:styleId="HeaderChar">
    <w:name w:val="Header Char"/>
    <w:basedOn w:val="DefaultParagraphFont"/>
    <w:link w:val="Header"/>
    <w:uiPriority w:val="99"/>
    <w:rsid w:val="008821D8"/>
    <w:rPr>
      <w:rFonts w:eastAsia="Times New Roman"/>
      <w:color w:val="auto"/>
      <w:lang w:bidi="he-IL"/>
    </w:rPr>
  </w:style>
  <w:style w:type="character" w:styleId="PageNumber">
    <w:name w:val="page number"/>
    <w:basedOn w:val="DefaultParagraphFont"/>
    <w:uiPriority w:val="99"/>
    <w:semiHidden/>
    <w:unhideWhenUsed/>
    <w:rsid w:val="008821D8"/>
  </w:style>
  <w:style w:type="paragraph" w:styleId="Footer">
    <w:name w:val="footer"/>
    <w:basedOn w:val="Normal"/>
    <w:link w:val="FooterChar"/>
    <w:uiPriority w:val="99"/>
    <w:unhideWhenUsed/>
    <w:rsid w:val="008821D8"/>
    <w:pPr>
      <w:tabs>
        <w:tab w:val="center" w:pos="4680"/>
        <w:tab w:val="right" w:pos="9360"/>
      </w:tabs>
    </w:pPr>
  </w:style>
  <w:style w:type="character" w:customStyle="1" w:styleId="FooterChar">
    <w:name w:val="Footer Char"/>
    <w:basedOn w:val="DefaultParagraphFont"/>
    <w:link w:val="Footer"/>
    <w:uiPriority w:val="99"/>
    <w:rsid w:val="008821D8"/>
    <w:rPr>
      <w:rFonts w:eastAsia="Times New Roman"/>
      <w:color w:val="auto"/>
      <w:lang w:bidi="he-IL"/>
    </w:rPr>
  </w:style>
  <w:style w:type="character" w:styleId="PlaceholderText">
    <w:name w:val="Placeholder Text"/>
    <w:basedOn w:val="DefaultParagraphFont"/>
    <w:uiPriority w:val="99"/>
    <w:semiHidden/>
    <w:rsid w:val="00D439DD"/>
    <w:rPr>
      <w:color w:val="666666"/>
    </w:rPr>
  </w:style>
  <w:style w:type="paragraph" w:styleId="NormalWeb">
    <w:name w:val="Normal (Web)"/>
    <w:basedOn w:val="Normal"/>
    <w:uiPriority w:val="99"/>
    <w:semiHidden/>
    <w:unhideWhenUsed/>
    <w:rsid w:val="00CF49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87037">
      <w:bodyDiv w:val="1"/>
      <w:marLeft w:val="0"/>
      <w:marRight w:val="0"/>
      <w:marTop w:val="0"/>
      <w:marBottom w:val="0"/>
      <w:divBdr>
        <w:top w:val="none" w:sz="0" w:space="0" w:color="auto"/>
        <w:left w:val="none" w:sz="0" w:space="0" w:color="auto"/>
        <w:bottom w:val="none" w:sz="0" w:space="0" w:color="auto"/>
        <w:right w:val="none" w:sz="0" w:space="0" w:color="auto"/>
      </w:divBdr>
    </w:div>
    <w:div w:id="162208974">
      <w:bodyDiv w:val="1"/>
      <w:marLeft w:val="0"/>
      <w:marRight w:val="0"/>
      <w:marTop w:val="0"/>
      <w:marBottom w:val="0"/>
      <w:divBdr>
        <w:top w:val="none" w:sz="0" w:space="0" w:color="auto"/>
        <w:left w:val="none" w:sz="0" w:space="0" w:color="auto"/>
        <w:bottom w:val="none" w:sz="0" w:space="0" w:color="auto"/>
        <w:right w:val="none" w:sz="0" w:space="0" w:color="auto"/>
      </w:divBdr>
    </w:div>
    <w:div w:id="362630127">
      <w:bodyDiv w:val="1"/>
      <w:marLeft w:val="0"/>
      <w:marRight w:val="0"/>
      <w:marTop w:val="0"/>
      <w:marBottom w:val="0"/>
      <w:divBdr>
        <w:top w:val="none" w:sz="0" w:space="0" w:color="auto"/>
        <w:left w:val="none" w:sz="0" w:space="0" w:color="auto"/>
        <w:bottom w:val="none" w:sz="0" w:space="0" w:color="auto"/>
        <w:right w:val="none" w:sz="0" w:space="0" w:color="auto"/>
      </w:divBdr>
    </w:div>
    <w:div w:id="458456529">
      <w:bodyDiv w:val="1"/>
      <w:marLeft w:val="0"/>
      <w:marRight w:val="0"/>
      <w:marTop w:val="0"/>
      <w:marBottom w:val="0"/>
      <w:divBdr>
        <w:top w:val="none" w:sz="0" w:space="0" w:color="auto"/>
        <w:left w:val="none" w:sz="0" w:space="0" w:color="auto"/>
        <w:bottom w:val="none" w:sz="0" w:space="0" w:color="auto"/>
        <w:right w:val="none" w:sz="0" w:space="0" w:color="auto"/>
      </w:divBdr>
    </w:div>
    <w:div w:id="568810147">
      <w:bodyDiv w:val="1"/>
      <w:marLeft w:val="0"/>
      <w:marRight w:val="0"/>
      <w:marTop w:val="0"/>
      <w:marBottom w:val="0"/>
      <w:divBdr>
        <w:top w:val="none" w:sz="0" w:space="0" w:color="auto"/>
        <w:left w:val="none" w:sz="0" w:space="0" w:color="auto"/>
        <w:bottom w:val="none" w:sz="0" w:space="0" w:color="auto"/>
        <w:right w:val="none" w:sz="0" w:space="0" w:color="auto"/>
      </w:divBdr>
    </w:div>
    <w:div w:id="1116169638">
      <w:bodyDiv w:val="1"/>
      <w:marLeft w:val="0"/>
      <w:marRight w:val="0"/>
      <w:marTop w:val="0"/>
      <w:marBottom w:val="0"/>
      <w:divBdr>
        <w:top w:val="none" w:sz="0" w:space="0" w:color="auto"/>
        <w:left w:val="none" w:sz="0" w:space="0" w:color="auto"/>
        <w:bottom w:val="none" w:sz="0" w:space="0" w:color="auto"/>
        <w:right w:val="none" w:sz="0" w:space="0" w:color="auto"/>
      </w:divBdr>
    </w:div>
    <w:div w:id="1387871302">
      <w:bodyDiv w:val="1"/>
      <w:marLeft w:val="0"/>
      <w:marRight w:val="0"/>
      <w:marTop w:val="0"/>
      <w:marBottom w:val="0"/>
      <w:divBdr>
        <w:top w:val="none" w:sz="0" w:space="0" w:color="auto"/>
        <w:left w:val="none" w:sz="0" w:space="0" w:color="auto"/>
        <w:bottom w:val="none" w:sz="0" w:space="0" w:color="auto"/>
        <w:right w:val="none" w:sz="0" w:space="0" w:color="auto"/>
      </w:divBdr>
    </w:div>
    <w:div w:id="1443452762">
      <w:bodyDiv w:val="1"/>
      <w:marLeft w:val="0"/>
      <w:marRight w:val="0"/>
      <w:marTop w:val="0"/>
      <w:marBottom w:val="0"/>
      <w:divBdr>
        <w:top w:val="none" w:sz="0" w:space="0" w:color="auto"/>
        <w:left w:val="none" w:sz="0" w:space="0" w:color="auto"/>
        <w:bottom w:val="none" w:sz="0" w:space="0" w:color="auto"/>
        <w:right w:val="none" w:sz="0" w:space="0" w:color="auto"/>
      </w:divBdr>
    </w:div>
    <w:div w:id="1880126821">
      <w:bodyDiv w:val="1"/>
      <w:marLeft w:val="0"/>
      <w:marRight w:val="0"/>
      <w:marTop w:val="0"/>
      <w:marBottom w:val="0"/>
      <w:divBdr>
        <w:top w:val="none" w:sz="0" w:space="0" w:color="auto"/>
        <w:left w:val="none" w:sz="0" w:space="0" w:color="auto"/>
        <w:bottom w:val="none" w:sz="0" w:space="0" w:color="auto"/>
        <w:right w:val="none" w:sz="0" w:space="0" w:color="auto"/>
      </w:divBdr>
    </w:div>
    <w:div w:id="2018775767">
      <w:bodyDiv w:val="1"/>
      <w:marLeft w:val="0"/>
      <w:marRight w:val="0"/>
      <w:marTop w:val="0"/>
      <w:marBottom w:val="0"/>
      <w:divBdr>
        <w:top w:val="none" w:sz="0" w:space="0" w:color="auto"/>
        <w:left w:val="none" w:sz="0" w:space="0" w:color="auto"/>
        <w:bottom w:val="none" w:sz="0" w:space="0" w:color="auto"/>
        <w:right w:val="none" w:sz="0" w:space="0" w:color="auto"/>
      </w:divBdr>
    </w:div>
    <w:div w:id="211940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19</Pages>
  <Words>4492</Words>
  <Characters>25606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Gazit</dc:creator>
  <cp:keywords/>
  <dc:description/>
  <cp:lastModifiedBy>Tamar Gazit</cp:lastModifiedBy>
  <cp:revision>133</cp:revision>
  <dcterms:created xsi:type="dcterms:W3CDTF">2025-04-10T10:56:00Z</dcterms:created>
  <dcterms:modified xsi:type="dcterms:W3CDTF">2025-04-12T01:54:00Z</dcterms:modified>
</cp:coreProperties>
</file>