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1F4" w:rsidRDefault="004E51F4">
      <w:pPr>
        <w:rPr>
          <w:rFonts w:ascii="メイリオ" w:eastAsia="メイリオ" w:hAnsi="メイリオ"/>
          <w:color w:val="251E1C"/>
        </w:rPr>
      </w:pPr>
      <w:r>
        <w:rPr>
          <w:rFonts w:ascii="メイリオ" w:eastAsia="メイリオ" w:hAnsi="メイリオ" w:hint="eastAsia"/>
          <w:color w:val="251E1C"/>
        </w:rPr>
        <w:t>法人向け位置情報（GPS）提供サービス</w:t>
      </w:r>
    </w:p>
    <w:p w:rsidR="004E51F4" w:rsidRDefault="004E51F4">
      <w:r>
        <w:rPr>
          <w:rFonts w:hint="eastAsia"/>
        </w:rPr>
        <w:t>会社名：どこ</w:t>
      </w:r>
      <w:r>
        <w:rPr>
          <w:rFonts w:hint="eastAsia"/>
        </w:rPr>
        <w:t>-</w:t>
      </w:r>
      <w:r>
        <w:rPr>
          <w:rFonts w:hint="eastAsia"/>
        </w:rPr>
        <w:t>イルカ</w:t>
      </w:r>
      <w:r>
        <w:rPr>
          <w:rFonts w:hint="eastAsia"/>
        </w:rPr>
        <w:t>Biz</w:t>
      </w:r>
    </w:p>
    <w:p w:rsidR="004E51F4" w:rsidRDefault="004E51F4" w:rsidP="004E51F4">
      <w:pPr>
        <w:jc w:val="center"/>
      </w:pPr>
      <w:r>
        <w:rPr>
          <w:rFonts w:hint="eastAsia"/>
        </w:rPr>
        <w:t>導入費用</w:t>
      </w:r>
    </w:p>
    <w:tbl>
      <w:tblPr>
        <w:tblW w:w="5000" w:type="pct"/>
        <w:tblBorders>
          <w:top w:val="single" w:sz="6" w:space="0" w:color="488EA6"/>
          <w:bottom w:val="single" w:sz="6" w:space="0" w:color="488EA6"/>
        </w:tblBorders>
        <w:shd w:val="clear" w:color="auto" w:fill="FFFFFF"/>
        <w:tblCellMar>
          <w:top w:w="15" w:type="dxa"/>
          <w:left w:w="15" w:type="dxa"/>
          <w:bottom w:w="15" w:type="dxa"/>
          <w:right w:w="15" w:type="dxa"/>
        </w:tblCellMar>
        <w:tblLook w:val="04A0" w:firstRow="1" w:lastRow="0" w:firstColumn="1" w:lastColumn="0" w:noHBand="0" w:noVBand="1"/>
      </w:tblPr>
      <w:tblGrid>
        <w:gridCol w:w="6723"/>
        <w:gridCol w:w="1781"/>
      </w:tblGrid>
      <w:tr w:rsidR="004E51F4" w:rsidRPr="004E51F4" w:rsidTr="004E51F4">
        <w:tc>
          <w:tcPr>
            <w:tcW w:w="0" w:type="auto"/>
            <w:tcBorders>
              <w:bottom w:val="single" w:sz="6" w:space="0" w:color="488EA6"/>
            </w:tcBorders>
            <w:shd w:val="clear" w:color="auto" w:fill="E7F5FA"/>
            <w:noWrap/>
            <w:tcMar>
              <w:top w:w="150" w:type="dxa"/>
              <w:left w:w="375" w:type="dxa"/>
              <w:bottom w:w="150" w:type="dxa"/>
              <w:right w:w="375" w:type="dxa"/>
            </w:tcMar>
            <w:hideMark/>
          </w:tcPr>
          <w:p w:rsidR="004E51F4" w:rsidRPr="004E51F4" w:rsidRDefault="004E51F4" w:rsidP="004E51F4">
            <w:pPr>
              <w:widowControl/>
              <w:spacing w:after="225"/>
              <w:jc w:val="left"/>
              <w:rPr>
                <w:rFonts w:ascii="メイリオ" w:eastAsia="メイリオ" w:hAnsi="メイリオ" w:cs="ＭＳ Ｐゴシック"/>
                <w:b/>
                <w:bCs/>
                <w:color w:val="251E1C"/>
                <w:kern w:val="0"/>
                <w:szCs w:val="21"/>
              </w:rPr>
            </w:pPr>
            <w:r w:rsidRPr="004E51F4">
              <w:rPr>
                <w:rFonts w:ascii="メイリオ" w:eastAsia="メイリオ" w:hAnsi="メイリオ" w:cs="ＭＳ Ｐゴシック" w:hint="eastAsia"/>
                <w:b/>
                <w:bCs/>
                <w:color w:val="251E1C"/>
                <w:kern w:val="0"/>
                <w:szCs w:val="21"/>
              </w:rPr>
              <w:t>❶どこ・イルカHybrid</w:t>
            </w:r>
          </w:p>
        </w:tc>
        <w:tc>
          <w:tcPr>
            <w:tcW w:w="0" w:type="auto"/>
            <w:tcBorders>
              <w:bottom w:val="single" w:sz="6" w:space="0" w:color="488EA6"/>
            </w:tcBorders>
            <w:shd w:val="clear" w:color="auto" w:fill="FFFFFF"/>
            <w:tcMar>
              <w:top w:w="150" w:type="dxa"/>
              <w:left w:w="375" w:type="dxa"/>
              <w:bottom w:w="150" w:type="dxa"/>
              <w:right w:w="375" w:type="dxa"/>
            </w:tcMar>
            <w:hideMark/>
          </w:tcPr>
          <w:p w:rsidR="004E51F4" w:rsidRPr="004E51F4" w:rsidRDefault="004E51F4" w:rsidP="004E51F4">
            <w:pPr>
              <w:widowControl/>
              <w:spacing w:after="225"/>
              <w:jc w:val="left"/>
              <w:rPr>
                <w:rFonts w:ascii="メイリオ" w:eastAsia="メイリオ" w:hAnsi="メイリオ" w:cs="ＭＳ Ｐゴシック"/>
                <w:color w:val="251E1C"/>
                <w:kern w:val="0"/>
                <w:szCs w:val="21"/>
              </w:rPr>
            </w:pPr>
            <w:r w:rsidRPr="004E51F4">
              <w:rPr>
                <w:rFonts w:ascii="メイリオ" w:eastAsia="メイリオ" w:hAnsi="メイリオ" w:cs="ＭＳ Ｐゴシック" w:hint="eastAsia"/>
                <w:color w:val="251E1C"/>
                <w:kern w:val="0"/>
                <w:szCs w:val="21"/>
              </w:rPr>
              <w:t>12,000円／台</w:t>
            </w:r>
          </w:p>
        </w:tc>
      </w:tr>
      <w:tr w:rsidR="004E51F4" w:rsidRPr="004E51F4" w:rsidTr="004E51F4">
        <w:tc>
          <w:tcPr>
            <w:tcW w:w="0" w:type="auto"/>
            <w:tcBorders>
              <w:bottom w:val="single" w:sz="6" w:space="0" w:color="488EA6"/>
            </w:tcBorders>
            <w:shd w:val="clear" w:color="auto" w:fill="E7F5FA"/>
            <w:noWrap/>
            <w:tcMar>
              <w:top w:w="150" w:type="dxa"/>
              <w:left w:w="375" w:type="dxa"/>
              <w:bottom w:w="150" w:type="dxa"/>
              <w:right w:w="375" w:type="dxa"/>
            </w:tcMar>
            <w:hideMark/>
          </w:tcPr>
          <w:p w:rsidR="004E51F4" w:rsidRPr="004E51F4" w:rsidRDefault="004E51F4" w:rsidP="004E51F4">
            <w:pPr>
              <w:widowControl/>
              <w:spacing w:after="225"/>
              <w:jc w:val="left"/>
              <w:rPr>
                <w:rFonts w:ascii="メイリオ" w:eastAsia="メイリオ" w:hAnsi="メイリオ" w:cs="ＭＳ Ｐゴシック"/>
                <w:b/>
                <w:bCs/>
                <w:color w:val="251E1C"/>
                <w:kern w:val="0"/>
                <w:szCs w:val="21"/>
              </w:rPr>
            </w:pPr>
            <w:r w:rsidRPr="004E51F4">
              <w:rPr>
                <w:rFonts w:ascii="メイリオ" w:eastAsia="メイリオ" w:hAnsi="メイリオ" w:cs="ＭＳ Ｐゴシック" w:hint="eastAsia"/>
                <w:b/>
                <w:bCs/>
                <w:color w:val="251E1C"/>
                <w:kern w:val="0"/>
                <w:szCs w:val="21"/>
              </w:rPr>
              <w:t>❷端末付属品（専用リチウムイオン電池・USB電源アダプタ）</w:t>
            </w:r>
          </w:p>
        </w:tc>
        <w:tc>
          <w:tcPr>
            <w:tcW w:w="0" w:type="auto"/>
            <w:tcBorders>
              <w:bottom w:val="single" w:sz="6" w:space="0" w:color="488EA6"/>
            </w:tcBorders>
            <w:shd w:val="clear" w:color="auto" w:fill="FFFFFF"/>
            <w:tcMar>
              <w:top w:w="150" w:type="dxa"/>
              <w:left w:w="375" w:type="dxa"/>
              <w:bottom w:w="150" w:type="dxa"/>
              <w:right w:w="375" w:type="dxa"/>
            </w:tcMar>
            <w:hideMark/>
          </w:tcPr>
          <w:p w:rsidR="004E51F4" w:rsidRPr="004E51F4" w:rsidRDefault="004E51F4" w:rsidP="004E51F4">
            <w:pPr>
              <w:widowControl/>
              <w:spacing w:after="225"/>
              <w:jc w:val="left"/>
              <w:rPr>
                <w:rFonts w:ascii="メイリオ" w:eastAsia="メイリオ" w:hAnsi="メイリオ" w:cs="ＭＳ Ｐゴシック"/>
                <w:color w:val="251E1C"/>
                <w:kern w:val="0"/>
                <w:szCs w:val="21"/>
              </w:rPr>
            </w:pPr>
            <w:r w:rsidRPr="004E51F4">
              <w:rPr>
                <w:rFonts w:ascii="メイリオ" w:eastAsia="メイリオ" w:hAnsi="メイリオ" w:cs="ＭＳ Ｐゴシック" w:hint="eastAsia"/>
                <w:color w:val="251E1C"/>
                <w:kern w:val="0"/>
                <w:szCs w:val="21"/>
              </w:rPr>
              <w:t>3,500円／セット</w:t>
            </w:r>
          </w:p>
        </w:tc>
      </w:tr>
      <w:tr w:rsidR="004E51F4" w:rsidRPr="004E51F4" w:rsidTr="004E51F4">
        <w:tc>
          <w:tcPr>
            <w:tcW w:w="0" w:type="auto"/>
            <w:tcBorders>
              <w:bottom w:val="single" w:sz="6" w:space="0" w:color="488EA6"/>
            </w:tcBorders>
            <w:shd w:val="clear" w:color="auto" w:fill="E7F5FA"/>
            <w:noWrap/>
            <w:tcMar>
              <w:top w:w="150" w:type="dxa"/>
              <w:left w:w="375" w:type="dxa"/>
              <w:bottom w:w="150" w:type="dxa"/>
              <w:right w:w="375" w:type="dxa"/>
            </w:tcMar>
            <w:hideMark/>
          </w:tcPr>
          <w:p w:rsidR="004E51F4" w:rsidRPr="004E51F4" w:rsidRDefault="004E51F4" w:rsidP="004E51F4">
            <w:pPr>
              <w:widowControl/>
              <w:spacing w:after="225"/>
              <w:jc w:val="left"/>
              <w:rPr>
                <w:rFonts w:ascii="メイリオ" w:eastAsia="メイリオ" w:hAnsi="メイリオ" w:cs="ＭＳ Ｐゴシック"/>
                <w:b/>
                <w:bCs/>
                <w:color w:val="251E1C"/>
                <w:kern w:val="0"/>
                <w:szCs w:val="21"/>
              </w:rPr>
            </w:pPr>
            <w:r w:rsidRPr="004E51F4">
              <w:rPr>
                <w:rFonts w:ascii="メイリオ" w:eastAsia="メイリオ" w:hAnsi="メイリオ" w:cs="ＭＳ Ｐゴシック" w:hint="eastAsia"/>
                <w:b/>
                <w:bCs/>
                <w:color w:val="251E1C"/>
                <w:kern w:val="0"/>
                <w:szCs w:val="21"/>
              </w:rPr>
              <w:t>❸端末登録手数料</w:t>
            </w:r>
          </w:p>
        </w:tc>
        <w:tc>
          <w:tcPr>
            <w:tcW w:w="0" w:type="auto"/>
            <w:tcBorders>
              <w:bottom w:val="single" w:sz="6" w:space="0" w:color="488EA6"/>
            </w:tcBorders>
            <w:shd w:val="clear" w:color="auto" w:fill="FFFFFF"/>
            <w:tcMar>
              <w:top w:w="150" w:type="dxa"/>
              <w:left w:w="375" w:type="dxa"/>
              <w:bottom w:w="150" w:type="dxa"/>
              <w:right w:w="375" w:type="dxa"/>
            </w:tcMar>
            <w:hideMark/>
          </w:tcPr>
          <w:p w:rsidR="004E51F4" w:rsidRPr="004E51F4" w:rsidRDefault="004E51F4" w:rsidP="004E51F4">
            <w:pPr>
              <w:widowControl/>
              <w:spacing w:after="225"/>
              <w:jc w:val="left"/>
              <w:rPr>
                <w:rFonts w:ascii="メイリオ" w:eastAsia="メイリオ" w:hAnsi="メイリオ" w:cs="ＭＳ Ｐゴシック"/>
                <w:color w:val="251E1C"/>
                <w:kern w:val="0"/>
                <w:szCs w:val="21"/>
              </w:rPr>
            </w:pPr>
            <w:r w:rsidRPr="004E51F4">
              <w:rPr>
                <w:rFonts w:ascii="メイリオ" w:eastAsia="メイリオ" w:hAnsi="メイリオ" w:cs="ＭＳ Ｐゴシック" w:hint="eastAsia"/>
                <w:color w:val="251E1C"/>
                <w:kern w:val="0"/>
                <w:szCs w:val="21"/>
              </w:rPr>
              <w:t>1,500円／台</w:t>
            </w:r>
          </w:p>
        </w:tc>
      </w:tr>
      <w:tr w:rsidR="004E51F4" w:rsidRPr="004E51F4" w:rsidTr="004E51F4">
        <w:tc>
          <w:tcPr>
            <w:tcW w:w="0" w:type="auto"/>
            <w:tcBorders>
              <w:bottom w:val="single" w:sz="6" w:space="0" w:color="488EA6"/>
            </w:tcBorders>
            <w:shd w:val="clear" w:color="auto" w:fill="E7F5FA"/>
            <w:noWrap/>
            <w:tcMar>
              <w:top w:w="150" w:type="dxa"/>
              <w:left w:w="375" w:type="dxa"/>
              <w:bottom w:w="150" w:type="dxa"/>
              <w:right w:w="375" w:type="dxa"/>
            </w:tcMar>
            <w:hideMark/>
          </w:tcPr>
          <w:p w:rsidR="004E51F4" w:rsidRPr="004E51F4" w:rsidRDefault="004E51F4" w:rsidP="004E51F4">
            <w:pPr>
              <w:widowControl/>
              <w:spacing w:after="225"/>
              <w:jc w:val="left"/>
              <w:rPr>
                <w:rFonts w:ascii="メイリオ" w:eastAsia="メイリオ" w:hAnsi="メイリオ" w:cs="ＭＳ Ｐゴシック"/>
                <w:b/>
                <w:bCs/>
                <w:color w:val="251E1C"/>
                <w:kern w:val="0"/>
                <w:szCs w:val="21"/>
              </w:rPr>
            </w:pPr>
            <w:r w:rsidRPr="004E51F4">
              <w:rPr>
                <w:rFonts w:ascii="メイリオ" w:eastAsia="メイリオ" w:hAnsi="メイリオ" w:cs="ＭＳ Ｐゴシック" w:hint="eastAsia"/>
                <w:b/>
                <w:bCs/>
                <w:color w:val="251E1C"/>
                <w:kern w:val="0"/>
                <w:szCs w:val="21"/>
              </w:rPr>
              <w:t>❹どこ・イルカcolony設定費用</w:t>
            </w:r>
          </w:p>
        </w:tc>
        <w:tc>
          <w:tcPr>
            <w:tcW w:w="0" w:type="auto"/>
            <w:tcBorders>
              <w:bottom w:val="single" w:sz="6" w:space="0" w:color="488EA6"/>
            </w:tcBorders>
            <w:shd w:val="clear" w:color="auto" w:fill="FFFFFF"/>
            <w:tcMar>
              <w:top w:w="150" w:type="dxa"/>
              <w:left w:w="375" w:type="dxa"/>
              <w:bottom w:w="150" w:type="dxa"/>
              <w:right w:w="375" w:type="dxa"/>
            </w:tcMar>
            <w:hideMark/>
          </w:tcPr>
          <w:p w:rsidR="004E51F4" w:rsidRPr="004E51F4" w:rsidRDefault="004E51F4" w:rsidP="004E51F4">
            <w:pPr>
              <w:widowControl/>
              <w:spacing w:after="225"/>
              <w:jc w:val="left"/>
              <w:rPr>
                <w:rFonts w:ascii="メイリオ" w:eastAsia="メイリオ" w:hAnsi="メイリオ" w:cs="ＭＳ Ｐゴシック"/>
                <w:color w:val="251E1C"/>
                <w:kern w:val="0"/>
                <w:szCs w:val="21"/>
              </w:rPr>
            </w:pPr>
            <w:r w:rsidRPr="004E51F4">
              <w:rPr>
                <w:rFonts w:ascii="メイリオ" w:eastAsia="メイリオ" w:hAnsi="メイリオ" w:cs="ＭＳ Ｐゴシック" w:hint="eastAsia"/>
                <w:color w:val="251E1C"/>
                <w:kern w:val="0"/>
                <w:szCs w:val="21"/>
              </w:rPr>
              <w:t>75,000円／PC</w:t>
            </w:r>
          </w:p>
        </w:tc>
      </w:tr>
      <w:tr w:rsidR="004E51F4" w:rsidRPr="004E51F4" w:rsidTr="004E51F4">
        <w:tc>
          <w:tcPr>
            <w:tcW w:w="0" w:type="auto"/>
            <w:tcBorders>
              <w:bottom w:val="single" w:sz="6" w:space="0" w:color="488EA6"/>
            </w:tcBorders>
            <w:shd w:val="clear" w:color="auto" w:fill="E7F5FA"/>
            <w:noWrap/>
            <w:tcMar>
              <w:top w:w="150" w:type="dxa"/>
              <w:left w:w="375" w:type="dxa"/>
              <w:bottom w:w="150" w:type="dxa"/>
              <w:right w:w="375" w:type="dxa"/>
            </w:tcMar>
            <w:hideMark/>
          </w:tcPr>
          <w:p w:rsidR="004E51F4" w:rsidRPr="004E51F4" w:rsidRDefault="004E51F4" w:rsidP="004E51F4">
            <w:pPr>
              <w:widowControl/>
              <w:spacing w:after="225"/>
              <w:jc w:val="left"/>
              <w:rPr>
                <w:rFonts w:ascii="メイリオ" w:eastAsia="メイリオ" w:hAnsi="メイリオ" w:cs="ＭＳ Ｐゴシック"/>
                <w:b/>
                <w:bCs/>
                <w:color w:val="251E1C"/>
                <w:kern w:val="0"/>
                <w:szCs w:val="21"/>
              </w:rPr>
            </w:pPr>
            <w:r w:rsidRPr="004E51F4">
              <w:rPr>
                <w:rFonts w:ascii="メイリオ" w:eastAsia="メイリオ" w:hAnsi="メイリオ" w:cs="ＭＳ Ｐゴシック" w:hint="eastAsia"/>
                <w:b/>
                <w:bCs/>
                <w:color w:val="251E1C"/>
                <w:kern w:val="0"/>
                <w:szCs w:val="21"/>
              </w:rPr>
              <w:t>❺地図ソフト</w:t>
            </w:r>
          </w:p>
        </w:tc>
        <w:tc>
          <w:tcPr>
            <w:tcW w:w="0" w:type="auto"/>
            <w:tcBorders>
              <w:bottom w:val="single" w:sz="6" w:space="0" w:color="488EA6"/>
            </w:tcBorders>
            <w:shd w:val="clear" w:color="auto" w:fill="FFFFFF"/>
            <w:tcMar>
              <w:top w:w="150" w:type="dxa"/>
              <w:left w:w="375" w:type="dxa"/>
              <w:bottom w:w="150" w:type="dxa"/>
              <w:right w:w="375" w:type="dxa"/>
            </w:tcMar>
            <w:hideMark/>
          </w:tcPr>
          <w:p w:rsidR="004E51F4" w:rsidRPr="004E51F4" w:rsidRDefault="004E51F4" w:rsidP="004E51F4">
            <w:pPr>
              <w:widowControl/>
              <w:spacing w:after="225"/>
              <w:jc w:val="left"/>
              <w:rPr>
                <w:rFonts w:ascii="メイリオ" w:eastAsia="メイリオ" w:hAnsi="メイリオ" w:cs="ＭＳ Ｐゴシック"/>
                <w:color w:val="251E1C"/>
                <w:kern w:val="0"/>
                <w:szCs w:val="21"/>
              </w:rPr>
            </w:pPr>
            <w:r w:rsidRPr="004E51F4">
              <w:rPr>
                <w:rFonts w:ascii="メイリオ" w:eastAsia="メイリオ" w:hAnsi="メイリオ" w:cs="ＭＳ Ｐゴシック" w:hint="eastAsia"/>
                <w:color w:val="251E1C"/>
                <w:kern w:val="0"/>
                <w:szCs w:val="21"/>
              </w:rPr>
              <w:t>15,000円／式</w:t>
            </w:r>
          </w:p>
        </w:tc>
      </w:tr>
    </w:tbl>
    <w:p w:rsidR="004E51F4" w:rsidRDefault="004E51F4" w:rsidP="004E51F4">
      <w:pPr>
        <w:jc w:val="left"/>
      </w:pPr>
      <w:r>
        <w:rPr>
          <w:rFonts w:hint="eastAsia"/>
        </w:rPr>
        <w:t>スマートフォン１台あたり３２０００円</w:t>
      </w:r>
    </w:p>
    <w:p w:rsidR="004E51F4" w:rsidRDefault="004E51F4" w:rsidP="004E51F4">
      <w:pPr>
        <w:jc w:val="left"/>
      </w:pPr>
      <w:r>
        <w:rPr>
          <w:rFonts w:hint="eastAsia"/>
        </w:rPr>
        <w:t>管理システムの</w:t>
      </w:r>
      <w:r>
        <w:rPr>
          <w:rFonts w:hint="eastAsia"/>
        </w:rPr>
        <w:t>PC</w:t>
      </w:r>
      <w:r>
        <w:rPr>
          <w:rFonts w:hint="eastAsia"/>
        </w:rPr>
        <w:t>１台あたり９００００円の導入費用がかかる</w:t>
      </w:r>
    </w:p>
    <w:p w:rsidR="006D111F" w:rsidRDefault="006D111F" w:rsidP="004E51F4">
      <w:pPr>
        <w:jc w:val="left"/>
      </w:pPr>
    </w:p>
    <w:p w:rsidR="006D111F" w:rsidRDefault="006D111F" w:rsidP="004E51F4">
      <w:pPr>
        <w:jc w:val="left"/>
        <w:rPr>
          <w:sz w:val="28"/>
          <w:szCs w:val="28"/>
        </w:rPr>
      </w:pPr>
      <w:r w:rsidRPr="006D111F">
        <w:rPr>
          <w:rFonts w:hint="eastAsia"/>
          <w:sz w:val="28"/>
          <w:szCs w:val="28"/>
        </w:rPr>
        <w:t>企業からの支援</w:t>
      </w:r>
    </w:p>
    <w:p w:rsidR="006D111F" w:rsidRDefault="00494382" w:rsidP="004E51F4">
      <w:pPr>
        <w:jc w:val="left"/>
        <w:rPr>
          <w:szCs w:val="21"/>
        </w:rPr>
      </w:pPr>
      <w:r>
        <w:rPr>
          <w:rFonts w:hint="eastAsia"/>
          <w:szCs w:val="21"/>
        </w:rPr>
        <w:lastRenderedPageBreak/>
        <w:t>バンダイナムコと提携しバンダイナムコの会員となるとバンナムコラボとの専用アイテム</w:t>
      </w:r>
    </w:p>
    <w:p w:rsidR="00AF60F9" w:rsidRDefault="00AF60F9" w:rsidP="004E51F4">
      <w:pPr>
        <w:jc w:val="left"/>
        <w:rPr>
          <w:szCs w:val="21"/>
        </w:rPr>
      </w:pPr>
      <w:r>
        <w:rPr>
          <w:rFonts w:hint="eastAsia"/>
          <w:szCs w:val="21"/>
        </w:rPr>
        <w:t>(</w:t>
      </w:r>
      <w:r>
        <w:rPr>
          <w:rFonts w:hint="eastAsia"/>
          <w:szCs w:val="21"/>
        </w:rPr>
        <w:t>テイルズ</w:t>
      </w:r>
      <w:r>
        <w:rPr>
          <w:rFonts w:hint="eastAsia"/>
          <w:szCs w:val="21"/>
        </w:rPr>
        <w:t>)</w:t>
      </w:r>
    </w:p>
    <w:p w:rsidR="00494382" w:rsidRDefault="00EB39E2" w:rsidP="004E51F4">
      <w:pPr>
        <w:jc w:val="left"/>
        <w:rPr>
          <w:szCs w:val="21"/>
        </w:rPr>
      </w:pPr>
      <w:r>
        <w:rPr>
          <w:rFonts w:hint="eastAsia"/>
          <w:szCs w:val="21"/>
        </w:rPr>
        <w:t>・</w:t>
      </w:r>
      <w:r w:rsidR="00494382">
        <w:rPr>
          <w:rFonts w:hint="eastAsia"/>
          <w:szCs w:val="21"/>
        </w:rPr>
        <w:t>ライフボトル：テイルズシリーズの蘇生アイテム</w:t>
      </w:r>
    </w:p>
    <w:p w:rsidR="00EB39E2" w:rsidRDefault="00EB39E2" w:rsidP="004E51F4">
      <w:pPr>
        <w:jc w:val="left"/>
        <w:rPr>
          <w:szCs w:val="21"/>
        </w:rPr>
      </w:pPr>
      <w:r>
        <w:rPr>
          <w:rFonts w:hint="eastAsia"/>
          <w:szCs w:val="21"/>
        </w:rPr>
        <w:t>・パイングミ：テイルズでは</w:t>
      </w:r>
      <w:r>
        <w:rPr>
          <w:rFonts w:hint="eastAsia"/>
          <w:szCs w:val="21"/>
        </w:rPr>
        <w:t>TP</w:t>
      </w:r>
      <w:r>
        <w:rPr>
          <w:rFonts w:hint="eastAsia"/>
          <w:szCs w:val="21"/>
        </w:rPr>
        <w:t>回復の効果だがこのゲームでは銃の弾数を回復</w:t>
      </w:r>
    </w:p>
    <w:p w:rsidR="00EB39E2" w:rsidRDefault="00EB39E2" w:rsidP="004E51F4">
      <w:pPr>
        <w:jc w:val="left"/>
        <w:rPr>
          <w:szCs w:val="21"/>
        </w:rPr>
      </w:pPr>
      <w:r>
        <w:rPr>
          <w:rFonts w:hint="eastAsia"/>
          <w:szCs w:val="21"/>
        </w:rPr>
        <w:t>・バリア：一定時間攻撃を防ぐ</w:t>
      </w:r>
      <w:r>
        <w:rPr>
          <w:rFonts w:hint="eastAsia"/>
          <w:szCs w:val="21"/>
        </w:rPr>
        <w:t>or</w:t>
      </w:r>
      <w:r>
        <w:rPr>
          <w:rFonts w:hint="eastAsia"/>
          <w:szCs w:val="21"/>
        </w:rPr>
        <w:t>ごくまれに攻撃を防ぐ効果</w:t>
      </w:r>
    </w:p>
    <w:p w:rsidR="00EB39E2" w:rsidRDefault="00AF60F9" w:rsidP="004E51F4">
      <w:pPr>
        <w:jc w:val="left"/>
        <w:rPr>
          <w:rFonts w:hint="eastAsia"/>
          <w:szCs w:val="21"/>
        </w:rPr>
      </w:pPr>
      <w:r>
        <w:rPr>
          <w:rFonts w:hint="eastAsia"/>
          <w:szCs w:val="21"/>
        </w:rPr>
        <w:t>KONAMI</w:t>
      </w:r>
      <w:r>
        <w:rPr>
          <w:rFonts w:hint="eastAsia"/>
          <w:szCs w:val="21"/>
        </w:rPr>
        <w:t>と提携</w:t>
      </w:r>
    </w:p>
    <w:p w:rsidR="00AF60F9" w:rsidRDefault="00AF60F9" w:rsidP="004E51F4">
      <w:pPr>
        <w:jc w:val="left"/>
        <w:rPr>
          <w:szCs w:val="21"/>
        </w:rPr>
      </w:pPr>
      <w:r>
        <w:rPr>
          <w:rFonts w:hint="eastAsia"/>
          <w:szCs w:val="21"/>
        </w:rPr>
        <w:t>(</w:t>
      </w:r>
      <w:r>
        <w:rPr>
          <w:rFonts w:hint="eastAsia"/>
          <w:szCs w:val="21"/>
        </w:rPr>
        <w:t>メタルギア</w:t>
      </w:r>
      <w:r>
        <w:rPr>
          <w:rFonts w:hint="eastAsia"/>
          <w:szCs w:val="21"/>
        </w:rPr>
        <w:t>)</w:t>
      </w:r>
    </w:p>
    <w:p w:rsidR="00AF60F9" w:rsidRDefault="00AF60F9" w:rsidP="004E51F4">
      <w:pPr>
        <w:jc w:val="left"/>
        <w:rPr>
          <w:szCs w:val="21"/>
        </w:rPr>
      </w:pPr>
      <w:r>
        <w:rPr>
          <w:rFonts w:hint="eastAsia"/>
          <w:szCs w:val="21"/>
        </w:rPr>
        <w:t>・ダンボール：一定時間相手から姿を隠すことができる</w:t>
      </w:r>
    </w:p>
    <w:p w:rsidR="0045213C" w:rsidRPr="0045213C" w:rsidRDefault="00AF60F9" w:rsidP="004E51F4">
      <w:pPr>
        <w:jc w:val="left"/>
        <w:rPr>
          <w:rFonts w:asciiTheme="minorEastAsia" w:hAnsiTheme="minorEastAsia" w:cs="ＭＳ Ｐゴシック"/>
          <w:kern w:val="0"/>
          <w:szCs w:val="21"/>
        </w:rPr>
      </w:pPr>
      <w:r w:rsidRPr="0045213C">
        <w:rPr>
          <w:rFonts w:asciiTheme="minorEastAsia" w:hAnsiTheme="minorEastAsia" w:hint="eastAsia"/>
          <w:szCs w:val="21"/>
        </w:rPr>
        <w:t>・</w:t>
      </w:r>
      <w:r w:rsidR="0045213C" w:rsidRPr="0045213C">
        <w:rPr>
          <w:rFonts w:asciiTheme="minorEastAsia" w:hAnsiTheme="minorEastAsia" w:cs="ＭＳ Ｐゴシック"/>
          <w:kern w:val="0"/>
          <w:szCs w:val="21"/>
        </w:rPr>
        <w:t>生体センサー</w:t>
      </w:r>
      <w:r w:rsidR="0045213C" w:rsidRPr="0045213C">
        <w:rPr>
          <w:rFonts w:asciiTheme="minorEastAsia" w:hAnsiTheme="minorEastAsia" w:cs="ＭＳ Ｐゴシック" w:hint="eastAsia"/>
          <w:kern w:val="0"/>
          <w:szCs w:val="21"/>
        </w:rPr>
        <w:t>：</w:t>
      </w:r>
      <w:r w:rsidR="0045213C" w:rsidRPr="0045213C">
        <w:rPr>
          <w:rFonts w:asciiTheme="minorEastAsia" w:hAnsiTheme="minorEastAsia" w:cs="ＭＳ Ｐゴシック"/>
          <w:kern w:val="0"/>
          <w:szCs w:val="21"/>
        </w:rPr>
        <w:t>敵の接近を振動で知らせる</w:t>
      </w:r>
    </w:p>
    <w:p w:rsidR="0045213C" w:rsidRDefault="0045213C" w:rsidP="004E51F4">
      <w:pPr>
        <w:jc w:val="left"/>
        <w:rPr>
          <w:rFonts w:asciiTheme="minorEastAsia" w:hAnsiTheme="minorEastAsia" w:cs="ＭＳ Ｐゴシック"/>
          <w:kern w:val="0"/>
          <w:szCs w:val="21"/>
        </w:rPr>
      </w:pPr>
      <w:r w:rsidRPr="0045213C">
        <w:rPr>
          <w:rFonts w:asciiTheme="minorEastAsia" w:hAnsiTheme="minorEastAsia" w:cs="ＭＳ Ｐゴシック" w:hint="eastAsia"/>
          <w:kern w:val="0"/>
          <w:szCs w:val="21"/>
        </w:rPr>
        <w:t>・双眼鏡：遠距離の様子を確認できる</w:t>
      </w:r>
    </w:p>
    <w:p w:rsidR="0045213C" w:rsidRPr="0045213C" w:rsidRDefault="0045213C" w:rsidP="004E51F4">
      <w:pPr>
        <w:jc w:val="left"/>
        <w:rPr>
          <w:rFonts w:asciiTheme="minorEastAsia" w:hAnsiTheme="minorEastAsia" w:hint="eastAsia"/>
          <w:szCs w:val="21"/>
        </w:rPr>
      </w:pPr>
      <w:r>
        <w:rPr>
          <w:rFonts w:asciiTheme="minorEastAsia" w:hAnsiTheme="minorEastAsia" w:cs="ＭＳ Ｐゴシック" w:hint="eastAsia"/>
          <w:kern w:val="0"/>
          <w:szCs w:val="21"/>
        </w:rPr>
        <w:t>バンダイナムコとKONAMIと提携することにより広告費、宣伝費を徴収する。</w:t>
      </w:r>
      <w:bookmarkStart w:id="0" w:name="_GoBack"/>
      <w:bookmarkEnd w:id="0"/>
    </w:p>
    <w:sectPr w:rsidR="0045213C" w:rsidRPr="004521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1F4"/>
    <w:rsid w:val="000F7288"/>
    <w:rsid w:val="0045213C"/>
    <w:rsid w:val="00494382"/>
    <w:rsid w:val="004E51F4"/>
    <w:rsid w:val="006D111F"/>
    <w:rsid w:val="00722436"/>
    <w:rsid w:val="00AF60F9"/>
    <w:rsid w:val="00EB3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CE5F27F-F204-4A35-A1C9-150E5BCB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537936">
      <w:bodyDiv w:val="1"/>
      <w:marLeft w:val="0"/>
      <w:marRight w:val="0"/>
      <w:marTop w:val="0"/>
      <w:marBottom w:val="0"/>
      <w:divBdr>
        <w:top w:val="none" w:sz="0" w:space="0" w:color="auto"/>
        <w:left w:val="none" w:sz="0" w:space="0" w:color="auto"/>
        <w:bottom w:val="none" w:sz="0" w:space="0" w:color="auto"/>
        <w:right w:val="none" w:sz="0" w:space="0" w:color="auto"/>
      </w:divBdr>
      <w:divsChild>
        <w:div w:id="2006084867">
          <w:marLeft w:val="0"/>
          <w:marRight w:val="0"/>
          <w:marTop w:val="0"/>
          <w:marBottom w:val="0"/>
          <w:divBdr>
            <w:top w:val="none" w:sz="0" w:space="0" w:color="auto"/>
            <w:left w:val="none" w:sz="0" w:space="0" w:color="auto"/>
            <w:bottom w:val="none" w:sz="0" w:space="0" w:color="auto"/>
            <w:right w:val="none" w:sz="0" w:space="0" w:color="auto"/>
          </w:divBdr>
          <w:divsChild>
            <w:div w:id="1770850855">
              <w:marLeft w:val="0"/>
              <w:marRight w:val="0"/>
              <w:marTop w:val="0"/>
              <w:marBottom w:val="0"/>
              <w:divBdr>
                <w:top w:val="none" w:sz="0" w:space="0" w:color="auto"/>
                <w:left w:val="none" w:sz="0" w:space="0" w:color="auto"/>
                <w:bottom w:val="none" w:sz="0" w:space="0" w:color="auto"/>
                <w:right w:val="none" w:sz="0" w:space="0" w:color="auto"/>
              </w:divBdr>
              <w:divsChild>
                <w:div w:id="1020157878">
                  <w:marLeft w:val="0"/>
                  <w:marRight w:val="0"/>
                  <w:marTop w:val="0"/>
                  <w:marBottom w:val="0"/>
                  <w:divBdr>
                    <w:top w:val="none" w:sz="0" w:space="0" w:color="auto"/>
                    <w:left w:val="none" w:sz="0" w:space="0" w:color="auto"/>
                    <w:bottom w:val="none" w:sz="0" w:space="0" w:color="auto"/>
                    <w:right w:val="none" w:sz="0" w:space="0" w:color="auto"/>
                  </w:divBdr>
                  <w:divsChild>
                    <w:div w:id="332532862">
                      <w:marLeft w:val="0"/>
                      <w:marRight w:val="0"/>
                      <w:marTop w:val="0"/>
                      <w:marBottom w:val="0"/>
                      <w:divBdr>
                        <w:top w:val="none" w:sz="0" w:space="0" w:color="auto"/>
                        <w:left w:val="none" w:sz="0" w:space="0" w:color="auto"/>
                        <w:bottom w:val="none" w:sz="0" w:space="0" w:color="auto"/>
                        <w:right w:val="none" w:sz="0" w:space="0" w:color="auto"/>
                      </w:divBdr>
                      <w:divsChild>
                        <w:div w:id="1245920227">
                          <w:marLeft w:val="0"/>
                          <w:marRight w:val="0"/>
                          <w:marTop w:val="0"/>
                          <w:marBottom w:val="0"/>
                          <w:divBdr>
                            <w:top w:val="none" w:sz="0" w:space="0" w:color="auto"/>
                            <w:left w:val="none" w:sz="0" w:space="0" w:color="auto"/>
                            <w:bottom w:val="none" w:sz="0" w:space="0" w:color="auto"/>
                            <w:right w:val="none" w:sz="0" w:space="0" w:color="auto"/>
                          </w:divBdr>
                          <w:divsChild>
                            <w:div w:id="796219880">
                              <w:marLeft w:val="0"/>
                              <w:marRight w:val="0"/>
                              <w:marTop w:val="0"/>
                              <w:marBottom w:val="0"/>
                              <w:divBdr>
                                <w:top w:val="none" w:sz="0" w:space="0" w:color="auto"/>
                                <w:left w:val="none" w:sz="0" w:space="0" w:color="auto"/>
                                <w:bottom w:val="none" w:sz="0" w:space="0" w:color="auto"/>
                                <w:right w:val="none" w:sz="0" w:space="0" w:color="auto"/>
                              </w:divBdr>
                              <w:divsChild>
                                <w:div w:id="178010190">
                                  <w:marLeft w:val="0"/>
                                  <w:marRight w:val="0"/>
                                  <w:marTop w:val="0"/>
                                  <w:marBottom w:val="150"/>
                                  <w:divBdr>
                                    <w:top w:val="single" w:sz="36" w:space="15" w:color="024D67"/>
                                    <w:left w:val="single" w:sz="6" w:space="23" w:color="C4C4C4"/>
                                    <w:bottom w:val="single" w:sz="6" w:space="15" w:color="C4C4C4"/>
                                    <w:right w:val="single" w:sz="6" w:space="23" w:color="C4C4C4"/>
                                  </w:divBdr>
                                </w:div>
                              </w:divsChild>
                            </w:div>
                          </w:divsChild>
                        </w:div>
                      </w:divsChild>
                    </w:div>
                  </w:divsChild>
                </w:div>
              </w:divsChild>
            </w:div>
          </w:divsChild>
        </w:div>
      </w:divsChild>
    </w:div>
    <w:div w:id="109355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73</Words>
  <Characters>417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2015-12-20T04:28:00Z</dcterms:created>
  <dcterms:modified xsi:type="dcterms:W3CDTF">2015-12-20T05:56:00Z</dcterms:modified>
</cp:coreProperties>
</file>