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BC" w:rsidRDefault="00D526ED" w:rsidP="00D526ED">
      <w:r>
        <w:rPr>
          <w:noProof/>
        </w:rPr>
        <w:drawing>
          <wp:inline distT="0" distB="0" distL="0" distR="0" wp14:anchorId="643DA376" wp14:editId="4DDCF74C">
            <wp:extent cx="5943600" cy="42085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364" cy="42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ED" w:rsidRDefault="00D526ED" w:rsidP="00D526ED">
      <w:pPr>
        <w:rPr>
          <w:b/>
          <w:caps/>
        </w:rPr>
      </w:pPr>
      <w:r w:rsidRPr="00D526ED">
        <w:rPr>
          <w:b/>
          <w:caps/>
        </w:rPr>
        <w:t xml:space="preserve">Lưu đồ thuật toán </w:t>
      </w:r>
    </w:p>
    <w:p w:rsidR="00546273" w:rsidRDefault="00546273" w:rsidP="00D526ED">
      <w:pPr>
        <w:rPr>
          <w:b/>
          <w:caps/>
        </w:rPr>
      </w:pPr>
    </w:p>
    <w:p w:rsidR="00546273" w:rsidRDefault="00546273" w:rsidP="00D526ED">
      <w:pPr>
        <w:rPr>
          <w:b/>
          <w:caps/>
        </w:rPr>
      </w:pPr>
    </w:p>
    <w:p w:rsidR="00546273" w:rsidRDefault="00546273" w:rsidP="00D526ED">
      <w:pPr>
        <w:rPr>
          <w:b/>
          <w:caps/>
        </w:rPr>
      </w:pPr>
      <w:r>
        <w:rPr>
          <w:b/>
          <w:caps/>
        </w:rPr>
        <w:t>Tính toán sơ đồ nguyên lý hệ thống:</w:t>
      </w:r>
    </w:p>
    <w:p w:rsidR="00546273" w:rsidRDefault="005A483F" w:rsidP="008B6285">
      <w:pPr>
        <w:jc w:val="right"/>
        <w:rPr>
          <w:b/>
          <w:caps/>
        </w:rPr>
      </w:pPr>
      <w:r>
        <w:rPr>
          <w:noProof/>
        </w:rPr>
        <w:lastRenderedPageBreak/>
        <w:drawing>
          <wp:inline distT="0" distB="0" distL="0" distR="0" wp14:anchorId="71BB0D5C" wp14:editId="0DD4CE63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85" w:rsidRPr="008B6285" w:rsidRDefault="008B6285" w:rsidP="008B6285">
      <w:pPr>
        <w:rPr>
          <w:rFonts w:ascii="Times New Roman" w:hAnsi="Times New Roman" w:cs="Times New Roman"/>
          <w:sz w:val="28"/>
          <w:szCs w:val="28"/>
        </w:rPr>
      </w:pPr>
      <w:r w:rsidRPr="008B6285">
        <w:rPr>
          <w:rFonts w:ascii="Times New Roman" w:hAnsi="Times New Roman" w:cs="Times New Roman"/>
          <w:sz w:val="28"/>
          <w:szCs w:val="28"/>
        </w:rPr>
        <w:t>Ta có tín hiệu</w:t>
      </w:r>
      <w:r w:rsidR="005A483F">
        <w:rPr>
          <w:rFonts w:ascii="Times New Roman" w:hAnsi="Times New Roman" w:cs="Times New Roman"/>
          <w:sz w:val="28"/>
          <w:szCs w:val="28"/>
        </w:rPr>
        <w:t xml:space="preserve"> </w:t>
      </w:r>
      <w:r w:rsidRPr="008B6285">
        <w:rPr>
          <w:rFonts w:ascii="Times New Roman" w:hAnsi="Times New Roman" w:cs="Times New Roman"/>
          <w:sz w:val="28"/>
          <w:szCs w:val="28"/>
        </w:rPr>
        <w:t>kích từ vi đièu khiển là 5V nên ta chọn Rơ le 5V Songle để điều khiển tải. Theo datasheet c</w:t>
      </w:r>
      <w:r w:rsidR="005A483F">
        <w:rPr>
          <w:rFonts w:ascii="Times New Roman" w:hAnsi="Times New Roman" w:cs="Times New Roman"/>
          <w:sz w:val="28"/>
          <w:szCs w:val="28"/>
        </w:rPr>
        <w:t>ủa</w:t>
      </w:r>
      <w:r w:rsidRPr="008B6285">
        <w:rPr>
          <w:rFonts w:ascii="Times New Roman" w:hAnsi="Times New Roman" w:cs="Times New Roman"/>
          <w:sz w:val="28"/>
          <w:szCs w:val="28"/>
        </w:rPr>
        <w:t xml:space="preserve"> Relay ta có dòng hoạt động của cuộn dây khi rơ le được kích là </w:t>
      </w:r>
      <w:r w:rsidR="005A483F">
        <w:rPr>
          <w:rFonts w:ascii="Times New Roman" w:hAnsi="Times New Roman" w:cs="Times New Roman"/>
          <w:sz w:val="28"/>
          <w:szCs w:val="28"/>
        </w:rPr>
        <w:t xml:space="preserve">I rl= </w:t>
      </w:r>
      <w:r w:rsidRPr="008B6285">
        <w:rPr>
          <w:rFonts w:ascii="Times New Roman" w:hAnsi="Times New Roman" w:cs="Times New Roman"/>
          <w:sz w:val="28"/>
          <w:szCs w:val="28"/>
        </w:rPr>
        <w:t>71.4mA.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cesat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=0.2VDC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 . Điện áp ngược đặt lên Diode khi BJT dẫn bão hòa là :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cesat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=5-0.2≈5VDC</m:t>
          </m:r>
        </m:oMath>
      </m:oMathPara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Dòng xả qua Diode: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=71.4mA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Ta chọn Diode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≥2~3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 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≥2~3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rl</m:t>
            </m:r>
          </m:sub>
        </m:sSub>
      </m:oMath>
    </w:p>
    <w:p w:rsid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>Vậy ta chọn Diode D1: 1N4</w:t>
      </w:r>
      <w:r w:rsidR="005A483F">
        <w:rPr>
          <w:rFonts w:ascii="Times New Roman" w:eastAsiaTheme="minorEastAsia" w:hAnsi="Times New Roman" w:cs="Times New Roman"/>
          <w:sz w:val="28"/>
          <w:szCs w:val="28"/>
        </w:rPr>
        <w:t>007</w:t>
      </w:r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83F" w:rsidRDefault="005A483F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chọn dòng I1= 10mA từ nguồn qua R4 và qua LED.</w:t>
      </w:r>
    </w:p>
    <w:p w:rsidR="00B1301F" w:rsidRPr="00B1301F" w:rsidRDefault="00B1301F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6285" w:rsidRPr="00B1301F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Khi BJT dẫn bão hòa: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71.4mA;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cesat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=0.2VDC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Công suất tiêu tán trên </w:t>
      </w:r>
      <w:r w:rsidRPr="008B6285">
        <w:rPr>
          <w:rFonts w:ascii="Times New Roman" w:hAnsi="Times New Roman" w:cs="Times New Roman"/>
          <w:sz w:val="28"/>
          <w:szCs w:val="28"/>
        </w:rPr>
        <w:t xml:space="preserve">Q1: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cesat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=71.4×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×0.2 =0.014W. </m:t>
        </m:r>
      </m:oMath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Khi BJT tắt: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 5VDC.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Ta chọn BJT sao cho: 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=10V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=140mA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=0.028W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>Ta chọn BJT là : NPN BC547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70"/>
        <w:gridCol w:w="1546"/>
        <w:gridCol w:w="1661"/>
        <w:gridCol w:w="1451"/>
        <w:gridCol w:w="1564"/>
      </w:tblGrid>
      <w:tr w:rsidR="008B6285" w:rsidRPr="008B6285" w:rsidTr="00937623">
        <w:tc>
          <w:tcPr>
            <w:tcW w:w="1558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cmax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cmax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ce0</m:t>
                    </m:r>
                  </m:sub>
                </m:sSub>
              </m:oMath>
            </m:oMathPara>
          </w:p>
        </w:tc>
        <w:tc>
          <w:tcPr>
            <w:tcW w:w="1661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f</w:t>
            </w:r>
          </w:p>
        </w:tc>
        <w:tc>
          <w:tcPr>
            <w:tcW w:w="1451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1564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T</w:t>
            </w:r>
          </w:p>
        </w:tc>
      </w:tr>
      <w:tr w:rsidR="008B6285" w:rsidRPr="008B6285" w:rsidTr="00937623">
        <w:tc>
          <w:tcPr>
            <w:tcW w:w="1558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1.5W</w:t>
            </w:r>
          </w:p>
        </w:tc>
        <w:tc>
          <w:tcPr>
            <w:tcW w:w="1570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100mA</w:t>
            </w:r>
          </w:p>
        </w:tc>
        <w:tc>
          <w:tcPr>
            <w:tcW w:w="1546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45V</w:t>
            </w:r>
          </w:p>
        </w:tc>
        <w:tc>
          <w:tcPr>
            <w:tcW w:w="1661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150-300Hz</w:t>
            </w:r>
          </w:p>
        </w:tc>
        <w:tc>
          <w:tcPr>
            <w:tcW w:w="1451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110-800</w:t>
            </w:r>
          </w:p>
        </w:tc>
        <w:tc>
          <w:tcPr>
            <w:tcW w:w="1564" w:type="dxa"/>
          </w:tcPr>
          <w:p w:rsidR="008B6285" w:rsidRPr="008B6285" w:rsidRDefault="008B6285" w:rsidP="00937623">
            <w:pPr>
              <w:spacing w:before="100" w:beforeAutospacing="1" w:after="100" w:afterAutospacing="1" w:line="312" w:lineRule="auto"/>
              <w:jc w:val="center"/>
              <w:rPr>
                <w:sz w:val="28"/>
                <w:szCs w:val="28"/>
              </w:rPr>
            </w:pPr>
            <w:r w:rsidRPr="008B6285">
              <w:rPr>
                <w:sz w:val="28"/>
                <w:szCs w:val="28"/>
              </w:rPr>
              <w:t>55-150</w:t>
            </w:r>
            <w:r w:rsidRPr="008B6285">
              <w:rPr>
                <w:color w:val="202122"/>
                <w:sz w:val="28"/>
                <w:szCs w:val="28"/>
                <w:shd w:val="clear" w:color="auto" w:fill="FFFFFF"/>
              </w:rPr>
              <w:t>°</w:t>
            </w:r>
            <w:r w:rsidRPr="008B6285">
              <w:rPr>
                <w:sz w:val="28"/>
                <w:szCs w:val="28"/>
              </w:rPr>
              <w:t>C</w:t>
            </w:r>
          </w:p>
        </w:tc>
      </w:tr>
    </w:tbl>
    <w:p w:rsidR="008B6285" w:rsidRPr="008B6285" w:rsidRDefault="008B6285" w:rsidP="008B6285">
      <w:pPr>
        <w:tabs>
          <w:tab w:val="left" w:pos="3704"/>
        </w:tabs>
        <w:spacing w:line="312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B6285">
        <w:rPr>
          <w:rFonts w:ascii="Times New Roman" w:eastAsiaTheme="minorEastAsia" w:hAnsi="Times New Roman" w:cs="Times New Roman"/>
          <w:sz w:val="28"/>
          <w:szCs w:val="28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Bthres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71.4×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=6.49×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8B6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6285" w:rsidRPr="008B6285" w:rsidRDefault="008B6285" w:rsidP="008B6285">
      <w:pPr>
        <w:shd w:val="clear" w:color="auto" w:fill="FFFFFF"/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8B6285">
        <w:rPr>
          <w:rFonts w:ascii="Times New Roman" w:hAnsi="Times New Roman" w:cs="Times New Roman"/>
          <w:sz w:val="28"/>
          <w:szCs w:val="28"/>
        </w:rPr>
        <w:t>Chọn I</w:t>
      </w:r>
      <w:r w:rsidRPr="008B6285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8B6285">
        <w:rPr>
          <w:rFonts w:ascii="Times New Roman" w:hAnsi="Times New Roman" w:cs="Times New Roman"/>
          <w:sz w:val="28"/>
          <w:szCs w:val="28"/>
        </w:rPr>
        <w:t xml:space="preserve"> = 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Bthres</m:t>
            </m:r>
          </m:sub>
        </m:sSub>
      </m:oMath>
      <w:r w:rsidRPr="008B6285">
        <w:rPr>
          <w:rFonts w:ascii="Times New Roman" w:hAnsi="Times New Roman" w:cs="Times New Roman"/>
          <w:sz w:val="28"/>
          <w:szCs w:val="28"/>
        </w:rPr>
        <w:t xml:space="preserve"> = 1.3 mA. </w:t>
      </w:r>
    </w:p>
    <w:p w:rsidR="008B6285" w:rsidRPr="008B6285" w:rsidRDefault="008B6285" w:rsidP="008B62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6285" w:rsidRPr="008B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ED"/>
    <w:rsid w:val="00546273"/>
    <w:rsid w:val="005A483F"/>
    <w:rsid w:val="008B6285"/>
    <w:rsid w:val="00B1301F"/>
    <w:rsid w:val="00B9442F"/>
    <w:rsid w:val="00D526ED"/>
    <w:rsid w:val="00F31FED"/>
    <w:rsid w:val="00FA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B72"/>
  <w15:chartTrackingRefBased/>
  <w15:docId w15:val="{943C7F69-802D-4D1C-9EEC-356A9851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2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4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2021-04-16T08:49:00Z</dcterms:created>
  <dcterms:modified xsi:type="dcterms:W3CDTF">2021-04-18T16:09:00Z</dcterms:modified>
</cp:coreProperties>
</file>