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Đào Văn Tâm (B25CHHT112) · Nhóm 8 · Tìm kiếm và Truy xuất thông tin · Đề tài LinCIR</w:t>
      </w:r>
    </w:p>
    <w:p>
      <w:pPr>
        <w:pStyle w:val="Heading1"/>
      </w:pPr>
      <w:r>
        <w:t>1. Vai trò của bạn</w:t>
      </w:r>
    </w:p>
    <w:p>
      <w:r>
        <w:t>Chuyển đổi mã nguồn LinCIR sang môi trường mới, kiểm chứng tương đương với mô hình gốc; vận hành thực nghiệm trên Kaggle: lập lịch chạy song song trong hạn mức GPU, khắc phục nghẽn nạp dữ liệu.</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w:t>
            </w:r>
          </w:p>
        </w:tc>
        <w:tc>
          <w:tcPr>
            <w:tcW w:type="dxa" w:w="6236"/>
          </w:tcPr>
          <w:p>
            <w:pPr>
              <w:spacing w:after="20" w:line="264" w:lineRule="auto"/>
            </w:pPr>
            <w:r/>
            <w:r>
              <w:rPr>
                <w:sz w:val="22"/>
              </w:rPr>
              <w:t>Bìa, giới thiệu nhóm</w:t>
            </w:r>
          </w:p>
        </w:tc>
        <w:tc>
          <w:tcPr>
            <w:tcW w:type="dxa" w:w="1361"/>
          </w:tcPr>
          <w:p>
            <w:pPr>
              <w:spacing w:after="20" w:line="264" w:lineRule="auto"/>
            </w:pPr>
            <w:r/>
            <w:r>
              <w:rPr>
                <w:sz w:val="22"/>
              </w:rPr>
              <w:t>0:20</w:t>
            </w:r>
          </w:p>
        </w:tc>
      </w:tr>
      <w:tr>
        <w:tc>
          <w:tcPr>
            <w:tcW w:type="dxa" w:w="907"/>
          </w:tcPr>
          <w:p>
            <w:pPr>
              <w:spacing w:after="20" w:line="264" w:lineRule="auto"/>
            </w:pPr>
            <w:r/>
            <w:r>
              <w:rPr>
                <w:sz w:val="22"/>
              </w:rPr>
              <w:t>2</w:t>
            </w:r>
          </w:p>
        </w:tc>
        <w:tc>
          <w:tcPr>
            <w:tcW w:type="dxa" w:w="6236"/>
          </w:tcPr>
          <w:p>
            <w:pPr>
              <w:spacing w:after="20" w:line="264" w:lineRule="auto"/>
            </w:pPr>
            <w:r/>
            <w:r>
              <w:rPr>
                <w:sz w:val="22"/>
              </w:rPr>
              <w:t>Tóm tắt bài báo, lộ trình, kết luận chính</w:t>
            </w:r>
          </w:p>
        </w:tc>
        <w:tc>
          <w:tcPr>
            <w:tcW w:type="dxa" w:w="1361"/>
          </w:tcPr>
          <w:p>
            <w:pPr>
              <w:spacing w:after="20" w:line="264" w:lineRule="auto"/>
            </w:pPr>
            <w:r/>
            <w:r>
              <w:rPr>
                <w:sz w:val="22"/>
              </w:rPr>
              <w:t>1:15</w:t>
            </w:r>
          </w:p>
        </w:tc>
      </w:tr>
      <w:tr>
        <w:tc>
          <w:tcPr>
            <w:tcW w:type="dxa" w:w="907"/>
          </w:tcPr>
          <w:p>
            <w:pPr>
              <w:spacing w:after="20" w:line="264" w:lineRule="auto"/>
            </w:pPr>
            <w:r/>
            <w:r>
              <w:rPr>
                <w:sz w:val="22"/>
              </w:rPr>
              <w:t>9</w:t>
            </w:r>
          </w:p>
        </w:tc>
        <w:tc>
          <w:tcPr>
            <w:tcW w:type="dxa" w:w="6236"/>
          </w:tcPr>
          <w:p>
            <w:pPr>
              <w:spacing w:after="20" w:line="264" w:lineRule="auto"/>
            </w:pPr>
            <w:r/>
            <w:r>
              <w:rPr>
                <w:sz w:val="22"/>
              </w:rPr>
              <w:t>Dựng mã nguồn</w:t>
            </w:r>
          </w:p>
        </w:tc>
        <w:tc>
          <w:tcPr>
            <w:tcW w:type="dxa" w:w="1361"/>
          </w:tcPr>
          <w:p>
            <w:pPr>
              <w:spacing w:after="20" w:line="264" w:lineRule="auto"/>
            </w:pPr>
            <w:r/>
            <w:r>
              <w:rPr>
                <w:sz w:val="22"/>
              </w:rPr>
              <w:t>1:00</w:t>
            </w:r>
          </w:p>
        </w:tc>
      </w:tr>
      <w:tr>
        <w:tc>
          <w:tcPr>
            <w:tcW w:type="dxa" w:w="907"/>
          </w:tcPr>
          <w:p>
            <w:pPr>
              <w:spacing w:after="20" w:line="264" w:lineRule="auto"/>
            </w:pPr>
            <w:r/>
            <w:r>
              <w:rPr>
                <w:sz w:val="22"/>
              </w:rPr>
              <w:t>10</w:t>
            </w:r>
          </w:p>
        </w:tc>
        <w:tc>
          <w:tcPr>
            <w:tcW w:type="dxa" w:w="6236"/>
          </w:tcPr>
          <w:p>
            <w:pPr>
              <w:spacing w:after="20" w:line="264" w:lineRule="auto"/>
            </w:pPr>
            <w:r/>
            <w:r>
              <w:rPr>
                <w:sz w:val="22"/>
              </w:rPr>
              <w:t>Thiết lập thực nghiệm</w:t>
            </w:r>
          </w:p>
        </w:tc>
        <w:tc>
          <w:tcPr>
            <w:tcW w:type="dxa" w:w="1361"/>
          </w:tcPr>
          <w:p>
            <w:pPr>
              <w:spacing w:after="20" w:line="264" w:lineRule="auto"/>
            </w:pPr>
            <w:r/>
            <w:r>
              <w:rPr>
                <w:sz w:val="22"/>
              </w:rPr>
              <w:t>0:45</w:t>
            </w:r>
          </w:p>
        </w:tc>
      </w:tr>
      <w:tr>
        <w:tc>
          <w:tcPr>
            <w:tcW w:type="dxa" w:w="907"/>
          </w:tcPr>
          <w:p>
            <w:pPr>
              <w:spacing w:after="20" w:line="264" w:lineRule="auto"/>
            </w:pPr>
            <w:r/>
            <w:r>
              <w:rPr>
                <w:sz w:val="22"/>
              </w:rPr>
              <w:t>15</w:t>
            </w:r>
          </w:p>
        </w:tc>
        <w:tc>
          <w:tcPr>
            <w:tcW w:type="dxa" w:w="6236"/>
          </w:tcPr>
          <w:p>
            <w:pPr>
              <w:spacing w:after="20" w:line="264" w:lineRule="auto"/>
            </w:pPr>
            <w:r/>
            <w:r>
              <w:rPr>
                <w:sz w:val="22"/>
              </w:rPr>
              <w:t>Điều phối hỏi đáp</w:t>
            </w:r>
          </w:p>
        </w:tc>
        <w:tc>
          <w:tcPr>
            <w:tcW w:type="dxa" w:w="1361"/>
          </w:tcPr>
          <w:p>
            <w:pPr>
              <w:spacing w:after="20" w:line="264" w:lineRule="auto"/>
            </w:pPr>
            <w:r/>
            <w:r>
              <w:rPr>
                <w:sz w:val="22"/>
              </w:rPr>
              <w:t>—</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12)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w:t>
            </w:r>
          </w:p>
        </w:tc>
        <w:tc>
          <w:tcPr>
            <w:tcW w:type="dxa" w:w="5102"/>
          </w:tcPr>
          <w:p>
            <w:pPr>
              <w:spacing w:after="20" w:line="264" w:lineRule="auto"/>
            </w:pPr>
            <w:r/>
            <w:r>
              <w:rPr>
                <w:sz w:val="22"/>
              </w:rPr>
              <w:t>Giới thiệu đề tài, giảng viên và 5 thành viên. Đề tài: tái hiện và cải tiến phương pháp LinCIR, chứng minh cải tiến bằng kiểm định thống kê.</w:t>
            </w:r>
          </w:p>
        </w:tc>
        <w:tc>
          <w:tcPr>
            <w:tcW w:type="dxa" w:w="2721"/>
          </w:tcPr>
          <w:p>
            <w:pPr>
              <w:spacing w:after="20" w:line="264" w:lineRule="auto"/>
            </w:pPr>
            <w:r/>
            <w:r>
              <w:rPr>
                <w:sz w:val="22"/>
              </w:rPr>
              <w:t>—</w:t>
            </w:r>
          </w:p>
        </w:tc>
      </w:tr>
      <w:tr>
        <w:tc>
          <w:tcPr>
            <w:tcW w:type="dxa" w:w="680"/>
          </w:tcPr>
          <w:p>
            <w:pPr>
              <w:spacing w:after="20" w:line="264" w:lineRule="auto"/>
            </w:pPr>
            <w:r/>
            <w:r>
              <w:rPr>
                <w:sz w:val="22"/>
              </w:rPr>
              <w:t>2</w:t>
            </w:r>
          </w:p>
        </w:tc>
        <w:tc>
          <w:tcPr>
            <w:tcW w:type="dxa" w:w="5102"/>
          </w:tcPr>
          <w:p>
            <w:pPr>
              <w:spacing w:after="20" w:line="264" w:lineRule="auto"/>
            </w:pPr>
            <w:r/>
            <w:r>
              <w:rPr>
                <w:sz w:val="22"/>
              </w:rPr>
              <w:t>Bài báo LinCIR (NAVER, CVPR 2024): bộ ba CIR gán nhãn tay đắt và nhỏ; Pic2Word, SEARLE cần ảnh khi huấn luyện và chỉ học câu mẫu cố định. LinCIR học mạng chiếu φ chỉ từ văn bản bằng Self-Masking Projection, thêm nhiễu để φ dùng được cho vector ảnh; tốt nhất trên 4 benchmark, huấn luyện nhanh hơn. Mã công khai nên nhóm dựng lại mã, tái hiện, chạy baseline, A, B, A+B trên Kaggle, kiểm định và phân tích. Nêu trước kết luận: B tốt hơn có ý nghĩa thống kê, A làm giảm hiệu năng.</w:t>
            </w:r>
          </w:p>
        </w:tc>
        <w:tc>
          <w:tcPr>
            <w:tcW w:type="dxa" w:w="2721"/>
          </w:tcPr>
          <w:p>
            <w:pPr>
              <w:spacing w:after="20" w:line="264" w:lineRule="auto"/>
            </w:pPr>
            <w:r/>
            <w:r>
              <w:rPr>
                <w:sz w:val="22"/>
              </w:rPr>
              <w:t>Nhanh hơn Pic2Word 6 lần, SEARLE 8,4 lần; kết quả nhóm: B tăng FashionIQ R@10 từ 25,90 lên 26,50, p = 0,006</w:t>
            </w:r>
          </w:p>
        </w:tc>
      </w:tr>
      <w:tr>
        <w:tc>
          <w:tcPr>
            <w:tcW w:type="dxa" w:w="680"/>
          </w:tcPr>
          <w:p>
            <w:pPr>
              <w:spacing w:after="20" w:line="264" w:lineRule="auto"/>
            </w:pPr>
            <w:r/>
            <w:r>
              <w:rPr>
                <w:sz w:val="22"/>
              </w:rPr>
              <w:t>9</w:t>
            </w:r>
          </w:p>
        </w:tc>
        <w:tc>
          <w:tcPr>
            <w:tcW w:type="dxa" w:w="5102"/>
          </w:tcPr>
          <w:p>
            <w:pPr>
              <w:spacing w:after="20" w:line="264" w:lineRule="auto"/>
            </w:pPr>
            <w:r/>
            <w:r>
              <w:rPr>
                <w:sz w:val="22"/>
              </w:rPr>
              <w:t>Mã nguồn gốc không chạy với thư viện hiện tại. Nhóm viết lại phần mã hóa văn bản, sửa 4 lỗi và kiểm chứng kết quả trùng khớp với mô hình gốc.</w:t>
            </w:r>
          </w:p>
        </w:tc>
        <w:tc>
          <w:tcPr>
            <w:tcW w:type="dxa" w:w="2721"/>
          </w:tcPr>
          <w:p>
            <w:pPr>
              <w:spacing w:after="20" w:line="264" w:lineRule="auto"/>
            </w:pPr>
            <w:r/>
            <w:r>
              <w:rPr>
                <w:sz w:val="22"/>
              </w:rPr>
              <w:t>Sai lệch 0,00 so với CLIP gốc</w:t>
            </w:r>
          </w:p>
        </w:tc>
      </w:tr>
      <w:tr>
        <w:tc>
          <w:tcPr>
            <w:tcW w:type="dxa" w:w="680"/>
          </w:tcPr>
          <w:p>
            <w:pPr>
              <w:spacing w:after="20" w:line="264" w:lineRule="auto"/>
            </w:pPr>
            <w:r/>
            <w:r>
              <w:rPr>
                <w:sz w:val="22"/>
              </w:rPr>
              <w:t>10</w:t>
            </w:r>
          </w:p>
        </w:tc>
        <w:tc>
          <w:tcPr>
            <w:tcW w:type="dxa" w:w="5102"/>
          </w:tcPr>
          <w:p>
            <w:pPr>
              <w:spacing w:after="20" w:line="264" w:lineRule="auto"/>
            </w:pPr>
            <w:r/>
            <w:r>
              <w:rPr>
                <w:sz w:val="22"/>
              </w:rPr>
              <w:t>Mọi biến thể dùng cùng dữ liệu, cùng 5.000 bước, cùng siêu tham số và chạy 3 seed; chỉ khác đúng thành phần cải tiến. Nhóm khắc phục nghẽn nạp dữ liệu để kịp chạy trong hạn mức GPU.</w:t>
            </w:r>
          </w:p>
        </w:tc>
        <w:tc>
          <w:tcPr>
            <w:tcW w:type="dxa" w:w="2721"/>
          </w:tcPr>
          <w:p>
            <w:pPr>
              <w:spacing w:after="20" w:line="264" w:lineRule="auto"/>
            </w:pPr>
            <w:r/>
            <w:r>
              <w:rPr>
                <w:sz w:val="22"/>
              </w:rPr>
              <w:t>Tốc độ tăng 3,1 lần: 2,0 giờ mỗi lần chạy thay vì 6,2 giờ</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Bộ mã hóa văn bản của CLIP</w:t>
      </w:r>
    </w:p>
    <w:p>
      <w:pPr>
        <w:pStyle w:val="ListBullet"/>
      </w:pPr>
      <w:r>
        <w:t xml:space="preserve">Câu → tokenizer BPE → chuỗi mã token (tối đa 77, bắt đầu 49406, kết thúc EOS 49407) → lớp nhúng token + nhúng vị trí → 12 khối Transformer có </w:t>
      </w:r>
      <w:r>
        <w:rPr>
          <w:b/>
        </w:rPr>
        <w:t>mặt nạ nhân quả</w:t>
      </w:r>
      <w:r>
        <w:t xml:space="preserve"> (mỗi token chỉ nhìn các token phía trước) → LayerNorm cuối → lấy vector tại vị trí EOS → phép chiếu tuyến tính → vector văn bản z_c (768 chiều với ViT-L).</w:t>
      </w:r>
    </w:p>
    <w:p>
      <w:pPr>
        <w:pStyle w:val="ListBullet"/>
      </w:pPr>
      <w:r>
        <w:t>Vị trí EOS được tìm bằng argmax của mã token vì 49407 là mã lớn nhất trong câu. Do mặt nạ nhân quả, các token đệm phía sau EOS không ảnh hưởng tới kết quả.</w:t>
      </w:r>
    </w:p>
    <w:p>
      <w:pPr>
        <w:pStyle w:val="ListBullet"/>
      </w:pPr>
      <w:r>
        <w:t>LinCIR chèn token giả bằng cách: ở mọi vị trí có mã 259 (ký tự “$”), thay vector nhúng token bằng ê = φ(·) trước khi đi qua các khối Transformer.</w:t>
      </w:r>
    </w:p>
    <w:p>
      <w:pPr>
        <w:pStyle w:val="Heading2"/>
      </w:pPr>
      <w:r>
        <w:t>Vì sao phải viết lại</w:t>
      </w:r>
    </w:p>
    <w:p>
      <w:pPr>
        <w:pStyle w:val="ListBullet"/>
      </w:pPr>
      <w:r>
        <w:t>Mã gốc gọi hàm nội bộ text_model.encoder(..., causal_attention_mask=...) của transformers 4.34; ở transformers 5.x tham số này không còn. Nhóm viết lại lượt truyền xuôi từ các mô-đun con có tên ổn định qua các phiên bản: layer_norm1, q/k/v/out_proj, layer_norm2, mlp, với scaled_dot_product_attention(is_causal=True).</w:t>
      </w:r>
    </w:p>
    <w:p>
      <w:pPr>
        <w:pStyle w:val="ListBullet"/>
      </w:pPr>
      <w:r>
        <w:t>Gói clip của OpenAI (chỉ dùng clip.tokenize) khó cài trên Python ≥ 3.13 → thay bằng tokenizer CLIP của HuggingFace (cùng bảng từ vựng BPE, “$” vẫn là mã 259).</w:t>
      </w:r>
    </w:p>
    <w:p>
      <w:pPr>
        <w:pStyle w:val="Heading2"/>
      </w:pPr>
      <w:r>
        <w:t>Kiểm chứng tương đương (cách chứng minh “đúng”)</w:t>
      </w:r>
    </w:p>
    <w:p>
      <w:pPr>
        <w:pStyle w:val="ListBullet"/>
      </w:pPr>
      <w:r>
        <w:t xml:space="preserve">So vector của encoder viết lại với CLIPTextModelWithProjection gốc trên cùng câu (không có token giả): sai lệch tuyệt đối lớn nhất </w:t>
      </w:r>
      <w:r>
        <w:rPr>
          <w:b/>
        </w:rPr>
        <w:t>0,00</w:t>
      </w:r>
      <w:r>
        <w:t xml:space="preserve"> trên ViT-B/32 (Mac) và ViT-L/14 (GPU Kaggle) — scripts/check_encoder_equivalence.py.</w:t>
      </w:r>
    </w:p>
    <w:p>
      <w:pPr>
        <w:pStyle w:val="ListBullet"/>
      </w:pPr>
      <w:r>
        <w:t>Token “$” = 259 ở cả tokenizer đánh giá và tokenizer huấn luyện (“[$]” thêm vào tokenizer SDXL có mã 49408, được đổi thành 259).</w:t>
      </w:r>
    </w:p>
    <w:p>
      <w:pPr>
        <w:pStyle w:val="ListBullet"/>
      </w:pPr>
      <w:r>
        <w:t>Checkpoint chính thức nạp khớp hoàn toàn (strict) và tái hiện FashionIQ lệch ≤ 0,77 điểm so với bài báo; chạy đánh giá hai lần cho thứ hạng từng truy vấn giống hệt.</w:t>
      </w:r>
    </w:p>
    <w:p>
      <w:pPr>
        <w:pStyle w:val="ListBullet"/>
      </w:pPr>
      <w:r>
        <w:t>Các lỗi đã sửa trong mã gốc: gõ nhầm arg → args khi cắt gradient; truyền biến chưa định nghĩa khi đánh giá CIRCO; ép .half() gây lỗi trên CPU/MPS; ghi tham số list/None vào TensorBoard làm crash trên Kaggle.</w:t>
      </w:r>
    </w:p>
    <w:p>
      <w:pPr>
        <w:pStyle w:val="Heading2"/>
      </w:pPr>
      <w:r>
        <w:t>Vận hành trên Kaggle</w:t>
      </w:r>
    </w:p>
    <w:p>
      <w:pPr>
        <w:pStyle w:val="ListBullet"/>
      </w:pPr>
      <w:r>
        <w:t xml:space="preserve">Mỗi phiên tối đa 12 giờ, hạn mức 30 giờ GPU/tuần </w:t>
      </w:r>
      <w:r>
        <w:rPr>
          <w:b/>
        </w:rPr>
        <w:t>tính theo giờ phiên</w:t>
      </w:r>
      <w:r>
        <w:t xml:space="preserve"> (đã kiểm chứng: 2:25 → 8:43 sau phiên 6,3 giờ dù dùng 2 GPU).</w:t>
      </w:r>
    </w:p>
    <w:p>
      <w:pPr>
        <w:pStyle w:val="ListBullet"/>
      </w:pPr>
      <w:r>
        <w:t>Chạy 2 run song song, mỗi run 1 T4 với batch 512 (bộ nhớ đỉnh 11,4/15 GB). Không dùng 2 GPU cho 1 run vì khi đó InfoNCE chỉ thấy 256 mẫu âm mỗi GPU → khác cấu hình giữa các biến thể.</w:t>
      </w:r>
    </w:p>
    <w:p>
      <w:pPr>
        <w:pStyle w:val="ListBullet"/>
      </w:pPr>
      <w:r>
        <w:t xml:space="preserve">Bộ lập lịch tự </w:t>
      </w:r>
      <w:r>
        <w:rPr>
          <w:b/>
        </w:rPr>
        <w:t>ước lượng thời gian</w:t>
      </w:r>
      <w:r>
        <w:t xml:space="preserve"> run (học từ run đã xong) và không bắt đầu run mới nếu không kịp trước 11,3 giờ → không bao giờ bị Kaggle cắt giữa chừng và mất output. Mỗi phiên tự “mang theo” checkpoint, dữ liệu đánh giá của phiên trước (carry-forward).</w:t>
      </w:r>
    </w:p>
    <w:p>
      <w:pPr>
        <w:pStyle w:val="Heading2"/>
      </w:pPr>
      <w:r>
        <w:t>Khắc phục nghẽn nạp dữ liệu</w:t>
      </w:r>
    </w:p>
    <w:p>
      <w:pPr>
        <w:pStyle w:val="ListBullet"/>
      </w:pPr>
      <w:r>
        <w:t>Triệu chứng: chạy song song 4,5 giây/bước (dự kiến ~2,4) → 6,2 giờ/run. Đo trên caption thật: spaCy tốn 4,7 ms/câu, tokenizer 0,1 ms → GPU chờ CPU (Kaggle chỉ 4 vCPU cho 2 run).</w:t>
      </w:r>
    </w:p>
    <w:p>
      <w:pPr>
        <w:pStyle w:val="ListBullet"/>
      </w:pPr>
      <w:r>
        <w:t>Giải pháp: spaCy xử lý theo lô (nlp.pipe) và bỏ thành phần NER, lemmatizer (không ảnh hưởng nhãn từ loại) → 1,51 ms/câu (nhanh ×3,1).</w:t>
      </w:r>
    </w:p>
    <w:p>
      <w:pPr>
        <w:pStyle w:val="ListBullet"/>
      </w:pPr>
      <w:r>
        <w:t>Bằng chứng không đổi kết quả: từ khóa giống hệt trên 3.000 câu thật; DataLoader cùng seed cho các batch giống hệt từng token với mã cũ. Phương án bỏ cả parser bị loại vì làm khác kết quả ở 48/1.536 câu.</w:t>
      </w:r>
    </w:p>
    <w:p>
      <w:pPr>
        <w:pStyle w:val="ListBullet"/>
      </w:pPr>
      <w:r>
        <w:t xml:space="preserve">Tốc độ sau tối ưu: </w:t>
      </w:r>
      <w:r>
        <w:rPr>
          <w:b/>
        </w:rPr>
        <w:t>1,45 giây/bước khi 2 run song song</w:t>
      </w:r>
      <w:r>
        <w:t xml:space="preserve"> (2,0 giờ/run, trước đó 6,2 giờ) → 8 run trong một phiên thay vì 2.</w:t>
      </w:r>
    </w:p>
    <w:p>
      <w:pPr>
        <w:pStyle w:val="Heading2"/>
      </w:pPr>
      <w:r>
        <w:t>Tệp liên quan trong dự án</w:t>
      </w:r>
    </w:p>
    <w:p>
      <w:pPr>
        <w:pStyle w:val="ListBullet"/>
      </w:pPr>
      <w:r>
        <w:t>code/encode_with_pseudo_tokens.py, code/compat.py — encoder viết lại, tokenizer thay thế</w:t>
      </w:r>
    </w:p>
    <w:p>
      <w:pPr>
        <w:pStyle w:val="ListBullet"/>
      </w:pPr>
      <w:r>
        <w:t>scripts/check_encoder_equivalence.py — kiểm chứng sai lệch 0</w:t>
      </w:r>
    </w:p>
    <w:p>
      <w:pPr>
        <w:pStyle w:val="ListBullet"/>
      </w:pPr>
      <w:r>
        <w:t>code/loader.py (CaptionDataset.collate) — spaCy theo lô</w:t>
      </w:r>
    </w:p>
    <w:p>
      <w:pPr>
        <w:pStyle w:val="ListBullet"/>
      </w:pPr>
      <w:r>
        <w:t>scripts/run_experiment.py, scripts/kaggle_jobs.py, notebooks/kaggle_lincir.ipynb — chạy thí nghiệm, lập lịch, carry-forward</w:t>
      </w:r>
    </w:p>
    <w:p>
      <w:pPr>
        <w:pStyle w:val="ListBullet"/>
      </w:pPr>
      <w:r>
        <w:t>docs/decisions.md — lý do của từng quyết định</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w:t>
            </w:r>
          </w:p>
        </w:tc>
        <w:tc>
          <w:tcPr>
            <w:tcW w:type="dxa" w:w="7597"/>
          </w:tcPr>
          <w:p>
            <w:pPr>
              <w:spacing w:after="20" w:line="264" w:lineRule="auto"/>
            </w:pPr>
            <w:r/>
            <w:r>
              <w:rPr>
                <w:sz w:val="22"/>
              </w:rPr>
              <w:t>Giới thiệu đề tài, môn học, giảng viên và 5 thành viên (khoảng 20 giây).</w:t>
            </w:r>
          </w:p>
        </w:tc>
      </w:tr>
      <w:tr>
        <w:tc>
          <w:tcPr>
            <w:tcW w:type="dxa" w:w="907"/>
          </w:tcPr>
          <w:p>
            <w:pPr>
              <w:spacing w:after="20" w:line="264" w:lineRule="auto"/>
            </w:pPr>
            <w:r/>
            <w:r>
              <w:rPr>
                <w:sz w:val="22"/>
              </w:rPr>
              <w:t>2</w:t>
            </w:r>
          </w:p>
        </w:tc>
        <w:tc>
          <w:tcPr>
            <w:tcW w:type="dxa" w:w="7597"/>
          </w:tcPr>
          <w:p>
            <w:pPr>
              <w:spacing w:after="20" w:line="264" w:lineRule="auto"/>
            </w:pPr>
            <w:r/>
            <w:r>
              <w:rPr>
                <w:sz w:val="22"/>
              </w:rPr>
              <w:t>Tóm tắt bài báo: tác giả, hội nghị; vấn đề (bộ ba đắt, Pic2Word/SEARLE cần ảnh và câu mẫu cố định); ý tưởng (Self-Masking Projection chỉ dùng văn bản, nhiễu u·ε cho modality gap); kết quả bài báo (tốt nhất 4 benchmark, nhanh hơn Pic2Word 6 lần, SEARLE 8,4 lần). Mã nguồn công khai là cơ sở để nhóm dựng lại, tái hiện, cải tiến. Dòng cuối là lộ trình của nhóm; nêu trước kết luận chính: B tốt hơn có ý nghĩa thống kê (FashionIQ R@10 +0,60, p = 0,006), A làm giảm hiệu năng (CIRCO mAP@5 −2,45). Chuyển sang Nou: bài toán CIR.</w:t>
            </w:r>
          </w:p>
        </w:tc>
      </w:tr>
      <w:tr>
        <w:tc>
          <w:tcPr>
            <w:tcW w:type="dxa" w:w="907"/>
          </w:tcPr>
          <w:p>
            <w:pPr>
              <w:spacing w:after="20" w:line="264" w:lineRule="auto"/>
            </w:pPr>
            <w:r/>
            <w:r>
              <w:rPr>
                <w:sz w:val="22"/>
              </w:rPr>
              <w:t>9</w:t>
            </w:r>
          </w:p>
        </w:tc>
        <w:tc>
          <w:tcPr>
            <w:tcW w:type="dxa" w:w="7597"/>
          </w:tcPr>
          <w:p>
            <w:pPr>
              <w:spacing w:after="20" w:line="264" w:lineRule="auto"/>
            </w:pPr>
            <w:r/>
            <w:r>
              <w:rPr>
                <w:sz w:val="22"/>
              </w:rPr>
              <w:t>Mã gốc viết cho transformers 4.34, không chạy trên môi trường hiện tại. Nhóm viết lại encoder từ các mô-đun con, thay tokenizer và sửa 4 lỗi. Bằng chứng: sai lệch 0 so với CLIP gốc, checkpoint chính thức nạp khớp, kết quả khớp bài báo. Nêu 3 điểm khác giữa bài báo và mã nguồn để giải thích vì sao baseline theo mã.</w:t>
            </w:r>
          </w:p>
        </w:tc>
      </w:tr>
      <w:tr>
        <w:tc>
          <w:tcPr>
            <w:tcW w:type="dxa" w:w="907"/>
          </w:tcPr>
          <w:p>
            <w:pPr>
              <w:spacing w:after="20" w:line="264" w:lineRule="auto"/>
            </w:pPr>
            <w:r/>
            <w:r>
              <w:rPr>
                <w:sz w:val="22"/>
              </w:rPr>
              <w:t>10</w:t>
            </w:r>
          </w:p>
        </w:tc>
        <w:tc>
          <w:tcPr>
            <w:tcW w:type="dxa" w:w="7597"/>
          </w:tcPr>
          <w:p>
            <w:pPr>
              <w:spacing w:after="20" w:line="264" w:lineRule="auto"/>
            </w:pPr>
            <w:r/>
            <w:r>
              <w:rPr>
                <w:sz w:val="22"/>
              </w:rPr>
              <w:t>Thiết lập: Kaggle 2 × T4; mỗi biến thể 3 seed, 5.000 bước, cùng siêu tham số, checkpoint bước cuối; FashionIQ + CIRCO. Nêu hai vấn đề vận hành và cách giải: giới hạn 12 giờ/30 giờ (lập lịch có ước lượng thời gian), nghẽn CPU (spaCy theo lô, ×3,1, kết quả giống hệt).</w:t>
            </w:r>
          </w:p>
        </w:tc>
      </w:tr>
      <w:tr>
        <w:tc>
          <w:tcPr>
            <w:tcW w:type="dxa" w:w="907"/>
          </w:tcPr>
          <w:p>
            <w:pPr>
              <w:spacing w:after="20" w:line="264" w:lineRule="auto"/>
            </w:pPr>
            <w:r/>
            <w:r>
              <w:rPr>
                <w:sz w:val="22"/>
              </w:rPr>
              <w:t>15</w:t>
            </w:r>
          </w:p>
        </w:tc>
        <w:tc>
          <w:tcPr>
            <w:tcW w:type="dxa" w:w="7597"/>
          </w:tcPr>
          <w:p>
            <w:pPr>
              <w:spacing w:after="20" w:line="264" w:lineRule="auto"/>
            </w:pPr>
            <w:r/>
            <w:r>
              <w:rPr>
                <w:sz w:val="22"/>
              </w:rPr>
              <w:t>Mời câu hỏi; nghe hết câu hỏi rồi chuyển cho đúng người: phương pháp, cải tiến A → Trung; tái hiện, bảng kết quả → Tùng; độ đo, kiểm định, cải tiến B, cơ chế → Dũng; bài toán, lý thuyết, ví dụ định tính → Nou; mã nguồn, Kaggle, thiết lập → Tâm.</w:t>
            </w:r>
          </w:p>
        </w:tc>
      </w:tr>
    </w:tbl>
    <w:p/>
    <w:p>
      <w:pPr>
        <w:pStyle w:val="Heading1"/>
      </w:pPr>
      <w:r>
        <w:t>6. Câu hỏi phản biện dự kiến</w:t>
      </w:r>
    </w:p>
    <w:p>
      <w:pPr>
        <w:spacing w:after="20"/>
      </w:pPr>
      <w:r>
        <w:rPr>
          <w:b/>
        </w:rPr>
        <w:t>H1. Làm sao chắc encoder viết lại cho kết quả giống bản gốc?</w:t>
      </w:r>
    </w:p>
    <w:p>
      <w:pPr>
        <w:ind w:left="340"/>
      </w:pPr>
      <w:r>
        <w:t>→ So trực tiếp vector đầu ra với CLIPTextModelWithProjection gốc trên cùng đầu vào: sai lệch lớn nhất 0,00 trên cả ViT-B/32 và ViT-L/14. Thêm vào đó, checkpoint chính thức tái hiện khớp bài báo (lệch ≤ 0,77 điểm) và đánh giá lặp lại cho thứ hạng từng truy vấn giống hệt.</w:t>
      </w:r>
    </w:p>
    <w:p>
      <w:pPr>
        <w:spacing w:after="20"/>
      </w:pPr>
      <w:r>
        <w:rPr>
          <w:b/>
        </w:rPr>
        <w:t>H2. Vì sao lấy vector tại EOS bằng argmax?</w:t>
      </w:r>
    </w:p>
    <w:p>
      <w:pPr>
        <w:ind w:left="340"/>
      </w:pPr>
      <w:r>
        <w:t>→ EOS có mã 49407, lớn nhất trong bảng từ, nên argmax của dãy mã chính là vị trí EOS. Mặt nạ nhân quả làm các token đệm sau EOS không ảnh hưởng.</w:t>
      </w:r>
    </w:p>
    <w:p>
      <w:pPr>
        <w:spacing w:after="20"/>
      </w:pPr>
      <w:r>
        <w:rPr>
          <w:b/>
        </w:rPr>
        <w:t>H3. Tại sao chỉ 5.000 bước, có làm sai lệch kết luận không?</w:t>
      </w:r>
    </w:p>
    <w:p>
      <w:pPr>
        <w:ind w:left="340"/>
      </w:pPr>
      <w:r>
        <w:t>→ 20.000 bước trên T4 ≈ 13 giờ/run, vượt giới hạn phiên 12 giờ và hạn mức tuần. Mọi biến thể cùng 5.000 bước nên so sánh vẫn công bằng; số tuyệt đối có thể thấp hơn checkpoint 20.000 bước. Đường học (Trung trình bày): R@10 chỉ tăng 0,25 điểm từ 4.000 đến 5.000 bước; baseline 5.000 bước kém checkpoint 20.000 bước 0,45 điểm R@10 và gần bằng trên CIRCO (10,47 so với 10,50).</w:t>
      </w:r>
    </w:p>
    <w:p>
      <w:pPr>
        <w:spacing w:after="20"/>
      </w:pPr>
      <w:r>
        <w:rPr>
          <w:b/>
        </w:rPr>
        <w:t>H4. Chạy 2 run song song có ảnh hưởng kết quả?</w:t>
      </w:r>
    </w:p>
    <w:p>
      <w:pPr>
        <w:ind w:left="340"/>
      </w:pPr>
      <w:r>
        <w:t>→ Không: mỗi run một GPU riêng, cùng cấu hình; chỉ ảnh hưởng tốc độ. Kết quả phụ thuộc seed và dữ liệu, không phụ thuộc việc chạy cùng lúc.</w:t>
      </w:r>
    </w:p>
    <w:p>
      <w:pPr>
        <w:spacing w:after="20"/>
      </w:pPr>
      <w:r>
        <w:rPr>
          <w:b/>
        </w:rPr>
        <w:t>H5. Bỏ NER và lemmatizer có đổi dữ liệu huấn luyện không?</w:t>
      </w:r>
    </w:p>
    <w:p>
      <w:pPr>
        <w:ind w:left="340"/>
      </w:pPr>
      <w:r>
        <w:t>→ Không. Hai thành phần này không ghi nhãn từ loại mà LinCIR dùng để chọn từ khóa. Đã kiểm tra từ khóa giống hệt trên 3.000 câu thật và batch giống hệt từng token với mã cũ. Riêng parser thì có ảnh hưởng nên được giữ lại.</w:t>
      </w:r>
    </w:p>
    <w:p>
      <w:pPr>
        <w:spacing w:after="20"/>
      </w:pPr>
      <w:r>
        <w:rPr>
          <w:b/>
        </w:rPr>
        <w:t>H6. Tại sao không dùng 2 GPU cho 1 run cho nhanh?</w:t>
      </w:r>
    </w:p>
    <w:p>
      <w:pPr>
        <w:ind w:left="340"/>
      </w:pPr>
      <w:r>
        <w:t>→ Huấn luyện phân tán chia batch 512 thành 2 × 256; InfoNCE (cải tiến A) chỉ thấy mẫu âm trên GPU của mình → khác cấu hình với baseline. Chạy 2 run độc lập giữ batch 512 cho mọi biến thể.</w:t>
      </w:r>
    </w:p>
    <w:p>
      <w:pPr>
        <w:spacing w:after="20"/>
      </w:pPr>
      <w:r>
        <w:rPr>
          <w:b/>
        </w:rPr>
        <w:t>H7. fp16 có làm khác kết quả so với bài báo?</w:t>
      </w:r>
    </w:p>
    <w:p>
      <w:pPr>
        <w:ind w:left="340"/>
      </w:pPr>
      <w:r>
        <w:t>→ Mã gốc cũng huấn luyện fp16. Khi đánh giá nhóm dùng fp32 như mã validate gốc; tái hiện khớp bài báo.</w:t>
      </w:r>
    </w:p>
    <w:p>
      <w:pPr>
        <w:pStyle w:val="Heading1"/>
      </w:pPr>
      <w:r>
        <w:t>7. Tự kiểm tra trước buổi thuyết trình</w:t>
      </w:r>
    </w:p>
    <w:p>
      <w:pPr>
        <w:pStyle w:val="ListBullet"/>
      </w:pPr>
      <w:r>
        <w:t>☐ Vẽ lại được luồng: câu → token → nhúng → (thay [$]) → Transformer nhân quả → EOS → chiếu.</w:t>
      </w:r>
    </w:p>
    <w:p>
      <w:pPr>
        <w:pStyle w:val="ListBullet"/>
      </w:pPr>
      <w:r>
        <w:t>☐ Giải thích vì sao sai lệch 0 là bằng chứng đủ mạnh, và còn những bằng chứng nào khác.</w:t>
      </w:r>
    </w:p>
    <w:p>
      <w:pPr>
        <w:pStyle w:val="ListBullet"/>
      </w:pPr>
      <w:r>
        <w:t>☐ Nói được tốc độ trước/sau tối ưu và vì sao kết quả không đổi.</w:t>
      </w:r>
    </w:p>
    <w:p>
      <w:pPr>
        <w:pStyle w:val="ListBullet"/>
      </w:pPr>
      <w:r>
        <w:t>☐ Giải thích cách tính hạn mức Kaggle và cơ chế không để phiên bị cắt.</w:t>
      </w:r>
    </w:p>
    <w:p>
      <w:pPr>
        <w:pStyle w:val="Heading1"/>
      </w:pPr>
      <w:r>
        <w:t>8. Đọc thêm</w:t>
      </w:r>
    </w:p>
    <w:p>
      <w:pPr>
        <w:pStyle w:val="ListBullet"/>
      </w:pPr>
      <w:r>
        <w:t>Báo cáo: chương 1, mục 3.1, 3.5, 5.1, 5.3; docs/decisions.md</w:t>
      </w:r>
    </w:p>
    <w:p>
      <w:pPr>
        <w:pStyle w:val="ListBullet"/>
      </w:pPr>
      <w:r>
        <w:t>Bài báo LinCIR: Tóm tắt (Abstract), mục 1 (đóng góp), 3.1, 4.1</w:t>
      </w:r>
    </w:p>
    <w:p>
      <w:pPr>
        <w:pStyle w:val="ListBullet"/>
      </w:pPr>
      <w:r>
        <w:t>CLIP (Radford 2021): mục 2.3 (kiến trúc encoder văn bản)</w:t>
      </w:r>
    </w:p>
    <w:p>
      <w:pPr>
        <w:pStyle w:val="ListBullet"/>
      </w:pPr>
      <w:r>
        <w:t>README.md: bảng kết quả cần nhớ (để nêu kết luận chính ở slide 2)</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