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44"/>
          <w:szCs w:val="44"/>
        </w:rPr>
        <w:t xml:space="preserve">Helios Post-Processor</w:t>
      </w:r>
    </w:p>
    <w:p>
      <w:pPr>
        <w:spacing w:after="100"/>
        <w:jc w:val="center"/>
      </w:pPr>
      <w:r>
        <w:rPr>
          <w:rFonts w:ascii="Arial" w:cs="Arial" w:eastAsia="Arial" w:hAnsi="Arial"/>
          <w:color w:val="2C3E50"/>
          <w:sz w:val="32"/>
          <w:szCs w:val="32"/>
        </w:rPr>
        <w:t xml:space="preserve">Architecture &amp; Capabilities Report</w:t>
      </w:r>
    </w:p>
    <w:p>
      <w:pPr>
        <w:pBdr>
          <w:bottom w:val="single" w:color="AED6F1" w:sz="6" w:space="8"/>
        </w:pBdr>
        <w:spacing w:after="400"/>
        <w:jc w:val="center"/>
      </w:pPr>
      <w:r>
        <w:rPr>
          <w:rFonts w:ascii="Arial" w:cs="Arial" w:eastAsia="Arial" w:hAnsi="Arial"/>
          <w:color w:val="2C3E50"/>
          <w:sz w:val="24"/>
          <w:szCs w:val="24"/>
        </w:rPr>
        <w:t xml:space="preserve">Version 3.0.0</w:t>
      </w:r>
    </w:p>
    <w:p>
      <w:pPr>
        <w:spacing w:after="80"/>
      </w:pPr>
    </w:p>
    <w:p>
      <w:pPr>
        <w:spacing w:after="80"/>
      </w:pPr>
    </w:p>
    <w:p>
      <w:pPr>
        <w:spacing w:after="80"/>
        <w:jc w:val="center"/>
      </w:pPr>
      <w:r>
        <w:rPr>
          <w:rFonts w:ascii="Arial" w:cs="Arial" w:eastAsia="Arial" w:hAnsi="Arial"/>
          <w:sz w:val="24"/>
          <w:szCs w:val="24"/>
        </w:rPr>
        <w:t xml:space="preserve">Prepared for</w:t>
      </w:r>
    </w:p>
    <w:p>
      <w:pPr>
        <w:spacing w:after="200"/>
        <w:jc w:val="center"/>
      </w:pPr>
      <w:r>
        <w:rPr>
          <w:rFonts w:ascii="Arial" w:cs="Arial" w:eastAsia="Arial" w:hAnsi="Arial"/>
          <w:b/>
          <w:bCs/>
          <w:color w:val="1B4F72"/>
          <w:sz w:val="28"/>
          <w:szCs w:val="28"/>
        </w:rPr>
        <w:t xml:space="preserve">Xcimer Energy — Target Design Team</w:t>
      </w:r>
    </w:p>
    <w:p>
      <w:pPr>
        <w:spacing w:after="80"/>
      </w:pPr>
    </w:p>
    <w:p>
      <w:pPr>
        <w:spacing w:after="80"/>
      </w:pPr>
    </w:p>
    <w:p>
      <w:pPr>
        <w:spacing w:after="80"/>
      </w:pPr>
    </w:p>
    <w:p>
      <w:pPr>
        <w:spacing w:after="80"/>
        <w:jc w:val="center"/>
      </w:pPr>
      <w:r>
        <w:rPr>
          <w:rFonts w:ascii="Arial" w:cs="Arial" w:eastAsia="Arial" w:hAnsi="Arial"/>
          <w:sz w:val="22"/>
          <w:szCs w:val="22"/>
        </w:rPr>
        <w:t xml:space="preserve">Prof T (Tom Mehlhorn)</w:t>
      </w:r>
    </w:p>
    <w:p>
      <w:pPr>
        <w:spacing w:after="80"/>
        <w:jc w:val="center"/>
      </w:pPr>
      <w:r>
        <w:rPr>
          <w:rFonts w:ascii="Arial" w:cs="Arial" w:eastAsia="Arial" w:hAnsi="Arial"/>
          <w:sz w:val="22"/>
          <w:szCs w:val="22"/>
        </w:rPr>
        <w:t xml:space="preserve">March 2026</w:t>
      </w:r>
    </w:p>
    <w:p>
      <w:pPr>
        <w:jc w:val="center"/>
      </w:pPr>
      <w:r>
        <w:rPr>
          <w:rFonts w:ascii="Arial" w:cs="Arial" w:eastAsia="Arial" w:hAnsi="Arial"/>
          <w:i/>
          <w:iCs/>
          <w:color w:val="7F8C8D"/>
          <w:sz w:val="20"/>
          <w:szCs w:val="20"/>
        </w:rPr>
        <w:t xml:space="preserve">helios_postprocess Python package — github.com/tamehlhorn/helios_postprocessor</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The helios_postprocess package is a comprehensive Python toolkit for analyzing 1D spherical ICF implosion simulations produced by the Helios radiation-hydrodynamics code. It reads EXODUS (.exo) output files and generates publication-quality diagnostic reports, time-history data, and quantitative comparisons with published target designs.</w:t>
      </w:r>
    </w:p>
    <w:p>
      <w:pPr>
        <w:spacing w:after="120"/>
      </w:pPr>
      <w:r>
        <w:rPr>
          <w:rFonts w:ascii="Arial" w:cs="Arial" w:eastAsia="Arial" w:hAnsi="Arial"/>
          <w:sz w:val="22"/>
          <w:szCs w:val="22"/>
        </w:rPr>
        <w:t xml:space="preserve">The package implements a class-based analysis pipeline that extracts over 60 physics quantities from simulation data, including drive characterization, implosion dynamics, stagnation properties, burn metrics, and burn-averaged quantities suitable for direct comparison with NIF experimental data and published design tables.</w:t>
      </w:r>
    </w:p>
    <w:p>
      <w:pPr>
        <w:spacing w:after="120"/>
      </w:pPr>
      <w:r>
        <w:rPr>
          <w:rFonts w:ascii="Arial" w:cs="Arial" w:eastAsia="Arial" w:hAnsi="Arial"/>
          <w:sz w:val="22"/>
          <w:szCs w:val="22"/>
        </w:rPr>
        <w:t xml:space="preserve">Key capabilities validated in the current release include: hydrodynamic efficiency computation, in-flight aspect ratio (IFAR) measurement using density-based shell identification, adiabat evaluation at peak implosion velocity, burn-averaged metrics using Helios-computed integrals, and automated comparison with published target performance data via JSON configuration files.</w:t>
      </w:r>
    </w:p>
    <w:p>
      <w:pPr>
        <w:pStyle w:val="Heading1"/>
      </w:pPr>
      <w:r>
        <w:t xml:space="preserve">2. Package Architecture</w:t>
      </w:r>
    </w:p>
    <w:p>
      <w:pPr>
        <w:pStyle w:val="Heading2"/>
      </w:pPr>
      <w:r>
        <w:t xml:space="preserve">2.1 Pipeline Overview</w:t>
      </w:r>
    </w:p>
    <w:p>
      <w:pPr>
        <w:spacing w:after="120"/>
      </w:pPr>
      <w:r>
        <w:rPr>
          <w:rFonts w:ascii="Arial" w:cs="Arial" w:eastAsia="Arial" w:hAnsi="Arial"/>
          <w:sz w:val="22"/>
          <w:szCs w:val="22"/>
        </w:rPr>
        <w:t xml:space="preserve">The analysis follows a linear pipeline with clearly separated concerns. Each stage operates on a shared ICFRunData dataclass that accumulates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Module</w:t>
            </w:r>
          </w:p>
        </w:tc>
        <w:tc>
          <w:tcPr>
            <w:tcW w:type="dxa" w:w="4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Load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core.py</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EXODUS/netCDF4 file into HeliosRun object</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Build</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data_builder.py</w:t>
            </w:r>
          </w:p>
        </w:tc>
        <w:tc>
          <w:tcPr>
            <w:tcW w:type="dxa" w:w="4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Convert HeliosRun arrays into ICFRunData dataclass with unit conversions and derived quantities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Analyze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icf_analysis.py</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Run drive, stagnation, implosion, burn, and performance analysis; populate ~60 scalar metrics on ICFRunData</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Plot</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icf_plotting.py</w:t>
            </w:r>
          </w:p>
        </w:tc>
        <w:tc>
          <w:tcPr>
            <w:tcW w:type="dxa" w:w="4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Generate multi-page PDF report with contour maps, time histories, trajectories, and burn diagnostics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 Output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icf_output.py</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text summary and CSV time-history files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 Compare</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burn_averaged_metrics.py</w:t>
            </w:r>
          </w:p>
        </w:tc>
        <w:tc>
          <w:tcPr>
            <w:tcW w:type="dxa" w:w="4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Compute burn-averaged and implosion metrics; compare with published data from JSON files</w:t>
            </w:r>
          </w:p>
        </w:tc>
      </w:tr>
    </w:tbl>
    <w:p>
      <w:pPr>
        <w:spacing w:after="80"/>
      </w:pPr>
    </w:p>
    <w:p>
      <w:pPr>
        <w:pStyle w:val="Heading2"/>
      </w:pPr>
      <w:r>
        <w:t xml:space="preserve">2.2 Data Flow</w:t>
      </w:r>
    </w:p>
    <w:p>
      <w:pPr>
        <w:spacing w:after="120"/>
      </w:pPr>
      <w:r>
        <w:rPr>
          <w:rFonts w:ascii="Arial" w:cs="Arial" w:eastAsia="Arial" w:hAnsi="Arial"/>
          <w:sz w:val="22"/>
          <w:szCs w:val="22"/>
        </w:rPr>
        <w:t xml:space="preserve">The pipeline uses a single shared dataclass (ICFRunData) that is progressively populated. This design ensures that all modules operate on the same data and that results are immediately available to downstream stages without redundant computation.</w:t>
      </w:r>
    </w:p>
    <w:p>
      <w:pPr>
        <w:spacing w:after="80"/>
      </w:pPr>
    </w:p>
    <w:p>
      <w:pPr>
        <w:shd w:fill="F7F9FA" w:val="clear"/>
        <w:spacing w:before="0" w:after="0"/>
        <w:ind w:left="360"/>
      </w:pPr>
      <w:r>
        <w:rPr>
          <w:rFonts w:ascii="Courier New" w:cs="Courier New" w:eastAsia="Courier New" w:hAnsi="Courier New"/>
          <w:sz w:val="18"/>
          <w:szCs w:val="18"/>
        </w:rPr>
        <w:t xml:space="preserve">HeliosRun(exo_path)</w:t>
      </w:r>
    </w:p>
    <w:p>
      <w:pPr>
        <w:shd w:fill="F7F9FA" w:val="clear"/>
        <w:spacing w:before="0" w:after="0"/>
        <w:ind w:left="360"/>
      </w:pPr>
      <w:r>
        <w:rPr>
          <w:rFonts w:ascii="Courier New" w:cs="Courier New" w:eastAsia="Courier New" w:hAnsi="Courier New"/>
          <w:sz w:val="18"/>
          <w:szCs w:val="18"/>
        </w:rPr>
        <w:t xml:space="preserve">    |</w:t>
      </w:r>
    </w:p>
    <w:p>
      <w:pPr>
        <w:shd w:fill="F7F9FA" w:val="clear"/>
        <w:spacing w:before="0" w:after="0"/>
        <w:ind w:left="360"/>
      </w:pPr>
      <w:r>
        <w:rPr>
          <w:rFonts w:ascii="Courier New" w:cs="Courier New" w:eastAsia="Courier New" w:hAnsi="Courier New"/>
          <w:sz w:val="18"/>
          <w:szCs w:val="18"/>
        </w:rPr>
        <w:t xml:space="preserve">    v</w:t>
      </w:r>
    </w:p>
    <w:p>
      <w:pPr>
        <w:shd w:fill="F7F9FA" w:val="clear"/>
        <w:spacing w:before="0" w:after="0"/>
        <w:ind w:left="360"/>
      </w:pPr>
      <w:r>
        <w:rPr>
          <w:rFonts w:ascii="Courier New" w:cs="Courier New" w:eastAsia="Courier New" w:hAnsi="Courier New"/>
          <w:sz w:val="18"/>
          <w:szCs w:val="18"/>
        </w:rPr>
        <w:t xml:space="preserve">build_run_data(run)  --&gt;  ICFRunData  (~68 attributes)</w:t>
      </w:r>
    </w:p>
    <w:p>
      <w:pPr>
        <w:shd w:fill="F7F9FA" w:val="clear"/>
        <w:spacing w:before="0" w:after="0"/>
        <w:ind w:left="360"/>
      </w:pPr>
      <w:r>
        <w:rPr>
          <w:rFonts w:ascii="Courier New" w:cs="Courier New" w:eastAsia="Courier New" w:hAnsi="Courier New"/>
          <w:sz w:val="18"/>
          <w:szCs w:val="18"/>
        </w:rPr>
        <w:t xml:space="preserve">    |                      2D arrays: density, temperature, pressure, velocity, ...</w:t>
      </w:r>
    </w:p>
    <w:p>
      <w:pPr>
        <w:shd w:fill="F7F9FA" w:val="clear"/>
        <w:spacing w:before="0" w:after="0"/>
        <w:ind w:left="360"/>
      </w:pPr>
      <w:r>
        <w:rPr>
          <w:rFonts w:ascii="Courier New" w:cs="Courier New" w:eastAsia="Courier New" w:hAnsi="Courier New"/>
          <w:sz w:val="18"/>
          <w:szCs w:val="18"/>
        </w:rPr>
        <w:t xml:space="preserve">    v                      1D arrays: time, zone_mass, region_interfaces, ...</w:t>
      </w:r>
    </w:p>
    <w:p>
      <w:pPr>
        <w:shd w:fill="F7F9FA" w:val="clear"/>
        <w:spacing w:before="0" w:after="0"/>
        <w:ind w:left="360"/>
      </w:pPr>
      <w:r>
        <w:rPr>
          <w:rFonts w:ascii="Courier New" w:cs="Courier New" w:eastAsia="Courier New" w:hAnsi="Courier New"/>
          <w:sz w:val="18"/>
          <w:szCs w:val="18"/>
        </w:rPr>
        <w:t xml:space="preserve">ICFAnalyzer(data)          Scalars:   bang_time, stag_time, yield, gain, ...</w:t>
      </w:r>
    </w:p>
    <w:p>
      <w:pPr>
        <w:shd w:fill="F7F9FA" w:val="clear"/>
        <w:spacing w:before="0" w:after="0"/>
        <w:ind w:left="360"/>
      </w:pPr>
      <w:r>
        <w:rPr>
          <w:rFonts w:ascii="Courier New" w:cs="Courier New" w:eastAsia="Courier New" w:hAnsi="Courier New"/>
          <w:sz w:val="18"/>
          <w:szCs w:val="18"/>
        </w:rPr>
        <w:t xml:space="preserve">    .analyze_drive_phase()</w:t>
      </w:r>
    </w:p>
    <w:p>
      <w:pPr>
        <w:shd w:fill="F7F9FA" w:val="clear"/>
        <w:spacing w:before="0" w:after="0"/>
        <w:ind w:left="360"/>
      </w:pPr>
      <w:r>
        <w:rPr>
          <w:rFonts w:ascii="Courier New" w:cs="Courier New" w:eastAsia="Courier New" w:hAnsi="Courier New"/>
          <w:sz w:val="18"/>
          <w:szCs w:val="18"/>
        </w:rPr>
        <w:t xml:space="preserve">    .analyze_stagnation_phase()</w:t>
      </w:r>
    </w:p>
    <w:p>
      <w:pPr>
        <w:shd w:fill="F7F9FA" w:val="clear"/>
        <w:spacing w:before="0" w:after="0"/>
        <w:ind w:left="360"/>
      </w:pPr>
      <w:r>
        <w:rPr>
          <w:rFonts w:ascii="Courier New" w:cs="Courier New" w:eastAsia="Courier New" w:hAnsi="Courier New"/>
          <w:sz w:val="18"/>
          <w:szCs w:val="18"/>
        </w:rPr>
        <w:t xml:space="preserve">    .analyze_burn_phase()</w:t>
      </w:r>
    </w:p>
    <w:p>
      <w:pPr>
        <w:shd w:fill="F7F9FA" w:val="clear"/>
        <w:spacing w:before="0" w:after="0"/>
        <w:ind w:left="360"/>
      </w:pPr>
      <w:r>
        <w:rPr>
          <w:rFonts w:ascii="Courier New" w:cs="Courier New" w:eastAsia="Courier New" w:hAnsi="Courier New"/>
          <w:sz w:val="18"/>
          <w:szCs w:val="18"/>
        </w:rPr>
        <w:t xml:space="preserve">    .compute_performance_metrics()</w:t>
      </w:r>
    </w:p>
    <w:p>
      <w:pPr>
        <w:shd w:fill="F7F9FA" w:val="clear"/>
        <w:spacing w:before="0" w:after="0"/>
        <w:ind w:left="360"/>
      </w:pPr>
      <w:r>
        <w:rPr>
          <w:rFonts w:ascii="Courier New" w:cs="Courier New" w:eastAsia="Courier New" w:hAnsi="Courier New"/>
          <w:sz w:val="18"/>
          <w:szCs w:val="18"/>
        </w:rPr>
        <w:t xml:space="preserve">    |</w:t>
      </w:r>
    </w:p>
    <w:p>
      <w:pPr>
        <w:shd w:fill="F7F9FA" w:val="clear"/>
        <w:spacing w:before="0" w:after="0"/>
        <w:ind w:left="360"/>
      </w:pPr>
      <w:r>
        <w:rPr>
          <w:rFonts w:ascii="Courier New" w:cs="Courier New" w:eastAsia="Courier New" w:hAnsi="Courier New"/>
          <w:sz w:val="18"/>
          <w:szCs w:val="18"/>
        </w:rPr>
        <w:t xml:space="preserve">    v</w:t>
      </w:r>
    </w:p>
    <w:p>
      <w:pPr>
        <w:shd w:fill="F7F9FA" w:val="clear"/>
        <w:spacing w:before="0" w:after="0"/>
        <w:ind w:left="360"/>
      </w:pPr>
      <w:r>
        <w:rPr>
          <w:rFonts w:ascii="Courier New" w:cs="Courier New" w:eastAsia="Courier New" w:hAnsi="Courier New"/>
          <w:sz w:val="18"/>
          <w:szCs w:val="18"/>
        </w:rPr>
        <w:t xml:space="preserve">ICFPlotter(data, {}).create_full_report('report.pdf')</w:t>
      </w:r>
    </w:p>
    <w:p>
      <w:pPr>
        <w:shd w:fill="F7F9FA" w:val="clear"/>
        <w:spacing w:before="0" w:after="0"/>
        <w:ind w:left="360"/>
      </w:pPr>
      <w:r>
        <w:rPr>
          <w:rFonts w:ascii="Courier New" w:cs="Courier New" w:eastAsia="Courier New" w:hAnsi="Courier New"/>
          <w:sz w:val="18"/>
          <w:szCs w:val="18"/>
        </w:rPr>
        <w:t xml:space="preserve">ICFOutputGenerator(data).write_all('base_path')</w:t>
      </w:r>
    </w:p>
    <w:p>
      <w:pPr>
        <w:pStyle w:val="Heading2"/>
      </w:pPr>
      <w:r>
        <w:t xml:space="preserve">2.3 Source File Inventory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File</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Lines</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Role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core.py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~965</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EXODUS/netCDF4 reader, HeliosRun class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data_builder.py</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~555</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HeliosRun to ICFRunData bridge with unit conversions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icf_analysis.py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~1300</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ICFAnalyzer: drive, stagnation, burn, implosion, IFAR, mass fractions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icf_plotting.py</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~1580</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ICFPlotter: multi-page PDF diagnostic report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icf_output.py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~430</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ICFOutputGenerator: text summary + CSV histories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burn_averaged_metrics.py</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~560</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Burn-averaging, implosion metrics, published-data comparison</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rhw_parser.py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~240</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RHW input file parser (drive config, burn status)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energetics.py</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Kinetic energy, hydro efficiency, PdV work (standalone)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neutron_downscatter.py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Down-scatter ratio (DSR) diagnostics (standalone)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pressure_gradients.py</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Shock identification, RT instability assessment (standalone)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examples/run_analysis.py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~350</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CLI runner: single-command analysis with comparison</w:t>
            </w:r>
          </w:p>
        </w:tc>
      </w:tr>
    </w:tbl>
    <w:p>
      <w:r>
        <w:br w:type="page"/>
      </w:r>
    </w:p>
    <w:p>
      <w:pPr>
        <w:pStyle w:val="Heading1"/>
      </w:pPr>
      <w:r>
        <w:t xml:space="preserve">3. Analysis Capabilities</w:t>
      </w:r>
    </w:p>
    <w:p>
      <w:pPr>
        <w:pStyle w:val="Heading2"/>
      </w:pPr>
      <w:r>
        <w:t xml:space="preserve">3.1 Drive Phase Analysis</w:t>
      </w:r>
    </w:p>
    <w:p>
      <w:pPr>
        <w:spacing w:after="120"/>
      </w:pPr>
      <w:r>
        <w:rPr>
          <w:rFonts w:ascii="Arial" w:cs="Arial" w:eastAsia="Arial" w:hAnsi="Arial"/>
          <w:sz w:val="22"/>
          <w:szCs w:val="22"/>
        </w:rPr>
        <w:t xml:space="preserve">The drive phase analyzer extracts laser energy delivery, computes the critical density surface position using both electron-density crossing (formula method) and laser absorption front detection (algorithm method), and identifies the drive configuration from the optional RHW input file (direct drive vs indirect drive, burn on/off).</w:t>
      </w:r>
    </w:p>
    <w:p>
      <w:pPr>
        <w:pStyle w:val="Heading2"/>
      </w:pPr>
      <w:r>
        <w:t xml:space="preserve">3.2 Stagnation and Hot-Spot Properties</w:t>
      </w:r>
    </w:p>
    <w:p>
      <w:pPr>
        <w:spacing w:after="120"/>
      </w:pPr>
      <w:r>
        <w:rPr>
          <w:rFonts w:ascii="Arial" w:cs="Arial" w:eastAsia="Arial" w:hAnsi="Arial"/>
          <w:sz w:val="22"/>
          <w:szCs w:val="22"/>
        </w:rPr>
        <w:t xml:space="preserve">Stagnation is defined as the time of minimum hot-spot outer radius, not peak density. This distinction is critical for igniting capsules where alpha heating shifts the peak density to a later time. At stagnation, the analyzer computes hot-spot pressure (mass-averaged total pressure in Gbar), internal energy (kJ), core radius, and hot-spot areal density.</w:t>
      </w:r>
    </w:p>
    <w:p>
      <w:pPr>
        <w:pStyle w:val="Heading2"/>
      </w:pPr>
      <w:r>
        <w:t xml:space="preserve">3.3 Implosion Dynamics</w:t>
      </w:r>
    </w:p>
    <w:p>
      <w:pPr>
        <w:spacing w:after="120"/>
      </w:pPr>
      <w:r>
        <w:rPr>
          <w:rFonts w:ascii="Arial" w:cs="Arial" w:eastAsia="Arial" w:hAnsi="Arial"/>
          <w:sz w:val="22"/>
          <w:szCs w:val="22"/>
        </w:rPr>
        <w:t xml:space="preserve">The implosion phase analysis computes peak implosion velocity (inward-moving fuel only, pre-bang time), tracks shock fronts via pressure gradient detection, identifies the ablation front position at each timestep using the steepest negative density gradient, and evaluates the fuel adiabat and in-flight aspect ratio at peak velocity.</w:t>
      </w:r>
    </w:p>
    <w:p>
      <w:pPr>
        <w:pStyle w:val="Heading3"/>
      </w:pPr>
      <w:r>
        <w:t xml:space="preserve">3.3.1 Adiabat</w:t>
      </w:r>
    </w:p>
    <w:p>
      <w:pPr>
        <w:spacing w:after="120"/>
      </w:pPr>
      <w:r>
        <w:rPr>
          <w:rFonts w:ascii="Arial" w:cs="Arial" w:eastAsia="Arial" w:hAnsi="Arial"/>
          <w:sz w:val="22"/>
          <w:szCs w:val="22"/>
        </w:rPr>
        <w:t xml:space="preserve">The fuel adiabat is defined as alpha = P / P_Fermi, where P_Fermi = 2.17 (rho/rho_0)^(5/3) Mbar for equimolar DT ice (rho_0 = 0.205 g/cc, Lindl convention). It is evaluated at the time of peak implosion velocity in the cold unablated fuel only (region interface ri[t,0] to ri[t,1]), excluding the ablated fuel region which has high entropy from ablation heating.</w:t>
      </w:r>
    </w:p>
    <w:p>
      <w:pPr>
        <w:pStyle w:val="Heading3"/>
      </w:pPr>
      <w:r>
        <w:t xml:space="preserve">3.3.2 In-Flight Aspect Ratio (IFAR)</w:t>
      </w:r>
    </w:p>
    <w:p>
      <w:pPr>
        <w:spacing w:after="120"/>
      </w:pPr>
      <w:r>
        <w:rPr>
          <w:rFonts w:ascii="Arial" w:cs="Arial" w:eastAsia="Arial" w:hAnsi="Arial"/>
          <w:sz w:val="22"/>
          <w:szCs w:val="22"/>
        </w:rPr>
        <w:t xml:space="preserve">IFAR = R_shell / Delta_R measures shell thickness relative to its radius. The shell boundaries are determined from the density profile at peak velocity using a rho &gt; rho_peak/e threshold, which correctly identifies the actual dense shell and excludes uncompressed vapor inside the Lagrangian region interface. This density-based approach was validated against published NIF target designs (computed 18.1 vs published 20.0 for the Vulcan HDD hybrid target).</w:t>
      </w:r>
    </w:p>
    <w:p>
      <w:pPr>
        <w:pStyle w:val="Heading3"/>
      </w:pPr>
      <w:r>
        <w:t xml:space="preserve">3.3.3 Hydrodynamic Efficiency</w:t>
      </w:r>
    </w:p>
    <w:p>
      <w:pPr>
        <w:spacing w:after="120"/>
      </w:pPr>
      <w:r>
        <w:rPr>
          <w:rFonts w:ascii="Arial" w:cs="Arial" w:eastAsia="Arial" w:hAnsi="Arial"/>
          <w:sz w:val="22"/>
          <w:szCs w:val="22"/>
        </w:rPr>
        <w:t xml:space="preserve">Hydrodynamic efficiency eta_hydro = max(KE_inward) / E_absorbed, where KE_inward sums the kinetic energy of only inward-moving zones (v &lt; 0) at each timestep and takes the maximum over the full implosion history. E_absorbed is the total laser energy deposited into the target from the Helios-computed cumulative laser_energy_deposited variable.</w:t>
      </w:r>
    </w:p>
    <w:p>
      <w:pPr>
        <w:pStyle w:val="Heading2"/>
      </w:pPr>
      <w:r>
        <w:t xml:space="preserve">3.4 Burn Phase and Fusion Yield</w:t>
      </w:r>
    </w:p>
    <w:p>
      <w:pPr>
        <w:spacing w:after="120"/>
      </w:pPr>
      <w:r>
        <w:rPr>
          <w:rFonts w:ascii="Arial" w:cs="Arial" w:eastAsia="Arial" w:hAnsi="Arial"/>
          <w:sz w:val="22"/>
          <w:szCs w:val="22"/>
        </w:rPr>
        <w:t xml:space="preserve">Fusion yield is computed from the Helios time-integrated neutron count (TimeIntFusionProd_n_1406) multiplied by 17.6 MeV per DT reaction. This is far more accurate than re-integrating from the sampled EXODUS timesteps, which represent only a fraction of the actual simulation timesteps. The EXODUS burn rate is used only as a weighting function for burn-averaged quantities, never for absolute yield.</w:t>
      </w:r>
    </w:p>
    <w:p>
      <w:pPr>
        <w:spacing w:after="120"/>
      </w:pPr>
      <w:r>
        <w:rPr>
          <w:rFonts w:ascii="Arial" w:cs="Arial" w:eastAsia="Arial" w:hAnsi="Arial"/>
          <w:sz w:val="22"/>
          <w:szCs w:val="22"/>
        </w:rPr>
        <w:t xml:space="preserve">Additional burn diagnostics include: burn width (FWHM of fusion power), bang time (peak fusion rate), neutron-averaged temperature/pressure/areal density, burn propagation tracking (Olson et al. convention), and ignition time identification.</w:t>
      </w:r>
    </w:p>
    <w:p>
      <w:pPr>
        <w:pStyle w:val="Heading2"/>
      </w:pPr>
      <w:r>
        <w:t xml:space="preserve">3.5 Burn-Averaged Metrics and Published Data Comparison</w:t>
      </w:r>
    </w:p>
    <w:p>
      <w:pPr>
        <w:spacing w:after="120"/>
      </w:pPr>
      <w:r>
        <w:rPr>
          <w:rFonts w:ascii="Arial" w:cs="Arial" w:eastAsia="Arial" w:hAnsi="Arial"/>
          <w:sz w:val="22"/>
          <w:szCs w:val="22"/>
        </w:rPr>
        <w:t xml:space="preserve">The burn_averaged_metrics module computes temporal burn-averaged quantities for direct comparison with published ICF performance tables. The weighting function w(t) is proportional to rho^2 sigma_v(T), evaluated from the EXODUS-sampled hot-spot density and temperature profiles. The burn-averaged quantity is &lt;Q&gt; = integral of Q(t) w(t) dt / integral of w(t) dt.</w:t>
      </w:r>
    </w:p>
    <w:p>
      <w:pPr>
        <w:spacing w:after="120"/>
      </w:pPr>
      <w:r>
        <w:rPr>
          <w:rFonts w:ascii="Arial" w:cs="Arial" w:eastAsia="Arial" w:hAnsi="Arial"/>
          <w:sz w:val="22"/>
          <w:szCs w:val="22"/>
        </w:rPr>
        <w:t xml:space="preserve">The comparison tool reads published performance data from a JSON file and generates a formatted table showing simulation values, published values with uncertainties, and percentage differences. This table appears in the console output, the summary text file, and a dedicated comparison PDF with color-coded cells (green &lt;20%, yellow 20-50%, red &gt;50% deviation).</w:t>
      </w:r>
    </w:p>
    <w:p>
      <w:pPr>
        <w:pStyle w:val="Heading2"/>
      </w:pPr>
      <w:r>
        <w:t xml:space="preserve">3.6 Supported Comparison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JSON Key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Burn-averaged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Hot-spot temperature (keV)</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T_hs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Hot-spot pressure (Gbar)</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P_hs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Cold-fuel areal density (g/cm2)</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rhoR_cf</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Convergence ratio</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CR_max</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Fusion yield (MJ)</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yield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gain</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gain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Implosion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Peak velocity (km/s)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peak_velocity_kms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Adiabat</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adiabat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IFAR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ifar</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Hydro efficiency (%)</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hydro_efficiency_pct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In-flight KE (kJ)</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inflight_KE_kJ</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Fraction absorbed (%)</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fraction_absorbed_pct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Imploded DT mass (mg)</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imploded_DT_mass_mg</w:t>
            </w:r>
          </w:p>
        </w:tc>
      </w:tr>
    </w:tbl>
    <w:p>
      <w:r>
        <w:br w:type="page"/>
      </w:r>
    </w:p>
    <w:p>
      <w:pPr>
        <w:pStyle w:val="Heading1"/>
      </w:pPr>
      <w:r>
        <w:t xml:space="preserve">4. Validation Results</w:t>
      </w:r>
    </w:p>
    <w:p>
      <w:pPr>
        <w:spacing w:after="120"/>
      </w:pPr>
      <w:r>
        <w:rPr>
          <w:rFonts w:ascii="Arial" w:cs="Arial" w:eastAsia="Arial" w:hAnsi="Arial"/>
          <w:sz w:val="22"/>
          <w:szCs w:val="22"/>
        </w:rPr>
        <w:t xml:space="preserve">The package has been validated against two target designs with different geometries, region structures, and drive configurations.</w:t>
      </w:r>
    </w:p>
    <w:p>
      <w:pPr>
        <w:pStyle w:val="Heading2"/>
      </w:pPr>
      <w:r>
        <w:t xml:space="preserve">4.1 Olson PDD-9 (Polar Direct Drive)</w:t>
      </w:r>
    </w:p>
    <w:p>
      <w:pPr>
        <w:spacing w:after="120"/>
      </w:pPr>
      <w:r>
        <w:rPr>
          <w:rFonts w:ascii="Arial" w:cs="Arial" w:eastAsia="Arial" w:hAnsi="Arial"/>
          <w:sz w:val="22"/>
          <w:szCs w:val="22"/>
        </w:rPr>
        <w:t xml:space="preserve">A 4-region target (DT Vapor / DT Solid / DT-CH foam / CH Skin) with 351 zones driven at 2.15 MJ. This target features 3-component pressure (ion + electron + radiation) and achieves ignition with burn propagation.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Laser energy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2.151 MJ</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Fusion yield / Target gain</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20.594 MJ / 9.574</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Peak density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181.17 g/cc</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Neutron-averaged Ti / P / rhoR</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22.46 keV / 193.4 Gbar / 0.519 g/cm2</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Burn-averaged Ti / P / rhoR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23.75 keV / 208.4 Gbar / 0.552 g/cm2</w:t>
            </w:r>
          </w:p>
        </w:tc>
      </w:tr>
    </w:tbl>
    <w:p>
      <w:pPr>
        <w:pStyle w:val="Heading2"/>
      </w:pPr>
      <w:r>
        <w:t xml:space="preserve">4.2 VI-6 (Vulcan HDD Hybrid Target)</w:t>
      </w:r>
    </w:p>
    <w:p>
      <w:pPr>
        <w:spacing w:after="120"/>
      </w:pPr>
      <w:r>
        <w:rPr>
          <w:rFonts w:ascii="Arial" w:cs="Arial" w:eastAsia="Arial" w:hAnsi="Arial"/>
          <w:sz w:val="22"/>
          <w:szCs w:val="22"/>
        </w:rPr>
        <w:t xml:space="preserve">A 4-region target (DT gas / DT fuel / DT ablated / CD ablator) with 350 zones, direct drive at 3.38 MJ. Compared against published Xcimer hybrid target design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1760"/>
      </w:tblGrid>
      <w:tr>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Simulation</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Published</w:t>
            </w:r>
          </w:p>
        </w:tc>
        <w:tc>
          <w:tcPr>
            <w:tcW w:type="dxa" w:w="1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Delta</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In-flight KE (kJ)</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311.6</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300</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+3.9%</w:t>
            </w:r>
          </w:p>
        </w:tc>
      </w:tr>
      <w:tr>
        <w:tc>
          <w:tcPr>
            <w:tcW w:type="dxa" w:w="3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IFAR</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18.1</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20.0</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-9.4%</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Hydro efficiency (%)</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9.2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8.0</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+15.1%</w:t>
            </w:r>
          </w:p>
        </w:tc>
      </w:tr>
      <w:tr>
        <w:tc>
          <w:tcPr>
            <w:tcW w:type="dxa" w:w="3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Fraction absorbed (%)</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100.0</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97.0</w:t>
            </w:r>
          </w:p>
        </w:tc>
        <w:tc>
          <w:tcPr>
            <w:tcW w:type="dxa" w:w="1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+3.1%</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Fusion yield (MJ)</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28.8</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256 (4 MJ design)</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w:t>
            </w:r>
          </w:p>
        </w:tc>
      </w:tr>
    </w:tbl>
    <w:p>
      <w:pPr>
        <w:spacing w:after="80"/>
      </w:pPr>
    </w:p>
    <w:p>
      <w:pPr>
        <w:spacing w:after="120"/>
      </w:pPr>
      <w:r>
        <w:rPr>
          <w:rFonts w:ascii="Arial" w:cs="Arial" w:eastAsia="Arial" w:hAnsi="Arial"/>
          <w:sz w:val="22"/>
          <w:szCs w:val="22"/>
        </w:rPr>
        <w:t xml:space="preserve">Note: The published values in the right column are for a 4 MJ target design, while VI-6 was simulated at 3.38 MJ. The implosion metrics (KE, IFAR, hydro efficiency, absorption) are more directly comparable as they depend primarily on target geometry and laser coupling rather than total drive energy.</w:t>
      </w:r>
    </w:p>
    <w:p>
      <w:r>
        <w:br w:type="page"/>
      </w:r>
    </w:p>
    <w:p>
      <w:pPr>
        <w:pStyle w:val="Heading1"/>
      </w:pPr>
      <w:r>
        <w:t xml:space="preserve">5. Design Cycle Workflow</w:t>
      </w:r>
    </w:p>
    <w:p>
      <w:pPr>
        <w:pStyle w:val="Heading2"/>
      </w:pPr>
      <w:r>
        <w:t xml:space="preserve">5.1 Development Environment</w:t>
      </w:r>
    </w:p>
    <w:p>
      <w:pPr>
        <w:spacing w:after="120"/>
      </w:pPr>
      <w:r>
        <w:rPr>
          <w:rFonts w:ascii="Arial" w:cs="Arial" w:eastAsia="Arial" w:hAnsi="Arial"/>
          <w:sz w:val="22"/>
          <w:szCs w:val="22"/>
        </w:rPr>
        <w:t xml:space="preserve">The recommended development environment uses VS Code on the MacBook for code editing and the Mac Studio for running analyses against simulation data. GitHub provides version control and synchronization between machines.</w:t>
      </w:r>
    </w:p>
    <w:p>
      <w:pPr>
        <w:pStyle w:val="Heading3"/>
      </w:pPr>
      <w:r>
        <w:t xml:space="preserve">5.1.1 Required Software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Tool</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Purpose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Installation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Python 3.8+</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Runtime environment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Pre-installed on macOS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VS Code</w:t>
            </w:r>
          </w:p>
        </w:tc>
        <w:tc>
          <w:tcPr>
            <w:tcW w:type="dxa" w:w="3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Code editor with Git integration</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code.visualstudio.com</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Git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Version control</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Pre-installed on macOS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GitHub</w:t>
            </w:r>
          </w:p>
        </w:tc>
        <w:tc>
          <w:tcPr>
            <w:tcW w:type="dxa" w:w="3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Remote repository hosting</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github.com/tamehlhorn/helios_postprocessor</w:t>
            </w:r>
          </w:p>
        </w:tc>
      </w:tr>
    </w:tbl>
    <w:p>
      <w:pPr>
        <w:pStyle w:val="Heading3"/>
      </w:pPr>
      <w:r>
        <w:t xml:space="preserve">5.1.2 Python Dependencies</w:t>
      </w:r>
    </w:p>
    <w:p>
      <w:pPr>
        <w:spacing w:after="120"/>
      </w:pPr>
      <w:r>
        <w:rPr>
          <w:rFonts w:ascii="Arial" w:cs="Arial" w:eastAsia="Arial" w:hAnsi="Arial"/>
          <w:sz w:val="22"/>
          <w:szCs w:val="22"/>
        </w:rPr>
        <w:t xml:space="preserve">Install the package in editable mode from the repo root:</w:t>
      </w:r>
    </w:p>
    <w:p>
      <w:pPr>
        <w:spacing w:before="60" w:after="60"/>
        <w:ind w:left="360"/>
      </w:pPr>
      <w:r>
        <w:rPr>
          <w:rFonts w:ascii="Courier New" w:cs="Courier New" w:eastAsia="Courier New" w:hAnsi="Courier New"/>
          <w:sz w:val="20"/>
          <w:szCs w:val="20"/>
        </w:rPr>
        <w:t xml:space="preserve">pip install -e .</w:t>
      </w:r>
    </w:p>
    <w:p>
      <w:pPr>
        <w:spacing w:after="120"/>
      </w:pPr>
      <w:r>
        <w:rPr>
          <w:rFonts w:ascii="Arial" w:cs="Arial" w:eastAsia="Arial" w:hAnsi="Arial"/>
          <w:sz w:val="22"/>
          <w:szCs w:val="22"/>
        </w:rPr>
        <w:t xml:space="preserve">This installs numpy, scipy, matplotlib, and netCDF4. Optional: scikit-learn for RANSAC shock fitting.</w:t>
      </w:r>
    </w:p>
    <w:p>
      <w:pPr>
        <w:pStyle w:val="Heading2"/>
      </w:pPr>
      <w:r>
        <w:t xml:space="preserve">5.2 Running an Analysis</w:t>
      </w:r>
    </w:p>
    <w:p>
      <w:pPr>
        <w:spacing w:after="120"/>
      </w:pPr>
      <w:r>
        <w:rPr>
          <w:rFonts w:ascii="Arial" w:cs="Arial" w:eastAsia="Arial" w:hAnsi="Arial"/>
          <w:sz w:val="22"/>
          <w:szCs w:val="22"/>
        </w:rPr>
        <w:t xml:space="preserve">The single-command runner handles the entire pipeline:</w:t>
      </w:r>
    </w:p>
    <w:p>
      <w:pPr>
        <w:spacing w:after="80"/>
      </w:pPr>
    </w:p>
    <w:p>
      <w:pPr>
        <w:spacing w:before="60" w:after="60"/>
        <w:ind w:left="360"/>
      </w:pPr>
      <w:r>
        <w:rPr>
          <w:rFonts w:ascii="Courier New" w:cs="Courier New" w:eastAsia="Courier New" w:hAnsi="Courier New"/>
          <w:sz w:val="20"/>
          <w:szCs w:val="20"/>
        </w:rPr>
        <w:t xml:space="preserve">python3 ~/helios_postprocessor/examples/run_analysis.py &lt;base_path&gt;</w:t>
      </w:r>
    </w:p>
    <w:p>
      <w:pPr>
        <w:spacing w:after="80"/>
      </w:pPr>
    </w:p>
    <w:p>
      <w:pPr>
        <w:spacing w:after="120"/>
      </w:pPr>
      <w:r>
        <w:rPr>
          <w:rFonts w:ascii="Arial" w:cs="Arial" w:eastAsia="Arial" w:hAnsi="Arial"/>
          <w:sz w:val="22"/>
          <w:szCs w:val="22"/>
        </w:rPr>
        <w:t xml:space="preserve">Where &lt;base_path&gt; is the simulation path without extension. The script automatically derives all input and output filenames: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File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I/O</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&lt;base&gt;.exo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Input</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EXODUS simulation output (required)</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&lt;base&gt;.rhw</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Input</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RHW input file (optional, auto-detected)</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&lt;base&gt;_published.json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Input</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Published data for comparison (optional)</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&lt;base&gt;_report.pdf</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Output</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Diagnostic plots (20+ pages)</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&lt;base&gt;_comparison.pdf</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Output</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Comparison table and burn history plots</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&lt;base&gt;_summary.txt</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Output</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Text summary with all metrics</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&lt;base&gt;_history.csv</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Output</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Time-history CSV for further analysis</w:t>
            </w:r>
          </w:p>
        </w:tc>
      </w:tr>
    </w:tbl>
    <w:p>
      <w:pPr>
        <w:pStyle w:val="Heading2"/>
      </w:pPr>
      <w:r>
        <w:t xml:space="preserve">5.3 Git Workflow for the Design Cycle</w:t>
      </w:r>
    </w:p>
    <w:p>
      <w:pPr>
        <w:spacing w:after="120"/>
      </w:pPr>
      <w:r>
        <w:rPr>
          <w:rFonts w:ascii="Arial" w:cs="Arial" w:eastAsia="Arial" w:hAnsi="Arial"/>
          <w:sz w:val="22"/>
          <w:szCs w:val="22"/>
        </w:rPr>
        <w:t xml:space="preserve">The design cycle uses a simple GitHub workflow that keeps the codebase synchronized between the development machine (MacBook) and the compute machine (Mac Studio).</w:t>
      </w:r>
    </w:p>
    <w:p>
      <w:pPr>
        <w:pStyle w:val="Heading3"/>
      </w:pPr>
      <w:r>
        <w:t xml:space="preserve">5.3.1 Typical Iteration</w:t>
      </w:r>
    </w:p>
    <w:p>
      <w:pPr>
        <w:spacing w:after="80"/>
      </w:pPr>
    </w:p>
    <w:p>
      <w:pPr>
        <w:pStyle w:val="ListParagraph"/>
        <w:numPr>
          <w:ilvl w:val="0"/>
          <w:numId w:val="2"/>
        </w:numPr>
        <w:spacing w:after="80"/>
      </w:pPr>
      <w:r>
        <w:rPr>
          <w:rFonts w:ascii="Arial" w:cs="Arial" w:eastAsia="Arial" w:hAnsi="Arial"/>
          <w:b/>
          <w:bCs/>
          <w:sz w:val="22"/>
          <w:szCs w:val="22"/>
        </w:rPr>
        <w:t xml:space="preserve">Edit code on MacBook </w:t>
      </w:r>
      <w:r>
        <w:rPr>
          <w:rFonts w:ascii="Arial" w:cs="Arial" w:eastAsia="Arial" w:hAnsi="Arial"/>
          <w:sz w:val="22"/>
          <w:szCs w:val="22"/>
        </w:rPr>
        <w:t xml:space="preserve">using VS Code. The Python extension provides syntax highlighting, linting, and integrated terminal.</w:t>
      </w:r>
    </w:p>
    <w:p>
      <w:pPr>
        <w:pStyle w:val="ListParagraph"/>
        <w:numPr>
          <w:ilvl w:val="0"/>
          <w:numId w:val="2"/>
        </w:numPr>
        <w:spacing w:after="80"/>
      </w:pPr>
      <w:r>
        <w:rPr>
          <w:rFonts w:ascii="Arial" w:cs="Arial" w:eastAsia="Arial" w:hAnsi="Arial"/>
          <w:b/>
          <w:bCs/>
          <w:sz w:val="22"/>
          <w:szCs w:val="22"/>
        </w:rPr>
        <w:t xml:space="preserve">Commit and push </w:t>
      </w:r>
      <w:r>
        <w:rPr>
          <w:rFonts w:ascii="Arial" w:cs="Arial" w:eastAsia="Arial" w:hAnsi="Arial"/>
          <w:sz w:val="22"/>
          <w:szCs w:val="22"/>
        </w:rPr>
        <w:t xml:space="preserve">using VS Code's Source Control panel or the terminal: git add -A &amp;&amp; git commit -m "description" &amp;&amp; git push</w:t>
      </w:r>
    </w:p>
    <w:p>
      <w:pPr>
        <w:pStyle w:val="ListParagraph"/>
        <w:numPr>
          <w:ilvl w:val="0"/>
          <w:numId w:val="2"/>
        </w:numPr>
        <w:spacing w:after="80"/>
      </w:pPr>
      <w:r>
        <w:rPr>
          <w:rFonts w:ascii="Arial" w:cs="Arial" w:eastAsia="Arial" w:hAnsi="Arial"/>
          <w:b/>
          <w:bCs/>
          <w:sz w:val="22"/>
          <w:szCs w:val="22"/>
        </w:rPr>
        <w:t xml:space="preserve">Pull on Mac Studio: </w:t>
      </w:r>
      <w:r>
        <w:rPr>
          <w:rFonts w:ascii="Courier New" w:cs="Courier New" w:eastAsia="Courier New" w:hAnsi="Courier New"/>
          <w:sz w:val="20"/>
          <w:szCs w:val="20"/>
        </w:rPr>
        <w:t xml:space="preserve">cd ~/helios_postprocessor &amp;&amp; git pull</w:t>
      </w:r>
    </w:p>
    <w:p>
      <w:pPr>
        <w:pStyle w:val="ListParagraph"/>
        <w:numPr>
          <w:ilvl w:val="0"/>
          <w:numId w:val="2"/>
        </w:numPr>
        <w:spacing w:after="80"/>
      </w:pPr>
      <w:r>
        <w:rPr>
          <w:rFonts w:ascii="Arial" w:cs="Arial" w:eastAsia="Arial" w:hAnsi="Arial"/>
          <w:b/>
          <w:bCs/>
          <w:sz w:val="22"/>
          <w:szCs w:val="22"/>
        </w:rPr>
        <w:t xml:space="preserve">Run analysis </w:t>
      </w:r>
      <w:r>
        <w:rPr>
          <w:rFonts w:ascii="Arial" w:cs="Arial" w:eastAsia="Arial" w:hAnsi="Arial"/>
          <w:sz w:val="22"/>
          <w:szCs w:val="22"/>
        </w:rPr>
        <w:t xml:space="preserve">against simulation data on the Mac Studio.</w:t>
      </w:r>
    </w:p>
    <w:p>
      <w:pPr>
        <w:pStyle w:val="ListParagraph"/>
        <w:numPr>
          <w:ilvl w:val="0"/>
          <w:numId w:val="2"/>
        </w:numPr>
        <w:spacing w:after="80"/>
      </w:pPr>
      <w:r>
        <w:rPr>
          <w:rFonts w:ascii="Arial" w:cs="Arial" w:eastAsia="Arial" w:hAnsi="Arial"/>
          <w:b/>
          <w:bCs/>
          <w:sz w:val="22"/>
          <w:szCs w:val="22"/>
        </w:rPr>
        <w:t xml:space="preserve">Review results </w:t>
      </w:r>
      <w:r>
        <w:rPr>
          <w:rFonts w:ascii="Arial" w:cs="Arial" w:eastAsia="Arial" w:hAnsi="Arial"/>
          <w:sz w:val="22"/>
          <w:szCs w:val="22"/>
        </w:rPr>
        <w:t xml:space="preserve">and iterate. The editable pip install means code changes on the Mac Studio take effect immediately without reinstalling.</w:t>
      </w:r>
    </w:p>
    <w:p>
      <w:pPr>
        <w:pStyle w:val="Heading3"/>
      </w:pPr>
      <w:r>
        <w:t xml:space="preserve">5.3.2 Adding a New Target Comparison</w:t>
      </w:r>
    </w:p>
    <w:p>
      <w:pPr>
        <w:spacing w:after="120"/>
      </w:pPr>
      <w:r>
        <w:rPr>
          <w:rFonts w:ascii="Arial" w:cs="Arial" w:eastAsia="Arial" w:hAnsi="Arial"/>
          <w:sz w:val="22"/>
          <w:szCs w:val="22"/>
        </w:rPr>
        <w:t xml:space="preserve">To compare a new simulation with published data:</w:t>
      </w:r>
    </w:p>
    <w:p>
      <w:pPr>
        <w:spacing w:after="80"/>
      </w:pPr>
    </w:p>
    <w:p>
      <w:pPr>
        <w:pStyle w:val="ListParagraph"/>
        <w:numPr>
          <w:ilvl w:val="0"/>
          <w:numId w:val="3"/>
        </w:numPr>
        <w:spacing w:after="80"/>
      </w:pPr>
      <w:r>
        <w:rPr>
          <w:rFonts w:ascii="Arial" w:cs="Arial" w:eastAsia="Arial" w:hAnsi="Arial"/>
          <w:sz w:val="22"/>
          <w:szCs w:val="22"/>
        </w:rPr>
        <w:t xml:space="preserve">Create a JSON file named &lt;simulation&gt;_published.json in the same directory as the .exo file.</w:t>
      </w:r>
    </w:p>
    <w:p>
      <w:pPr>
        <w:pStyle w:val="ListParagraph"/>
        <w:numPr>
          <w:ilvl w:val="0"/>
          <w:numId w:val="3"/>
        </w:numPr>
        <w:spacing w:after="80"/>
      </w:pPr>
      <w:r>
        <w:rPr>
          <w:rFonts w:ascii="Arial" w:cs="Arial" w:eastAsia="Arial" w:hAnsi="Arial"/>
          <w:sz w:val="22"/>
          <w:szCs w:val="22"/>
        </w:rPr>
        <w:t xml:space="preserve">Populate it with published values as [value, uncertainty] pairs. Any metric left as [0.0, 0.0] is skipped.</w:t>
      </w:r>
    </w:p>
    <w:p>
      <w:pPr>
        <w:pStyle w:val="ListParagraph"/>
        <w:numPr>
          <w:ilvl w:val="0"/>
          <w:numId w:val="3"/>
        </w:numPr>
        <w:spacing w:after="80"/>
      </w:pPr>
      <w:r>
        <w:rPr>
          <w:rFonts w:ascii="Arial" w:cs="Arial" w:eastAsia="Arial" w:hAnsi="Arial"/>
          <w:sz w:val="22"/>
          <w:szCs w:val="22"/>
        </w:rPr>
        <w:t xml:space="preserve">Run the analysis. The comparison table appears automatically in the console, the summary file, and a dedicated comparison PDF.</w:t>
      </w:r>
    </w:p>
    <w:p>
      <w:pPr>
        <w:pStyle w:val="Heading3"/>
      </w:pPr>
      <w:r>
        <w:t xml:space="preserve">5.3.3 VS Code Configuration</w:t>
      </w:r>
    </w:p>
    <w:p>
      <w:pPr>
        <w:spacing w:after="120"/>
      </w:pPr>
      <w:r>
        <w:rPr>
          <w:rFonts w:ascii="Arial" w:cs="Arial" w:eastAsia="Arial" w:hAnsi="Arial"/>
          <w:sz w:val="22"/>
          <w:szCs w:val="22"/>
        </w:rPr>
        <w:t xml:space="preserve">Recommended VS Code extensions for this workflow:</w:t>
      </w:r>
    </w:p>
    <w:p>
      <w:pPr>
        <w:spacing w:after="80"/>
      </w:pPr>
    </w:p>
    <w:p>
      <w:pPr>
        <w:pStyle w:val="ListParagraph"/>
        <w:numPr>
          <w:ilvl w:val="0"/>
          <w:numId w:val="4"/>
        </w:numPr>
        <w:spacing w:after="60"/>
      </w:pPr>
      <w:r>
        <w:rPr>
          <w:rFonts w:ascii="Arial" w:cs="Arial" w:eastAsia="Arial" w:hAnsi="Arial"/>
          <w:b/>
          <w:bCs/>
          <w:sz w:val="22"/>
          <w:szCs w:val="22"/>
        </w:rPr>
        <w:t xml:space="preserve">Python </w:t>
      </w:r>
      <w:r>
        <w:rPr>
          <w:rFonts w:ascii="Arial" w:cs="Arial" w:eastAsia="Arial" w:hAnsi="Arial"/>
          <w:sz w:val="22"/>
          <w:szCs w:val="22"/>
        </w:rPr>
        <w:t xml:space="preserve">(ms-python.python) — syntax highlighting, linting, debugging</w:t>
      </w:r>
    </w:p>
    <w:p>
      <w:pPr>
        <w:pStyle w:val="ListParagraph"/>
        <w:numPr>
          <w:ilvl w:val="0"/>
          <w:numId w:val="4"/>
        </w:numPr>
        <w:spacing w:after="60"/>
      </w:pPr>
      <w:r>
        <w:rPr>
          <w:rFonts w:ascii="Arial" w:cs="Arial" w:eastAsia="Arial" w:hAnsi="Arial"/>
          <w:b/>
          <w:bCs/>
          <w:sz w:val="22"/>
          <w:szCs w:val="22"/>
        </w:rPr>
        <w:t xml:space="preserve">GitLens </w:t>
      </w:r>
      <w:r>
        <w:rPr>
          <w:rFonts w:ascii="Arial" w:cs="Arial" w:eastAsia="Arial" w:hAnsi="Arial"/>
          <w:sz w:val="22"/>
          <w:szCs w:val="22"/>
        </w:rPr>
        <w:t xml:space="preserve">(eamodio.gitlens) — inline blame annotations, commit history</w:t>
      </w:r>
    </w:p>
    <w:p>
      <w:pPr>
        <w:pStyle w:val="ListParagraph"/>
        <w:numPr>
          <w:ilvl w:val="0"/>
          <w:numId w:val="4"/>
        </w:numPr>
        <w:spacing w:after="60"/>
      </w:pPr>
      <w:r>
        <w:rPr>
          <w:rFonts w:ascii="Arial" w:cs="Arial" w:eastAsia="Arial" w:hAnsi="Arial"/>
          <w:b/>
          <w:bCs/>
          <w:sz w:val="22"/>
          <w:szCs w:val="22"/>
        </w:rPr>
        <w:t xml:space="preserve">Remote - SSH </w:t>
      </w:r>
      <w:r>
        <w:rPr>
          <w:rFonts w:ascii="Arial" w:cs="Arial" w:eastAsia="Arial" w:hAnsi="Arial"/>
          <w:sz w:val="22"/>
          <w:szCs w:val="22"/>
        </w:rPr>
        <w:t xml:space="preserve">(ms-vscode-remote.remote-ssh) — edit files on Mac Studio directly from VS Code on MacBook</w:t>
      </w:r>
    </w:p>
    <w:p>
      <w:pPr>
        <w:pStyle w:val="ListParagraph"/>
        <w:numPr>
          <w:ilvl w:val="0"/>
          <w:numId w:val="4"/>
        </w:numPr>
        <w:spacing w:after="60"/>
      </w:pPr>
      <w:r>
        <w:rPr>
          <w:rFonts w:ascii="Arial" w:cs="Arial" w:eastAsia="Arial" w:hAnsi="Arial"/>
          <w:b/>
          <w:bCs/>
          <w:sz w:val="22"/>
          <w:szCs w:val="22"/>
        </w:rPr>
        <w:t xml:space="preserve">JSON </w:t>
      </w:r>
      <w:r>
        <w:rPr>
          <w:rFonts w:ascii="Arial" w:cs="Arial" w:eastAsia="Arial" w:hAnsi="Arial"/>
          <w:sz w:val="22"/>
          <w:szCs w:val="22"/>
        </w:rPr>
        <w:t xml:space="preserve">language support — for editing _published.json files with validation</w:t>
      </w:r>
    </w:p>
    <w:p>
      <w:r>
        <w:br w:type="page"/>
      </w:r>
    </w:p>
    <w:p>
      <w:pPr>
        <w:pStyle w:val="Heading1"/>
      </w:pPr>
      <w:r>
        <w:t xml:space="preserve">6. Unit Conventions and Physics Notes</w:t>
      </w:r>
    </w:p>
    <w:p>
      <w:pPr>
        <w:pStyle w:val="Heading2"/>
      </w:pPr>
      <w:r>
        <w:t xml:space="preserve">6.1 Internal Units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Quantity</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Internal Unit</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Helios Conversion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Temperature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 (arrays), keV (scalars)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Helios stores eV; divide by 1000 for keV</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Pressure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J/cm3 (arrays), Gbar</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Multiply by 1e-8 for Gbar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Velocity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cm/s (arrays), km/s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Multiply by 1e-5 for km/s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Areal density</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g/cm2</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rhoR = integral of rho dr (cumulative)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Energy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MJ</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Multiply by 1e-6 from Joules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ns</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Multiply by 1e9 from seconds</w:t>
            </w:r>
          </w:p>
        </w:tc>
      </w:tr>
    </w:tbl>
    <w:p>
      <w:pPr>
        <w:pStyle w:val="Heading2"/>
      </w:pPr>
      <w:r>
        <w:t xml:space="preserve">6.2 Critical Physics Conventions</w:t>
      </w:r>
    </w:p>
    <w:p>
      <w:pPr>
        <w:spacing w:after="80"/>
      </w:pPr>
    </w:p>
    <w:p>
      <w:pPr>
        <w:pStyle w:val="ListParagraph"/>
        <w:numPr>
          <w:ilvl w:val="0"/>
          <w:numId w:val="3"/>
        </w:numPr>
        <w:spacing w:after="100"/>
      </w:pPr>
      <w:r>
        <w:rPr>
          <w:rFonts w:ascii="Arial" w:cs="Arial" w:eastAsia="Arial" w:hAnsi="Arial"/>
          <w:b/>
          <w:bCs/>
          <w:sz w:val="22"/>
          <w:szCs w:val="22"/>
        </w:rPr>
        <w:t xml:space="preserve">EXODUS sampling: </w:t>
      </w:r>
      <w:r>
        <w:rPr>
          <w:rFonts w:ascii="Arial" w:cs="Arial" w:eastAsia="Arial" w:hAnsi="Arial"/>
          <w:sz w:val="22"/>
          <w:szCs w:val="22"/>
        </w:rPr>
        <w:t xml:space="preserve">EXODUS files contain a subset of simulation timesteps. Helios time-integrated quantities (neutron count, deposited energy) are authoritative. EXODUS burn rates are used only as weighting functions.</w:t>
      </w:r>
    </w:p>
    <w:p>
      <w:pPr>
        <w:pStyle w:val="ListParagraph"/>
        <w:numPr>
          <w:ilvl w:val="0"/>
          <w:numId w:val="3"/>
        </w:numPr>
        <w:spacing w:after="100"/>
      </w:pPr>
      <w:r>
        <w:rPr>
          <w:rFonts w:ascii="Arial" w:cs="Arial" w:eastAsia="Arial" w:hAnsi="Arial"/>
          <w:b/>
          <w:bCs/>
          <w:sz w:val="22"/>
          <w:szCs w:val="22"/>
        </w:rPr>
        <w:t xml:space="preserve">Stagnation definition: </w:t>
      </w:r>
      <w:r>
        <w:rPr>
          <w:rFonts w:ascii="Arial" w:cs="Arial" w:eastAsia="Arial" w:hAnsi="Arial"/>
          <w:sz w:val="22"/>
          <w:szCs w:val="22"/>
        </w:rPr>
        <w:t xml:space="preserve">Minimum hot-spot outer radius, not peak density. For igniting capsules, peak density occurs after alpha heating shifts the stagnation point.</w:t>
      </w:r>
    </w:p>
    <w:p>
      <w:pPr>
        <w:pStyle w:val="ListParagraph"/>
        <w:numPr>
          <w:ilvl w:val="0"/>
          <w:numId w:val="3"/>
        </w:numPr>
        <w:spacing w:after="100"/>
      </w:pPr>
      <w:r>
        <w:rPr>
          <w:rFonts w:ascii="Arial" w:cs="Arial" w:eastAsia="Arial" w:hAnsi="Arial"/>
          <w:b/>
          <w:bCs/>
          <w:sz w:val="22"/>
          <w:szCs w:val="22"/>
        </w:rPr>
        <w:t xml:space="preserve">Pressure aliasing: </w:t>
      </w:r>
      <w:r>
        <w:rPr>
          <w:rFonts w:ascii="Arial" w:cs="Arial" w:eastAsia="Arial" w:hAnsi="Arial"/>
          <w:sz w:val="22"/>
          <w:szCs w:val="22"/>
        </w:rPr>
        <w:t xml:space="preserve">Total pressure = ion_pressure + rad_pressure everywhere. For 3-component EXODUS files, rad_pressure = elec_pressure + actual rad_pressure.</w:t>
      </w:r>
    </w:p>
    <w:p>
      <w:pPr>
        <w:pStyle w:val="ListParagraph"/>
        <w:numPr>
          <w:ilvl w:val="0"/>
          <w:numId w:val="3"/>
        </w:numPr>
        <w:spacing w:after="100"/>
      </w:pPr>
      <w:r>
        <w:rPr>
          <w:rFonts w:ascii="Arial" w:cs="Arial" w:eastAsia="Arial" w:hAnsi="Arial"/>
          <w:b/>
          <w:bCs/>
          <w:sz w:val="22"/>
          <w:szCs w:val="22"/>
        </w:rPr>
        <w:t xml:space="preserve">Region boundaries: </w:t>
      </w:r>
      <w:r>
        <w:rPr>
          <w:rFonts w:ascii="Arial" w:cs="Arial" w:eastAsia="Arial" w:hAnsi="Arial"/>
          <w:sz w:val="22"/>
          <w:szCs w:val="22"/>
        </w:rPr>
        <w:t xml:space="preserve">region_interfaces_indices are NODE indices. ri[:,0] = hot-spot boundary, ri[:,1] = cold fuel/ablated boundary, ri[:,-2] = fuel/ablator interface.</w:t>
      </w:r>
    </w:p>
    <w:p>
      <w:pPr>
        <w:pStyle w:val="Heading1"/>
      </w:pPr>
      <w:r>
        <w:t xml:space="preserve">7. Future Development</w:t>
      </w:r>
    </w:p>
    <w:p>
      <w:pPr>
        <w:spacing w:after="120"/>
      </w:pPr>
      <w:r>
        <w:rPr>
          <w:rFonts w:ascii="Arial" w:cs="Arial" w:eastAsia="Arial" w:hAnsi="Arial"/>
          <w:sz w:val="22"/>
          <w:szCs w:val="22"/>
        </w:rPr>
        <w:t xml:space="preserve">The following enhancements are planned for upcoming releases:</w:t>
      </w:r>
    </w:p>
    <w:p>
      <w:pPr>
        <w:spacing w:after="80"/>
      </w:pPr>
    </w:p>
    <w:p>
      <w:pPr>
        <w:pStyle w:val="ListParagraph"/>
        <w:numPr>
          <w:ilvl w:val="0"/>
          <w:numId w:val="4"/>
        </w:numPr>
        <w:spacing w:after="80"/>
      </w:pPr>
      <w:r>
        <w:rPr>
          <w:rFonts w:ascii="Arial" w:cs="Arial" w:eastAsia="Arial" w:hAnsi="Arial"/>
          <w:b/>
          <w:bCs/>
          <w:sz w:val="22"/>
          <w:szCs w:val="22"/>
        </w:rPr>
        <w:t xml:space="preserve">Mass fractions validation </w:t>
      </w:r>
      <w:r>
        <w:rPr>
          <w:rFonts w:ascii="Arial" w:cs="Arial" w:eastAsia="Arial" w:hAnsi="Arial"/>
          <w:sz w:val="22"/>
          <w:szCs w:val="22"/>
        </w:rPr>
        <w:t xml:space="preserve">— stagnated fuel, unablated fuel, and ablator fractions need validation against published values.</w:t>
      </w:r>
    </w:p>
    <w:p>
      <w:pPr>
        <w:pStyle w:val="ListParagraph"/>
        <w:numPr>
          <w:ilvl w:val="0"/>
          <w:numId w:val="4"/>
        </w:numPr>
        <w:spacing w:after="80"/>
      </w:pPr>
      <w:r>
        <w:rPr>
          <w:rFonts w:ascii="Arial" w:cs="Arial" w:eastAsia="Arial" w:hAnsi="Arial"/>
          <w:b/>
          <w:bCs/>
          <w:sz w:val="22"/>
          <w:szCs w:val="22"/>
        </w:rPr>
        <w:t xml:space="preserve">Physics module integration </w:t>
      </w:r>
      <w:r>
        <w:rPr>
          <w:rFonts w:ascii="Arial" w:cs="Arial" w:eastAsia="Arial" w:hAnsi="Arial"/>
          <w:sz w:val="22"/>
          <w:szCs w:val="22"/>
        </w:rPr>
        <w:t xml:space="preserve">— wire the standalone energetics, neutron_downscatter, and pressure_gradients modules into the ICFAnalyzer pipeline.</w:t>
      </w:r>
    </w:p>
    <w:p>
      <w:pPr>
        <w:pStyle w:val="ListParagraph"/>
        <w:numPr>
          <w:ilvl w:val="0"/>
          <w:numId w:val="4"/>
        </w:numPr>
        <w:spacing w:after="80"/>
      </w:pPr>
      <w:r>
        <w:rPr>
          <w:rFonts w:ascii="Arial" w:cs="Arial" w:eastAsia="Arial" w:hAnsi="Arial"/>
          <w:b/>
          <w:bCs/>
          <w:sz w:val="22"/>
          <w:szCs w:val="22"/>
        </w:rPr>
        <w:t xml:space="preserve">Extended comparison metrics </w:t>
      </w:r>
      <w:r>
        <w:rPr>
          <w:rFonts w:ascii="Arial" w:cs="Arial" w:eastAsia="Arial" w:hAnsi="Arial"/>
          <w:sz w:val="22"/>
          <w:szCs w:val="22"/>
        </w:rPr>
        <w:t xml:space="preserve">— add DSR, burn width, bang time, hot-spot volume, and yield amplification to the comparison table.</w:t>
      </w:r>
    </w:p>
    <w:p>
      <w:pPr>
        <w:pStyle w:val="ListParagraph"/>
        <w:numPr>
          <w:ilvl w:val="0"/>
          <w:numId w:val="4"/>
        </w:numPr>
        <w:spacing w:after="80"/>
      </w:pPr>
      <w:r>
        <w:rPr>
          <w:rFonts w:ascii="Arial" w:cs="Arial" w:eastAsia="Arial" w:hAnsi="Arial"/>
          <w:b/>
          <w:bCs/>
          <w:sz w:val="22"/>
          <w:szCs w:val="22"/>
        </w:rPr>
        <w:t xml:space="preserve">Multi-target comparison </w:t>
      </w:r>
      <w:r>
        <w:rPr>
          <w:rFonts w:ascii="Arial" w:cs="Arial" w:eastAsia="Arial" w:hAnsi="Arial"/>
          <w:sz w:val="22"/>
          <w:szCs w:val="22"/>
        </w:rPr>
        <w:t xml:space="preserve">— side-by-side analysis of multiple design variants in a single report.</w:t>
      </w:r>
    </w:p>
    <w:p>
      <w:pPr>
        <w:pStyle w:val="ListParagraph"/>
        <w:numPr>
          <w:ilvl w:val="0"/>
          <w:numId w:val="4"/>
        </w:numPr>
        <w:spacing w:after="80"/>
      </w:pPr>
      <w:r>
        <w:rPr>
          <w:rFonts w:ascii="Arial" w:cs="Arial" w:eastAsia="Arial" w:hAnsi="Arial"/>
          <w:b/>
          <w:bCs/>
          <w:sz w:val="22"/>
          <w:szCs w:val="22"/>
        </w:rPr>
        <w:t xml:space="preserve">Region interface robustness </w:t>
      </w:r>
      <w:r>
        <w:rPr>
          <w:rFonts w:ascii="Arial" w:cs="Arial" w:eastAsia="Arial" w:hAnsi="Arial"/>
          <w:sz w:val="22"/>
          <w:szCs w:val="22"/>
        </w:rPr>
        <w:t xml:space="preserve">— add density/composition-gradient fallback for targets without explicit EXODUS region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Helios Post-Processor — Xcimer Energy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AED6F1" w:sz="6" w:space="4"/>
      </w:pBd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2026-03-05T23:14:52.139Z</dcterms:created>
  <dcterms:modified xsi:type="dcterms:W3CDTF">2026-03-05T23:14:52.140Z</dcterms:modified>
</cp:coreProperties>
</file>

<file path=docProps/custom.xml><?xml version="1.0" encoding="utf-8"?>
<Properties xmlns="http://schemas.openxmlformats.org/officeDocument/2006/custom-properties" xmlns:vt="http://schemas.openxmlformats.org/officeDocument/2006/docPropsVTypes"/>
</file>