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E6A7E"/>
          <w:sz w:val="18"/>
          <w:szCs w:val="18"/>
        </w:rPr>
        <w:t xml:space="preserve">TECHNICAL MEMO</w:t>
      </w:r>
    </w:p>
    <w:p>
      <w:pPr>
        <w:spacing w:after="80"/>
      </w:pPr>
      <w:r>
        <w:rPr>
          <w:b/>
          <w:bCs/>
          <w:color w:val="1A2841"/>
          <w:sz w:val="36"/>
          <w:szCs w:val="36"/>
        </w:rPr>
        <w:t xml:space="preserve">Helios 1D Laser Coupling Correction for Direct-Drive Calibration</w:t>
      </w:r>
    </w:p>
    <w:p>
      <w:pPr>
        <w:pBdr>
          <w:bottom w:val="single" w:color="1E6A7E" w:sz="6" w:space="6"/>
        </w:pBdr>
        <w:spacing w:after="240"/>
      </w:pPr>
      <w:r>
        <w:rPr>
          <w:b/>
          <w:bCs/>
          <w:sz w:val="22"/>
          <w:szCs w:val="22"/>
        </w:rPr>
        <w:t xml:space="preserve">T. Mehlhorn</w:t>
      </w:r>
      <w:r>
        <w:rPr>
          <w:color w:val="555555"/>
          <w:sz w:val="22"/>
          <w:szCs w:val="22"/>
        </w:rPr>
        <w:t xml:space="preserve">  ·  Xcimer Energy  ·  May 2026</w:t>
      </w:r>
    </w:p>
    <w:p>
      <w:pPr>
        <w:pStyle w:val="Heading1"/>
        <w:spacing w:after="160" w:before="280"/>
      </w:pPr>
      <w:r>
        <w:rPr>
          <w:b/>
          <w:bCs/>
          <w:color w:val="1A2841"/>
          <w:sz w:val="28"/>
          <w:szCs w:val="28"/>
        </w:rPr>
        <w:t xml:space="preserve">Executive summary</w:t>
      </w:r>
    </w:p>
    <w:p>
      <w:pPr>
        <w:spacing w:after="120" w:before="0" w:line="280"/>
        <w:jc w:val="left"/>
      </w:pPr>
      <w:r>
        <w:rPr>
          <w:b w:val="false"/>
          <w:bCs w:val="false"/>
          <w:i w:val="false"/>
          <w:iCs w:val="false"/>
          <w:sz w:val="22"/>
          <w:szCs w:val="22"/>
        </w:rPr>
        <w:t xml:space="preserve">Helios is a 1D spherical hydrodynamics code with a laser ray-trace that models the beam as a single cone of half-angle θ from a fixed focal point at distance d from the target centre. By spherical-symmetry construction, this cone always intercepts the spherical target — Helios cannot reproduce the geometric coupling reduction that occurs in polar-direct-drive (PDD) and hot-spot direct-drive (HDD) configurations, where fixed-pointing beams increasingly miss the imploding capsule as it shrinks. Three-dimensional codes (HYDRA, LILAC, Xrage) capture this self-consistently.</w:t>
      </w:r>
    </w:p>
    <w:p>
      <w:pPr>
        <w:spacing w:after="120" w:before="0" w:line="280"/>
        <w:jc w:val="left"/>
      </w:pPr>
      <w:r>
        <w:rPr>
          <w:b w:val="false"/>
          <w:bCs w:val="false"/>
          <w:i w:val="false"/>
          <w:iCs w:val="false"/>
          <w:sz w:val="22"/>
          <w:szCs w:val="22"/>
        </w:rPr>
        <w:t xml:space="preserve">This memo lays out four physically reasonable options for adding the geometric correction, ranging from external pre-processing through code modifications of increasing fidelity. The recommended path is to test the correction empirically (Option 1) using a no-burn run, and if the corrected pulse improves agreement with reference codes, motivate Helios developers to integrate Option 2 or Option 3 as a permanent fix.</w:t>
      </w:r>
    </w:p>
    <w:p>
      <w:pPr>
        <w:pStyle w:val="Heading1"/>
        <w:spacing w:after="160" w:before="280"/>
      </w:pPr>
      <w:r>
        <w:rPr>
          <w:b/>
          <w:bCs/>
          <w:color w:val="1A2841"/>
          <w:sz w:val="28"/>
          <w:szCs w:val="28"/>
        </w:rPr>
        <w:t xml:space="preserve">1. The 1D ray-trace limitation</w:t>
      </w:r>
    </w:p>
    <w:p>
      <w:pPr>
        <w:spacing w:after="120" w:before="0" w:line="280"/>
        <w:jc w:val="left"/>
      </w:pPr>
      <w:r>
        <w:rPr>
          <w:b w:val="false"/>
          <w:bCs w:val="false"/>
          <w:i w:val="false"/>
          <w:iCs w:val="false"/>
          <w:sz w:val="22"/>
          <w:szCs w:val="22"/>
        </w:rPr>
        <w:t xml:space="preserve">In real ICF experiments using polar direct drive or hot-spot direct drive, the laser beams are fixed in lab frame and pointed at a specific position. As the capsule implodes, its absorbing surface R(t) shrinks toward the centre. At late times, R(t) is significantly smaller than the beam footprint in the focal plane, and a progressively larger fraction of the beam physically misses the absorption surface.</w:t>
      </w:r>
    </w:p>
    <w:p>
      <w:pPr>
        <w:spacing w:after="120" w:before="0" w:line="280"/>
        <w:jc w:val="left"/>
      </w:pPr>
      <w:r>
        <w:rPr>
          <w:b w:val="false"/>
          <w:bCs w:val="false"/>
          <w:i w:val="false"/>
          <w:iCs w:val="false"/>
          <w:sz w:val="22"/>
          <w:szCs w:val="22"/>
        </w:rPr>
        <w:t xml:space="preserve">Helios's 1D ray-trace propagates the beam cone symmetrically inward and applies refraction via geometrical optics based on the local plasma profile. Rays at large angles or in low-density coronae can refract outward and escape — so Helios does not assume “every ray reaches the critical surface.” However, the 1D model has no mechanism for the specifically three-dimensional effect of fixed-pointing beams increasingly missing a shrinking spherical target. The symmetrically-inward propagating cone always intercepts the sphere by construction.</w:t>
      </w:r>
    </w:p>
    <w:p>
      <w:pPr>
        <w:spacing w:after="120" w:before="0" w:line="280"/>
        <w:jc w:val="left"/>
      </w:pPr>
      <w:r>
        <w:rPr>
          <w:b w:val="false"/>
          <w:bCs w:val="false"/>
          <w:i w:val="false"/>
          <w:iCs w:val="false"/>
          <w:sz w:val="22"/>
          <w:szCs w:val="22"/>
        </w:rPr>
        <w:t xml:space="preserve">Observationally in PDD/HDD calibration runs this manifests as Helios delivering more absorbed energy to the imploding shell at late times than HYDRA/LILAC/Xrage do for the same input pulse, producing excess implosion velocity and excess in-flight kinetic energy. Calibrating Helios by reducing peak input power masks the geometric effect rather than correcting it — the calibration is then valid only at the specific geometry, and does not transfer to scaled targets or different drive configurations.</w:t>
      </w:r>
    </w:p>
    <w:p>
      <w:pPr>
        <w:pStyle w:val="Heading1"/>
        <w:spacing w:after="160" w:before="280"/>
      </w:pPr>
      <w:r>
        <w:rPr>
          <w:b/>
          <w:bCs/>
          <w:color w:val="1A2841"/>
          <w:sz w:val="28"/>
          <w:szCs w:val="28"/>
        </w:rPr>
        <w:t xml:space="preserve">2. Physical formulation</w:t>
      </w:r>
    </w:p>
    <w:p>
      <w:pPr>
        <w:spacing w:after="120" w:before="0" w:line="280"/>
        <w:jc w:val="left"/>
      </w:pPr>
      <w:r>
        <w:rPr>
          <w:b w:val="false"/>
          <w:bCs w:val="false"/>
          <w:i w:val="false"/>
          <w:iCs w:val="false"/>
          <w:sz w:val="22"/>
          <w:szCs w:val="22"/>
        </w:rPr>
        <w:t xml:space="preserve">Consider a beam with cone half-angle θ originating from a focal point at distance d from the target centre. The fraction of the beam intercepted by a sphere of radius R(t) can be captured by either of two formulations.</w:t>
      </w:r>
    </w:p>
    <w:p>
      <w:pPr>
        <w:pStyle w:val="Heading2"/>
        <w:spacing w:after="120" w:before="220"/>
      </w:pPr>
      <w:r>
        <w:rPr>
          <w:b/>
          <w:bCs/>
          <w:color w:val="1A2841"/>
          <w:sz w:val="24"/>
          <w:szCs w:val="24"/>
        </w:rPr>
        <w:t xml:space="preserve">2.1 Solid-angle view factor (Option 2/3 formula)</w:t>
      </w:r>
    </w:p>
    <w:p>
      <w:pPr>
        <w:spacing w:after="120" w:before="0" w:line="280"/>
        <w:jc w:val="left"/>
      </w:pPr>
      <w:r>
        <w:rPr>
          <w:b w:val="false"/>
          <w:bCs w:val="false"/>
          <w:i w:val="false"/>
          <w:iCs w:val="false"/>
          <w:sz w:val="22"/>
          <w:szCs w:val="22"/>
        </w:rPr>
        <w:t xml:space="preserve">Treat the beam cone as an isotropic source emitting into solid angle Ω_cone = 2π(1 − cos θ). The fraction of the cone subtended by a sphere of radius R at distance d is</w:t>
      </w:r>
    </w:p>
    <w:p>
      <w:pPr>
        <w:spacing w:after="120" w:before="60" w:line="260"/>
        <w:ind w:left="360"/>
      </w:pPr>
      <w:r>
        <w:rPr>
          <w:rFonts w:ascii="Consolas" w:cs="Consolas" w:eastAsia="Consolas" w:hAnsi="Consolas"/>
          <w:sz w:val="20"/>
          <w:szCs w:val="20"/>
        </w:rPr>
        <w:t xml:space="preserve">Ω(t) = 2π[1 − cos(arcsin(R(t)/d))] = 2π[1 − √(1 − R²/d²)]</w:t>
      </w:r>
    </w:p>
    <w:p>
      <w:pPr>
        <w:spacing w:after="120" w:before="0" w:line="280"/>
      </w:pPr>
      <w:r>
        <w:rPr>
          <w:b w:val="false"/>
          <w:bCs w:val="false"/>
          <w:i w:val="false"/>
          <w:iCs w:val="false"/>
          <w:sz w:val="22"/>
          <w:szCs w:val="22"/>
        </w:rPr>
        <w:t xml:space="preserve">yielding the coupling fraction </w:t>
      </w:r>
      <w:r>
        <w:rPr>
          <w:rFonts w:ascii="Consolas" w:cs="Consolas" w:eastAsia="Consolas" w:hAnsi="Consolas"/>
          <w:b w:val="false"/>
          <w:bCs w:val="false"/>
          <w:i w:val="false"/>
          <w:iCs w:val="false"/>
          <w:sz w:val="20"/>
          <w:szCs w:val="20"/>
        </w:rPr>
        <w:t xml:space="preserve">f_geom(t) = Ω(t) / Ω_cone</w:t>
      </w:r>
      <w:r>
        <w:rPr>
          <w:b w:val="false"/>
          <w:bCs w:val="false"/>
          <w:i w:val="false"/>
          <w:iCs w:val="false"/>
          <w:sz w:val="22"/>
          <w:szCs w:val="22"/>
        </w:rPr>
        <w:t xml:space="preserve">, capped at 1 when R/d ≥ sin θ. The result is </w:t>
      </w:r>
      <w:r>
        <w:rPr>
          <w:b/>
          <w:bCs/>
          <w:i w:val="false"/>
          <w:iCs w:val="false"/>
          <w:sz w:val="22"/>
          <w:szCs w:val="22"/>
        </w:rPr>
        <w:t xml:space="preserve">beam-profile-independent</w:t>
      </w:r>
      <w:r>
        <w:rPr>
          <w:b w:val="false"/>
          <w:bCs w:val="false"/>
          <w:i w:val="false"/>
          <w:iCs w:val="false"/>
          <w:sz w:val="22"/>
          <w:szCs w:val="22"/>
        </w:rPr>
        <w:t xml:space="preserve"> — it requires only the cone half-angle and the focal distance, and is the simplest defensible correction for a 1D code.</w:t>
      </w:r>
    </w:p>
    <w:p>
      <w:pPr>
        <w:pStyle w:val="Heading2"/>
        <w:spacing w:after="120" w:before="220"/>
      </w:pPr>
      <w:r>
        <w:rPr>
          <w:b/>
          <w:bCs/>
          <w:color w:val="1A2841"/>
          <w:sz w:val="24"/>
          <w:szCs w:val="24"/>
        </w:rPr>
        <w:t xml:space="preserve">2.2 Gaussian disk projection (Option 1 formula)</w:t>
      </w:r>
    </w:p>
    <w:p>
      <w:pPr>
        <w:spacing w:after="120" w:before="0" w:line="280"/>
        <w:jc w:val="left"/>
      </w:pPr>
      <w:r>
        <w:rPr>
          <w:b w:val="false"/>
          <w:bCs w:val="false"/>
          <w:i w:val="false"/>
          <w:iCs w:val="false"/>
          <w:sz w:val="22"/>
          <w:szCs w:val="22"/>
        </w:rPr>
        <w:t xml:space="preserve">For a Gaussian beam with 1/e² intensity radius w in the focal plane, the fraction of the beam intercepted by a disk of radius R(t) is</w:t>
      </w:r>
    </w:p>
    <w:p>
      <w:pPr>
        <w:spacing w:after="120" w:before="60" w:line="260"/>
        <w:ind w:left="360"/>
      </w:pPr>
      <w:r>
        <w:rPr>
          <w:rFonts w:ascii="Consolas" w:cs="Consolas" w:eastAsia="Consolas" w:hAnsi="Consolas"/>
          <w:sz w:val="20"/>
          <w:szCs w:val="20"/>
        </w:rPr>
        <w:t xml:space="preserve">η(t) = 1 − exp(−2 R(t)² / w²)</w:t>
      </w:r>
    </w:p>
    <w:p>
      <w:pPr>
        <w:spacing w:after="120" w:before="0" w:line="280"/>
        <w:jc w:val="left"/>
      </w:pPr>
      <w:r>
        <w:rPr>
          <w:b w:val="false"/>
          <w:bCs w:val="false"/>
          <w:i w:val="false"/>
          <w:iCs w:val="false"/>
          <w:sz w:val="22"/>
          <w:szCs w:val="22"/>
        </w:rPr>
        <w:t xml:space="preserve">normalized by the value at the anchor time (first laser-on sample). This formulation is more accurate when the beam profile is well-approximated as Gaussian, but it requires the spot-size parameter w. For multi-beam configurations with different spot sizes per beam, the correction is beam-dependent.</w:t>
      </w:r>
    </w:p>
    <w:p>
      <w:pPr>
        <w:pStyle w:val="Heading1"/>
        <w:spacing w:after="160" w:before="280"/>
      </w:pPr>
      <w:r>
        <w:rPr>
          <w:b/>
          <w:bCs/>
          <w:color w:val="1A2841"/>
          <w:sz w:val="28"/>
          <w:szCs w:val="28"/>
        </w:rPr>
        <w:t xml:space="preserve">3. Four implementation options</w:t>
      </w:r>
    </w:p>
    <w:p>
      <w:pPr>
        <w:spacing w:after="120" w:before="0" w:line="280"/>
        <w:jc w:val="left"/>
      </w:pPr>
      <w:r>
        <w:rPr>
          <w:b w:val="false"/>
          <w:bCs w:val="false"/>
          <w:i w:val="false"/>
          <w:iCs w:val="false"/>
          <w:sz w:val="22"/>
          <w:szCs w:val="22"/>
        </w:rPr>
        <w:t xml:space="preserve">Listed in order of increasing physical fidelity and implementation cost. All four are physically defensible; the choice is driven by available developer effort and the precision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1860"/>
        <w:gridCol w:w="1100"/>
      </w:tblGrid>
      <w:tr>
        <w:trPr>
          <w:tblHeader/>
        </w:trPr>
        <w:tc>
          <w:tcPr>
            <w:tcW w:type="dxa" w:w="600"/>
            <w:tcBorders>
              <w:top w:val="single" w:color="C8CFD6" w:sz="4"/>
              <w:left w:val="single" w:color="C8CFD6" w:sz="4"/>
              <w:bottom w:val="single" w:color="C8CFD6" w:sz="4"/>
              <w:right w:val="single" w:color="C8CFD6" w:sz="4"/>
            </w:tcBorders>
            <w:shd w:fill="1A2841" w:val="clear"/>
            <w:tcMar>
              <w:top w:type="dxa" w:w="80"/>
              <w:left w:type="dxa" w:w="120"/>
              <w:bottom w:type="dxa" w:w="80"/>
              <w:right w:type="dxa" w:w="120"/>
            </w:tcMar>
          </w:tcPr>
          <w:p>
            <w:pPr>
              <w:jc w:val="center"/>
            </w:pPr>
            <w:r>
              <w:rPr>
                <w:b/>
                <w:bCs/>
                <w:color w:val="FFFFFF"/>
                <w:sz w:val="20"/>
                <w:szCs w:val="20"/>
              </w:rPr>
              <w:t xml:space="preserve">#</w:t>
            </w:r>
          </w:p>
        </w:tc>
        <w:tc>
          <w:tcPr>
            <w:tcW w:type="dxa" w:w="3000"/>
            <w:tcBorders>
              <w:top w:val="single" w:color="C8CFD6" w:sz="4"/>
              <w:left w:val="single" w:color="C8CFD6" w:sz="4"/>
              <w:bottom w:val="single" w:color="C8CFD6" w:sz="4"/>
              <w:right w:val="single" w:color="C8CFD6" w:sz="4"/>
            </w:tcBorders>
            <w:shd w:fill="1A2841" w:val="clear"/>
            <w:tcMar>
              <w:top w:type="dxa" w:w="80"/>
              <w:left w:type="dxa" w:w="120"/>
              <w:bottom w:type="dxa" w:w="80"/>
              <w:right w:type="dxa" w:w="120"/>
            </w:tcMar>
          </w:tcPr>
          <w:p>
            <w:pPr>
              <w:jc w:val="center"/>
            </w:pPr>
            <w:r>
              <w:rPr>
                <w:b/>
                <w:bCs/>
                <w:color w:val="FFFFFF"/>
                <w:sz w:val="20"/>
                <w:szCs w:val="20"/>
              </w:rPr>
              <w:t xml:space="preserve">Implementation locus</w:t>
            </w:r>
          </w:p>
        </w:tc>
        <w:tc>
          <w:tcPr>
            <w:tcW w:type="dxa" w:w="2800"/>
            <w:tcBorders>
              <w:top w:val="single" w:color="C8CFD6" w:sz="4"/>
              <w:left w:val="single" w:color="C8CFD6" w:sz="4"/>
              <w:bottom w:val="single" w:color="C8CFD6" w:sz="4"/>
              <w:right w:val="single" w:color="C8CFD6" w:sz="4"/>
            </w:tcBorders>
            <w:shd w:fill="1A2841" w:val="clear"/>
            <w:tcMar>
              <w:top w:type="dxa" w:w="80"/>
              <w:left w:type="dxa" w:w="120"/>
              <w:bottom w:type="dxa" w:w="80"/>
              <w:right w:type="dxa" w:w="120"/>
            </w:tcMar>
          </w:tcPr>
          <w:p>
            <w:pPr>
              <w:jc w:val="center"/>
            </w:pPr>
            <w:r>
              <w:rPr>
                <w:b/>
                <w:bCs/>
                <w:color w:val="FFFFFF"/>
                <w:sz w:val="20"/>
                <w:szCs w:val="20"/>
              </w:rPr>
              <w:t xml:space="preserve">Physical fidelity</w:t>
            </w:r>
          </w:p>
        </w:tc>
        <w:tc>
          <w:tcPr>
            <w:tcW w:type="dxa" w:w="1860"/>
            <w:tcBorders>
              <w:top w:val="single" w:color="C8CFD6" w:sz="4"/>
              <w:left w:val="single" w:color="C8CFD6" w:sz="4"/>
              <w:bottom w:val="single" w:color="C8CFD6" w:sz="4"/>
              <w:right w:val="single" w:color="C8CFD6" w:sz="4"/>
            </w:tcBorders>
            <w:shd w:fill="1A2841" w:val="clear"/>
            <w:tcMar>
              <w:top w:type="dxa" w:w="80"/>
              <w:left w:type="dxa" w:w="120"/>
              <w:bottom w:type="dxa" w:w="80"/>
              <w:right w:type="dxa" w:w="120"/>
            </w:tcMar>
          </w:tcPr>
          <w:p>
            <w:pPr>
              <w:jc w:val="center"/>
            </w:pPr>
            <w:r>
              <w:rPr>
                <w:b/>
                <w:bCs/>
                <w:color w:val="FFFFFF"/>
                <w:sz w:val="20"/>
                <w:szCs w:val="20"/>
              </w:rPr>
              <w:t xml:space="preserve">Effort</w:t>
            </w:r>
          </w:p>
        </w:tc>
        <w:tc>
          <w:tcPr>
            <w:tcW w:type="dxa" w:w="1100"/>
            <w:tcBorders>
              <w:top w:val="single" w:color="C8CFD6" w:sz="4"/>
              <w:left w:val="single" w:color="C8CFD6" w:sz="4"/>
              <w:bottom w:val="single" w:color="C8CFD6" w:sz="4"/>
              <w:right w:val="single" w:color="C8CFD6" w:sz="4"/>
            </w:tcBorders>
            <w:shd w:fill="1A2841" w:val="clear"/>
            <w:tcMar>
              <w:top w:type="dxa" w:w="80"/>
              <w:left w:type="dxa" w:w="120"/>
              <w:bottom w:type="dxa" w:w="80"/>
              <w:right w:type="dxa" w:w="120"/>
            </w:tcMar>
          </w:tcPr>
          <w:p>
            <w:pPr>
              <w:jc w:val="center"/>
            </w:pPr>
            <w:r>
              <w:rPr>
                <w:b/>
                <w:bCs/>
                <w:color w:val="FFFFFF"/>
                <w:sz w:val="20"/>
                <w:szCs w:val="20"/>
              </w:rPr>
              <w:t xml:space="preserve">Helios change</w:t>
            </w:r>
          </w:p>
        </w:tc>
      </w:tr>
      <w:tr>
        <w:tc>
          <w:tcPr>
            <w:tcW w:type="dxa" w:w="6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bCs/>
                <w:sz w:val="20"/>
                <w:szCs w:val="20"/>
              </w:rPr>
              <w:t xml:space="preserve">1</w:t>
            </w:r>
          </w:p>
        </w:tc>
        <w:tc>
          <w:tcPr>
            <w:tcW w:type="dxa" w:w="30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External pre-processing multiplier</w:t>
            </w:r>
          </w:p>
        </w:tc>
        <w:tc>
          <w:tcPr>
            <w:tcW w:type="dxa" w:w="28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Medium — empirical, single bulk multiplier</w:t>
            </w:r>
          </w:p>
        </w:tc>
        <w:tc>
          <w:tcPr>
            <w:tcW w:type="dxa" w:w="186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~1 day; Python script</w:t>
            </w:r>
          </w:p>
        </w:tc>
        <w:tc>
          <w:tcPr>
            <w:tcW w:type="dxa" w:w="11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val="false"/>
                <w:bCs w:val="false"/>
                <w:sz w:val="20"/>
                <w:szCs w:val="20"/>
              </w:rPr>
              <w:t xml:space="preserve">None</w:t>
            </w:r>
          </w:p>
        </w:tc>
      </w:tr>
      <w:tr>
        <w:tc>
          <w:tcPr>
            <w:tcW w:type="dxa" w:w="6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bCs/>
                <w:sz w:val="20"/>
                <w:szCs w:val="20"/>
              </w:rPr>
              <w:t xml:space="preserve">2</w:t>
            </w:r>
          </w:p>
        </w:tc>
        <w:tc>
          <w:tcPr>
            <w:tcW w:type="dxa" w:w="30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View-factor multiplier inside ray-trace</w:t>
            </w:r>
          </w:p>
        </w:tc>
        <w:tc>
          <w:tcPr>
            <w:tcW w:type="dxa" w:w="28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Medium–high — physically motivated, beam-independent</w:t>
            </w:r>
          </w:p>
        </w:tc>
        <w:tc>
          <w:tcPr>
            <w:tcW w:type="dxa" w:w="186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~3 lines, ~1 hour</w:t>
            </w:r>
          </w:p>
        </w:tc>
        <w:tc>
          <w:tcPr>
            <w:tcW w:type="dxa" w:w="11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val="false"/>
                <w:bCs w:val="false"/>
                <w:sz w:val="20"/>
                <w:szCs w:val="20"/>
              </w:rPr>
              <w:t xml:space="preserve">Yes</w:t>
            </w:r>
          </w:p>
        </w:tc>
      </w:tr>
      <w:tr>
        <w:tc>
          <w:tcPr>
            <w:tcW w:type="dxa" w:w="6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bCs/>
                <w:sz w:val="20"/>
                <w:szCs w:val="20"/>
              </w:rPr>
              <w:t xml:space="preserve">3</w:t>
            </w:r>
          </w:p>
        </w:tc>
        <w:tc>
          <w:tcPr>
            <w:tcW w:type="dxa" w:w="30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Per-ray geometric intercept check</w:t>
            </w:r>
          </w:p>
        </w:tc>
        <w:tc>
          <w:tcPr>
            <w:tcW w:type="dxa" w:w="28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High — self-consistent with refraction</w:t>
            </w:r>
          </w:p>
        </w:tc>
        <w:tc>
          <w:tcPr>
            <w:tcW w:type="dxa" w:w="186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~10–15 lines, ~1 day</w:t>
            </w:r>
          </w:p>
        </w:tc>
        <w:tc>
          <w:tcPr>
            <w:tcW w:type="dxa" w:w="11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val="false"/>
                <w:bCs w:val="false"/>
                <w:sz w:val="20"/>
                <w:szCs w:val="20"/>
              </w:rPr>
              <w:t xml:space="preserve">Yes</w:t>
            </w:r>
          </w:p>
        </w:tc>
      </w:tr>
      <w:tr>
        <w:tc>
          <w:tcPr>
            <w:tcW w:type="dxa" w:w="6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bCs/>
                <w:sz w:val="20"/>
                <w:szCs w:val="20"/>
              </w:rPr>
              <w:t xml:space="preserve">4</w:t>
            </w:r>
          </w:p>
        </w:tc>
        <w:tc>
          <w:tcPr>
            <w:tcW w:type="dxa" w:w="30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Multi-angle (multi-bin) beam model</w:t>
            </w:r>
          </w:p>
        </w:tc>
        <w:tc>
          <w:tcPr>
            <w:tcW w:type="dxa" w:w="28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Highest — per-beam pointing, CBET-ready</w:t>
            </w:r>
          </w:p>
        </w:tc>
        <w:tc>
          <w:tcPr>
            <w:tcW w:type="dxa" w:w="186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New module, weeks</w:t>
            </w:r>
          </w:p>
        </w:tc>
        <w:tc>
          <w:tcPr>
            <w:tcW w:type="dxa" w:w="11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val="false"/>
                <w:bCs w:val="false"/>
                <w:sz w:val="20"/>
                <w:szCs w:val="20"/>
              </w:rPr>
              <w:t xml:space="preserve">Yes (large)</w:t>
            </w:r>
          </w:p>
        </w:tc>
      </w:tr>
    </w:tbl>
    <w:p>
      <w:pPr>
        <w:pStyle w:val="Heading2"/>
        <w:spacing w:after="120" w:before="220"/>
      </w:pPr>
      <w:r>
        <w:rPr>
          <w:b/>
          <w:bCs/>
          <w:color w:val="1A2841"/>
          <w:sz w:val="24"/>
          <w:szCs w:val="24"/>
        </w:rPr>
        <w:t xml:space="preserve">3.1 Option 1 — External pre-processor (no Helios change)</w:t>
      </w:r>
    </w:p>
    <w:p>
      <w:pPr>
        <w:spacing w:after="120" w:before="0" w:line="280"/>
        <w:jc w:val="left"/>
      </w:pPr>
      <w:r>
        <w:rPr>
          <w:b w:val="false"/>
          <w:bCs w:val="false"/>
          <w:i w:val="false"/>
          <w:iCs w:val="false"/>
          <w:sz w:val="22"/>
          <w:szCs w:val="22"/>
        </w:rPr>
        <w:t xml:space="preserve">Take R(t) from a no-burn Helios run, compute f_geom(t) using either the view-factor or Gaussian formula, scale the original RHW power table P(t) → P(t)·f_geom(t), and re-run Helios with the corrected table.</w:t>
      </w:r>
    </w:p>
    <w:p>
      <w:pPr>
        <w:spacing w:after="120" w:before="0" w:line="280"/>
      </w:pPr>
      <w:r>
        <w:rPr>
          <w:b w:val="false"/>
          <w:bCs w:val="false"/>
          <w:i w:val="false"/>
          <w:iCs w:val="false"/>
          <w:sz w:val="22"/>
          <w:szCs w:val="22"/>
        </w:rPr>
        <w:t xml:space="preserve">Implementation: </w:t>
      </w:r>
      <w:r>
        <w:rPr>
          <w:rFonts w:ascii="Consolas" w:cs="Consolas" w:eastAsia="Consolas" w:hAnsi="Consolas"/>
          <w:b w:val="false"/>
          <w:bCs w:val="false"/>
          <w:i w:val="false"/>
          <w:iCs w:val="false"/>
          <w:sz w:val="20"/>
          <w:szCs w:val="20"/>
        </w:rPr>
        <w:t xml:space="preserve">pdd_geometric_coupling.py</w:t>
      </w:r>
      <w:r>
        <w:rPr>
          <w:b w:val="false"/>
          <w:bCs w:val="false"/>
          <w:i w:val="false"/>
          <w:iCs w:val="false"/>
          <w:sz w:val="22"/>
          <w:szCs w:val="22"/>
        </w:rPr>
        <w:t xml:space="preserve"> (attached as a separate deliverable). Usage:</w:t>
      </w:r>
    </w:p>
    <w:p>
      <w:pPr>
        <w:spacing w:after="120" w:before="60" w:line="260"/>
        <w:ind w:left="360"/>
      </w:pPr>
      <w:r>
        <w:rPr>
          <w:rFonts w:ascii="Consolas" w:cs="Consolas" w:eastAsia="Consolas" w:hAnsi="Consolas"/>
          <w:sz w:val="20"/>
          <w:szCs w:val="20"/>
        </w:rPr>
        <w:t xml:space="preserve">python3 pdd_geometric_coupling.py &lt;base_path&gt; [--formula view_factor|gaussian]</w:t>
      </w:r>
    </w:p>
    <w:p>
      <w:pPr>
        <w:spacing w:after="120" w:before="0" w:line="280"/>
        <w:jc w:val="left"/>
      </w:pPr>
      <w:r>
        <w:rPr>
          <w:b w:val="false"/>
          <w:bCs w:val="false"/>
          <w:i w:val="false"/>
          <w:iCs w:val="false"/>
          <w:sz w:val="22"/>
          <w:szCs w:val="22"/>
        </w:rPr>
        <w:t xml:space="preserve">Output: a corrected_power.csv table, a diagnostic PDF showing R(t), f_geom(t), and original vs corrected pulse, and a summary printout with the integrated energy change.</w:t>
      </w:r>
    </w:p>
    <w:p>
      <w:pPr>
        <w:spacing w:after="120" w:before="0" w:line="280"/>
        <w:jc w:val="left"/>
      </w:pPr>
      <w:r>
        <w:rPr>
          <w:b w:val="false"/>
          <w:bCs w:val="false"/>
          <w:i w:val="false"/>
          <w:iCs w:val="false"/>
          <w:sz w:val="22"/>
          <w:szCs w:val="22"/>
        </w:rPr>
        <w:t xml:space="preserve">Limitation: empirical and requires a no-burn run to establish R(t). The foot, ramp, and peak portions of the pulse are scaled by a single multiplier rather than independently. If the calibration goal is to match foot adiabat and peak velocity simultaneously, this option may need to be paired with separate flux-limiter or pulse-shape tuning.</w:t>
      </w:r>
    </w:p>
    <w:p>
      <w:pPr>
        <w:spacing w:after="120" w:before="0" w:line="280"/>
        <w:jc w:val="left"/>
      </w:pPr>
      <w:r>
        <w:rPr>
          <w:b w:val="false"/>
          <w:bCs w:val="false"/>
          <w:i/>
          <w:iCs/>
          <w:sz w:val="22"/>
          <w:szCs w:val="22"/>
        </w:rPr>
        <w:t xml:space="preserve">Recommended use: rapid diagnostic to test whether the geometric miss is a meaningful component of the calibration gap before committing to a Helios source-code modification.</w:t>
      </w:r>
    </w:p>
    <w:p>
      <w:pPr>
        <w:pStyle w:val="Heading2"/>
        <w:spacing w:after="120" w:before="220"/>
      </w:pPr>
      <w:r>
        <w:rPr>
          <w:b/>
          <w:bCs/>
          <w:color w:val="1A2841"/>
          <w:sz w:val="24"/>
          <w:szCs w:val="24"/>
        </w:rPr>
        <w:t xml:space="preserve">3.2 Option 2 — View-factor multiplier in Helios</w:t>
      </w:r>
    </w:p>
    <w:p>
      <w:pPr>
        <w:spacing w:after="120" w:before="0" w:line="280"/>
        <w:jc w:val="left"/>
      </w:pPr>
      <w:r>
        <w:rPr>
          <w:b w:val="false"/>
          <w:bCs w:val="false"/>
          <w:i w:val="false"/>
          <w:iCs w:val="false"/>
          <w:sz w:val="22"/>
          <w:szCs w:val="22"/>
        </w:rPr>
        <w:t xml:space="preserve">Inside the existing Helios ray-trace, apply the view-factor multiplier at each time step:</w:t>
      </w:r>
    </w:p>
    <w:p>
      <w:pPr>
        <w:spacing w:after="120" w:before="60" w:line="260"/>
        <w:ind w:left="360"/>
      </w:pPr>
      <w:r>
        <w:rPr>
          <w:rFonts w:ascii="Consolas" w:cs="Consolas" w:eastAsia="Consolas" w:hAnsi="Consolas"/>
          <w:sz w:val="20"/>
          <w:szCs w:val="20"/>
        </w:rPr>
        <w:t xml:space="preserve">Ω(t)/Ω(0) = (1 − cos(arcsin(R(t)/d))) / (1 − cos(arcsin(R(0)/d)))</w:t>
      </w:r>
    </w:p>
    <w:p>
      <w:pPr>
        <w:spacing w:after="120" w:before="60" w:line="260"/>
        <w:ind w:left="360"/>
      </w:pPr>
      <w:r>
        <w:rPr>
          <w:rFonts w:ascii="Consolas" w:cs="Consolas" w:eastAsia="Consolas" w:hAnsi="Consolas"/>
          <w:sz w:val="20"/>
          <w:szCs w:val="20"/>
        </w:rPr>
        <w:t xml:space="preserve">P_eff(t) = P_delivered(t) × Ω(t)/Ω(0)</w:t>
      </w:r>
    </w:p>
    <w:p>
      <w:pPr>
        <w:spacing w:after="120" w:before="0" w:line="280"/>
      </w:pPr>
      <w:r>
        <w:rPr>
          <w:b w:val="false"/>
          <w:bCs w:val="false"/>
          <w:i w:val="false"/>
          <w:iCs w:val="false"/>
          <w:sz w:val="22"/>
          <w:szCs w:val="22"/>
        </w:rPr>
        <w:t xml:space="preserve">R(t) is the outermost zone-boundary radius, already available in the ray-trace context. R(0) is the same quantity at t=0 (the initial target outer surface). The modification is approximately three lines in the power-setting routine. </w:t>
      </w:r>
      <w:r>
        <w:rPr>
          <w:b/>
          <w:bCs/>
          <w:i w:val="false"/>
          <w:iCs w:val="false"/>
          <w:sz w:val="22"/>
          <w:szCs w:val="22"/>
        </w:rPr>
        <w:t xml:space="preserve">Beam-independent</w:t>
      </w:r>
      <w:r>
        <w:rPr>
          <w:b w:val="false"/>
          <w:bCs w:val="false"/>
          <w:i w:val="false"/>
          <w:iCs w:val="false"/>
          <w:sz w:val="22"/>
          <w:szCs w:val="22"/>
        </w:rPr>
        <w:t xml:space="preserve"> — does not require knowledge of cone angle or spot size beyond what is already in the input.</w:t>
      </w:r>
    </w:p>
    <w:p>
      <w:pPr>
        <w:spacing w:after="120" w:before="0" w:line="280"/>
        <w:jc w:val="left"/>
      </w:pPr>
      <w:r>
        <w:rPr>
          <w:b w:val="false"/>
          <w:bCs w:val="false"/>
          <w:i w:val="false"/>
          <w:iCs w:val="false"/>
          <w:sz w:val="22"/>
          <w:szCs w:val="22"/>
        </w:rPr>
        <w:t xml:space="preserve">Limitation: applies a single bulk multiplier; does not capture the angular dependence of which rays miss. For most PDD geometries this is sufficient, but for HDD multi-beam configurations with significantly different spot sizes per beam, the bulk correction may smear out important per-beam differences.</w:t>
      </w:r>
    </w:p>
    <w:p>
      <w:pPr>
        <w:pStyle w:val="Heading2"/>
        <w:spacing w:after="120" w:before="220"/>
      </w:pPr>
      <w:r>
        <w:rPr>
          <w:b/>
          <w:bCs/>
          <w:color w:val="1A2841"/>
          <w:sz w:val="24"/>
          <w:szCs w:val="24"/>
        </w:rPr>
        <w:t xml:space="preserve">3.3 Option 3 — Per-ray geometric intercept check</w:t>
      </w:r>
    </w:p>
    <w:p>
      <w:pPr>
        <w:spacing w:after="120" w:before="0" w:line="280"/>
        <w:jc w:val="left"/>
      </w:pPr>
      <w:r>
        <w:rPr>
          <w:b w:val="false"/>
          <w:bCs w:val="false"/>
          <w:i w:val="false"/>
          <w:iCs w:val="false"/>
          <w:sz w:val="22"/>
          <w:szCs w:val="22"/>
        </w:rPr>
        <w:t xml:space="preserve">Inside the existing ray-trace loop, add a geometric intercept condition for each ray at angle α:</w:t>
      </w:r>
    </w:p>
    <w:p>
      <w:pPr>
        <w:spacing w:after="120" w:before="60" w:line="260"/>
        <w:ind w:left="360"/>
      </w:pPr>
      <w:r>
        <w:rPr>
          <w:rFonts w:ascii="Consolas" w:cs="Consolas" w:eastAsia="Consolas" w:hAnsi="Consolas"/>
          <w:sz w:val="20"/>
          <w:szCs w:val="20"/>
        </w:rPr>
        <w:t xml:space="preserve">if |sin(α)| &gt; R(t)/d:    ray_weight = 0    [geometric miss]</w:t>
      </w:r>
    </w:p>
    <w:p>
      <w:pPr>
        <w:spacing w:after="120" w:before="60" w:line="260"/>
        <w:ind w:left="360"/>
      </w:pPr>
      <w:r>
        <w:rPr>
          <w:rFonts w:ascii="Consolas" w:cs="Consolas" w:eastAsia="Consolas" w:hAnsi="Consolas"/>
          <w:sz w:val="20"/>
          <w:szCs w:val="20"/>
        </w:rPr>
        <w:t xml:space="preserve">else:                    ray_weight = G(α) [Gaussian or uniform]</w:t>
      </w:r>
    </w:p>
    <w:p>
      <w:pPr>
        <w:spacing w:after="120" w:before="0" w:line="280"/>
        <w:jc w:val="left"/>
      </w:pPr>
      <w:r>
        <w:rPr>
          <w:b w:val="false"/>
          <w:bCs w:val="false"/>
          <w:i w:val="false"/>
          <w:iCs w:val="false"/>
          <w:sz w:val="22"/>
          <w:szCs w:val="22"/>
        </w:rPr>
        <w:t xml:space="preserve">This is the most physically faithful single-cone modification. It correctly reproduces the angular-dependent miss effect: as R(t) decreases, the critical miss angle α_c = arcsin(R(t)/d) decreases, cutting off an increasing fraction of the outer cone rays. The total absorbed power is automatically computed from the existing absorption model for the remaining rays — no manual anchor or normalization is required because the correction emerges from the physics.</w:t>
      </w:r>
    </w:p>
    <w:p>
      <w:pPr>
        <w:spacing w:after="120" w:before="0" w:line="280"/>
        <w:jc w:val="left"/>
      </w:pPr>
      <w:r>
        <w:rPr>
          <w:b w:val="false"/>
          <w:bCs w:val="false"/>
          <w:i w:val="false"/>
          <w:iCs w:val="false"/>
          <w:sz w:val="22"/>
          <w:szCs w:val="22"/>
        </w:rPr>
        <w:t xml:space="preserve">Implementation: roughly ten to fifteen lines added to the ray-trace loop. Self-consistent with the existing refraction physics. Recommended option for permanent Helios modification once the empirical case (Option 1) is established.</w:t>
      </w:r>
    </w:p>
    <w:p>
      <w:pPr>
        <w:pStyle w:val="Heading2"/>
        <w:spacing w:after="120" w:before="220"/>
      </w:pPr>
      <w:r>
        <w:rPr>
          <w:b/>
          <w:bCs/>
          <w:color w:val="1A2841"/>
          <w:sz w:val="24"/>
          <w:szCs w:val="24"/>
        </w:rPr>
        <w:t xml:space="preserve">3.4 Option 4 — Multi-angle beam model</w:t>
      </w:r>
    </w:p>
    <w:p>
      <w:pPr>
        <w:spacing w:after="120" w:before="0" w:line="280"/>
        <w:jc w:val="left"/>
      </w:pPr>
      <w:r>
        <w:rPr>
          <w:b w:val="false"/>
          <w:bCs w:val="false"/>
          <w:i w:val="false"/>
          <w:iCs w:val="false"/>
          <w:sz w:val="22"/>
          <w:szCs w:val="22"/>
        </w:rPr>
        <w:t xml:space="preserve">Discretize the beam into N angular bins, each traced independently with its own weight and pointing direction fixed in lab space. As R(t) changes, each bin's intercept condition is evaluated separately. Captures per-beam pointing differences correctly and enables future extensions such as cross-beam energy transfer (CBET) and polar-equator intensity distinctions.</w:t>
      </w:r>
    </w:p>
    <w:p>
      <w:pPr>
        <w:spacing w:after="120" w:before="0" w:line="280"/>
        <w:jc w:val="left"/>
      </w:pPr>
      <w:r>
        <w:rPr>
          <w:b w:val="false"/>
          <w:bCs w:val="false"/>
          <w:i w:val="false"/>
          <w:iCs w:val="false"/>
          <w:sz w:val="22"/>
          <w:szCs w:val="22"/>
        </w:rPr>
        <w:t xml:space="preserve">Implementation: a new ray-trace module, multiple weeks of effort. Recommended only if Option 3 proves insufficient for a specific calibration target.</w:t>
      </w:r>
    </w:p>
    <w:p>
      <w:pPr>
        <w:pStyle w:val="Heading1"/>
        <w:spacing w:after="160" w:before="280"/>
      </w:pPr>
      <w:r>
        <w:rPr>
          <w:b/>
          <w:bCs/>
          <w:color w:val="1A2841"/>
          <w:sz w:val="28"/>
          <w:szCs w:val="28"/>
        </w:rPr>
        <w:t xml:space="preserve">4. Recommended path forward</w:t>
      </w:r>
    </w:p>
    <w:p>
      <w:pPr>
        <w:pStyle w:val="ListParagraph"/>
        <w:numPr>
          <w:ilvl w:val="0"/>
          <w:numId w:val="2"/>
        </w:numPr>
        <w:spacing w:after="80" w:line="280"/>
      </w:pPr>
      <w:r>
        <w:rPr>
          <w:sz w:val="22"/>
          <w:szCs w:val="22"/>
        </w:rPr>
        <w:t xml:space="preserve">Week 1: run pdd_geometric_coupling.py on the existing PDD anchor (PDD_20_s016) and HDD lrm4 free-boundary no-burn runs. Inspect the diagnostic PDFs to estimate the size of the time-dependent correction. If f_geom drops below ~0.7 at late times, the correction is meaningful and worth pursuing.</w:t>
      </w:r>
    </w:p>
    <w:p>
      <w:pPr>
        <w:pStyle w:val="ListParagraph"/>
        <w:numPr>
          <w:ilvl w:val="0"/>
          <w:numId w:val="2"/>
        </w:numPr>
        <w:spacing w:after="80" w:line="280"/>
      </w:pPr>
      <w:r>
        <w:rPr>
          <w:sz w:val="22"/>
          <w:szCs w:val="22"/>
        </w:rPr>
        <w:t xml:space="preserve">Weeks 2–3: if the correction is meaningful, inject the corrected power table into a follow-up Helios run. Compare absorbed-energy histories and calibration metrics (adiabat, peak velocity, imploded DT mass, yield) against the uncorrected baseline and against published reference-code values.</w:t>
      </w:r>
    </w:p>
    <w:p>
      <w:pPr>
        <w:pStyle w:val="ListParagraph"/>
        <w:numPr>
          <w:ilvl w:val="0"/>
          <w:numId w:val="2"/>
        </w:numPr>
        <w:spacing w:after="80" w:line="280"/>
      </w:pPr>
      <w:r>
        <w:rPr>
          <w:sz w:val="22"/>
          <w:szCs w:val="22"/>
        </w:rPr>
        <w:t xml:space="preserve">Weeks 4–6: if Option 1 results improve the match against reference codes, draft a short technical specification for Option 2 or Option 3 and submit to the Helios development team (Prism) for in-code integration. Option 2 is the lower-effort permanent fix; Option 3 is the more physically faithful one if developer time permits.</w:t>
      </w:r>
    </w:p>
    <w:p>
      <w:pPr>
        <w:pStyle w:val="Heading1"/>
        <w:spacing w:after="160" w:before="280"/>
      </w:pPr>
      <w:r>
        <w:rPr>
          <w:b/>
          <w:bCs/>
          <w:color w:val="1A2841"/>
          <w:sz w:val="28"/>
          <w:szCs w:val="28"/>
        </w:rPr>
        <w:t xml:space="preserve">5. Validation criteria</w:t>
      </w:r>
    </w:p>
    <w:p>
      <w:pPr>
        <w:spacing w:after="120" w:before="0" w:line="280"/>
        <w:jc w:val="left"/>
      </w:pPr>
      <w:r>
        <w:rPr>
          <w:b w:val="false"/>
          <w:bCs w:val="false"/>
          <w:i w:val="false"/>
          <w:iCs w:val="false"/>
          <w:sz w:val="22"/>
          <w:szCs w:val="22"/>
        </w:rPr>
        <w:t xml:space="preserve">Any candidate correction should be benchmarked against an independent reference code's absorbed-energy history for the same target and pulse. A correction is considered validated if it produces a cumulative absorbed-energy curve within 10 % of the 3D reference, integrated over the full pulse, without manual peak-power scaling.</w:t>
      </w:r>
    </w:p>
    <w:p>
      <w:pPr>
        <w:spacing w:after="120" w:before="0" w:line="280"/>
        <w:jc w:val="left"/>
      </w:pPr>
      <w:r>
        <w:rPr>
          <w:b w:val="false"/>
          <w:bCs w:val="false"/>
          <w:i w:val="false"/>
          <w:iCs w:val="false"/>
          <w:sz w:val="22"/>
          <w:szCs w:val="22"/>
        </w:rPr>
        <w:t xml:space="preserve">Suggested benchmark cases:</w:t>
      </w:r>
    </w:p>
    <w:p>
      <w:pPr>
        <w:pStyle w:val="ListParagraph"/>
        <w:numPr>
          <w:ilvl w:val="0"/>
          <w:numId w:val="2"/>
        </w:numPr>
        <w:spacing w:after="80" w:line="280"/>
      </w:pPr>
      <w:r>
        <w:rPr>
          <w:sz w:val="22"/>
          <w:szCs w:val="22"/>
        </w:rPr>
        <w:t xml:space="preserve">Olson PDD series — LILAC absorbed-energy history (Phys. Plasmas 28, 122704)</w:t>
      </w:r>
    </w:p>
    <w:p>
      <w:pPr>
        <w:pStyle w:val="ListParagraph"/>
        <w:numPr>
          <w:ilvl w:val="0"/>
          <w:numId w:val="2"/>
        </w:numPr>
        <w:spacing w:after="80" w:line="280"/>
      </w:pPr>
      <w:r>
        <w:rPr>
          <w:sz w:val="22"/>
          <w:szCs w:val="22"/>
        </w:rPr>
        <w:t xml:space="preserve">Vulcan HDD lrm4 — Xrage absorbed-energy history (internal Xcimer reference)</w:t>
      </w:r>
    </w:p>
    <w:p>
      <w:pPr>
        <w:pStyle w:val="ListParagraph"/>
        <w:numPr>
          <w:ilvl w:val="0"/>
          <w:numId w:val="2"/>
        </w:numPr>
        <w:spacing w:after="80" w:line="280"/>
      </w:pPr>
      <w:r>
        <w:rPr>
          <w:sz w:val="22"/>
          <w:szCs w:val="22"/>
        </w:rPr>
        <w:t xml:space="preserve">NIF PDD shot N210808 — HYDRA absorbed-energy history (LLNL reference)</w:t>
      </w:r>
    </w:p>
    <w:p>
      <w:pPr>
        <w:pStyle w:val="Heading1"/>
        <w:spacing w:after="160" w:before="280"/>
      </w:pPr>
      <w:r>
        <w:rPr>
          <w:b/>
          <w:bCs/>
          <w:color w:val="1A2841"/>
          <w:sz w:val="28"/>
          <w:szCs w:val="28"/>
        </w:rPr>
        <w:t xml:space="preserve">6. Empirical findings — closeout</w:t>
      </w:r>
    </w:p>
    <w:p>
      <w:pPr>
        <w:spacing w:after="120" w:before="0" w:line="280"/>
      </w:pPr>
      <w:r>
        <w:rPr>
          <w:b w:val="false"/>
          <w:bCs w:val="false"/>
          <w:i w:val="false"/>
          <w:iCs w:val="false"/>
          <w:sz w:val="22"/>
          <w:szCs w:val="22"/>
        </w:rPr>
        <w:t xml:space="preserve">The Option 1 pre-processor (</w:t>
      </w:r>
      <w:r>
        <w:rPr>
          <w:rFonts w:ascii="Consolas" w:cs="Consolas" w:eastAsia="Consolas" w:hAnsi="Consolas"/>
          <w:b w:val="false"/>
          <w:bCs w:val="false"/>
          <w:i w:val="false"/>
          <w:iCs w:val="false"/>
          <w:sz w:val="20"/>
          <w:szCs w:val="20"/>
        </w:rPr>
        <w:t xml:space="preserve">pdd_geometric_coupling.py</w:t>
      </w:r>
      <w:r>
        <w:rPr>
          <w:b w:val="false"/>
          <w:bCs w:val="false"/>
          <w:i w:val="false"/>
          <w:iCs w:val="false"/>
          <w:sz w:val="22"/>
          <w:szCs w:val="22"/>
        </w:rPr>
        <w:t xml:space="preserve">) was run on the validated PDD calibration anchor </w:t>
      </w:r>
      <w:r>
        <w:rPr>
          <w:b/>
          <w:bCs/>
          <w:i w:val="false"/>
          <w:iCs w:val="false"/>
          <w:sz w:val="22"/>
          <w:szCs w:val="22"/>
        </w:rPr>
        <w:t xml:space="preserve">PDD_20_s016</w:t>
      </w:r>
      <w:r>
        <w:rPr>
          <w:b w:val="false"/>
          <w:bCs w:val="false"/>
          <w:i w:val="false"/>
          <w:iCs w:val="false"/>
          <w:sz w:val="22"/>
          <w:szCs w:val="22"/>
        </w:rPr>
        <w:t xml:space="preserve"> (cone θ = 20°, focal distance d = 0.22 cm, λ = 0.350 µm). R(t) was sourced from the ablation-front radius (steepest negative density gradient outside the hot spot).  The view-factor formula produced the following coupling-efficiency profile: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tblGrid>
      <w:tr>
        <w:trPr>
          <w:cantSplit/>
          <w:tblHeader/>
        </w:trPr>
        <w:tc>
          <w:tcPr>
            <w:tcW w:type="dxa" w:w="4400"/>
            <w:tcBorders>
              <w:top w:val="single" w:color="C8CFD6" w:sz="4"/>
              <w:left w:val="single" w:color="C8CFD6" w:sz="4"/>
              <w:bottom w:val="single" w:color="C8CFD6" w:sz="4"/>
              <w:right w:val="single" w:color="C8CFD6" w:sz="4"/>
            </w:tcBorders>
            <w:shd w:fill="1A2841" w:val="clear"/>
            <w:tcMar>
              <w:top w:type="dxa" w:w="80"/>
              <w:left w:type="dxa" w:w="120"/>
              <w:bottom w:type="dxa" w:w="80"/>
              <w:right w:type="dxa" w:w="120"/>
            </w:tcMar>
          </w:tcPr>
          <w:p>
            <w:pPr>
              <w:jc w:val="center"/>
            </w:pPr>
            <w:r>
              <w:rPr>
                <w:b/>
                <w:bCs/>
                <w:color w:val="FFFFFF"/>
                <w:sz w:val="20"/>
                <w:szCs w:val="20"/>
              </w:rPr>
              <w:t xml:space="preserve">Quantity</w:t>
            </w:r>
          </w:p>
        </w:tc>
        <w:tc>
          <w:tcPr>
            <w:tcW w:type="dxa" w:w="2000"/>
            <w:tcBorders>
              <w:top w:val="single" w:color="C8CFD6" w:sz="4"/>
              <w:left w:val="single" w:color="C8CFD6" w:sz="4"/>
              <w:bottom w:val="single" w:color="C8CFD6" w:sz="4"/>
              <w:right w:val="single" w:color="C8CFD6" w:sz="4"/>
            </w:tcBorders>
            <w:shd w:fill="1A2841" w:val="clear"/>
            <w:tcMar>
              <w:top w:type="dxa" w:w="80"/>
              <w:left w:type="dxa" w:w="120"/>
              <w:bottom w:type="dxa" w:w="80"/>
              <w:right w:type="dxa" w:w="120"/>
            </w:tcMar>
          </w:tcPr>
          <w:p>
            <w:pPr>
              <w:jc w:val="center"/>
            </w:pPr>
            <w:r>
              <w:rPr>
                <w:b/>
                <w:bCs/>
                <w:color w:val="FFFFFF"/>
                <w:sz w:val="20"/>
                <w:szCs w:val="20"/>
              </w:rPr>
              <w:t xml:space="preserve">Value</w:t>
            </w:r>
          </w:p>
        </w:tc>
      </w:tr>
      <w:tr>
        <w:trPr>
          <w:cantSplit/>
        </w:trPr>
        <w:tc>
          <w:tcPr>
            <w:tcW w:type="dxa" w:w="44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f_geom at peak power (t = 12 ns)</w:t>
            </w:r>
          </w:p>
        </w:tc>
        <w:tc>
          <w:tcPr>
            <w:tcW w:type="dxa" w:w="20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bCs/>
                <w:sz w:val="20"/>
                <w:szCs w:val="20"/>
              </w:rPr>
              <w:t xml:space="preserve">1.000</w:t>
            </w:r>
          </w:p>
        </w:tc>
      </w:tr>
      <w:tr>
        <w:trPr>
          <w:cantSplit/>
        </w:trPr>
        <w:tc>
          <w:tcPr>
            <w:tcW w:type="dxa" w:w="44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Mean f_geom over laser-on window</w:t>
            </w:r>
          </w:p>
        </w:tc>
        <w:tc>
          <w:tcPr>
            <w:tcW w:type="dxa" w:w="20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val="false"/>
                <w:bCs w:val="false"/>
                <w:sz w:val="20"/>
                <w:szCs w:val="20"/>
              </w:rPr>
              <w:t xml:space="preserve">0.971</w:t>
            </w:r>
          </w:p>
        </w:tc>
      </w:tr>
      <w:tr>
        <w:trPr>
          <w:cantSplit/>
        </w:trPr>
        <w:tc>
          <w:tcPr>
            <w:tcW w:type="dxa" w:w="44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Min f_geom over laser-on window</w:t>
            </w:r>
          </w:p>
        </w:tc>
        <w:tc>
          <w:tcPr>
            <w:tcW w:type="dxa" w:w="20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val="false"/>
                <w:bCs w:val="false"/>
                <w:sz w:val="20"/>
                <w:szCs w:val="20"/>
              </w:rPr>
              <w:t xml:space="preserve">0.384</w:t>
            </w:r>
          </w:p>
        </w:tc>
      </w:tr>
      <w:tr>
        <w:trPr>
          <w:cantSplit/>
        </w:trPr>
        <w:tc>
          <w:tcPr>
            <w:tcW w:type="dxa" w:w="44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Min f_geom (any time)</w:t>
            </w:r>
          </w:p>
        </w:tc>
        <w:tc>
          <w:tcPr>
            <w:tcW w:type="dxa" w:w="20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val="false"/>
                <w:bCs w:val="false"/>
                <w:sz w:val="20"/>
                <w:szCs w:val="20"/>
              </w:rPr>
              <w:t xml:space="preserve">0.028</w:t>
            </w:r>
          </w:p>
        </w:tc>
      </w:tr>
      <w:tr>
        <w:trPr>
          <w:cantSplit/>
        </w:trPr>
        <w:tc>
          <w:tcPr>
            <w:tcW w:type="dxa" w:w="44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left"/>
            </w:pPr>
            <w:r>
              <w:rPr>
                <w:b w:val="false"/>
                <w:bCs w:val="false"/>
                <w:sz w:val="20"/>
                <w:szCs w:val="20"/>
              </w:rPr>
              <w:t xml:space="preserve">Integrated ΔE_delivered</w:t>
            </w:r>
          </w:p>
        </w:tc>
        <w:tc>
          <w:tcPr>
            <w:tcW w:type="dxa" w:w="2000"/>
            <w:tcBorders>
              <w:top w:val="single" w:color="C8CFD6" w:sz="4"/>
              <w:left w:val="single" w:color="C8CFD6" w:sz="4"/>
              <w:bottom w:val="single" w:color="C8CFD6" w:sz="4"/>
              <w:right w:val="single" w:color="C8CFD6" w:sz="4"/>
            </w:tcBorders>
            <w:tcMar>
              <w:top w:type="dxa" w:w="80"/>
              <w:left w:type="dxa" w:w="120"/>
              <w:bottom w:type="dxa" w:w="80"/>
              <w:right w:type="dxa" w:w="120"/>
            </w:tcMar>
          </w:tcPr>
          <w:p>
            <w:pPr>
              <w:jc w:val="center"/>
            </w:pPr>
            <w:r>
              <w:rPr>
                <w:b w:val="false"/>
                <w:bCs w:val="false"/>
                <w:sz w:val="20"/>
                <w:szCs w:val="20"/>
              </w:rPr>
              <w:t xml:space="preserve">−3.7 %</w:t>
            </w:r>
          </w:p>
        </w:tc>
      </w:tr>
    </w:tbl>
    <w:p>
      <w:pPr>
        <w:spacing w:after="120" w:before="0" w:line="280"/>
        <w:jc w:val="left"/>
      </w:pPr>
      <w:r>
        <w:rPr>
          <w:b w:val="false"/>
          <w:bCs w:val="false"/>
          <w:i w:val="false"/>
          <w:iCs w:val="false"/>
          <w:sz w:val="22"/>
          <w:szCs w:val="22"/>
        </w:rPr>
        <w:t xml:space="preserve"/>
      </w:r>
    </w:p>
    <w:p>
      <w:pPr>
        <w:spacing w:after="120" w:before="0" w:line="280"/>
        <w:jc w:val="left"/>
      </w:pPr>
      <w:r>
        <w:rPr>
          <w:b w:val="false"/>
          <w:bCs w:val="false"/>
          <w:i w:val="false"/>
          <w:iCs w:val="false"/>
          <w:sz w:val="22"/>
          <w:szCs w:val="22"/>
        </w:rPr>
        <w:t xml:space="preserve">The geometric-miss threshold for this anchor is R = d·sin(θ) = 753 µm.  At peak power, the ablation front is well above the threshold, so the full cone is captured and no correction applies.  The integrated 3.7 % reduction is concentrated in the late tail of the main pulse, after peak drive has already been delivered.  The implication for the calibration metrics is that peak velocity, foot adiabat, imploded DT mass, and shock-breakout adiabat would all be essentially unchanged by the correction; only late-time coasting kinetic energy and the assembled cold-fuel ρR would see a few-percent reduction.</w:t>
      </w:r>
    </w:p>
    <w:p>
      <w:pPr>
        <w:spacing w:after="120" w:before="0" w:line="280"/>
        <w:jc w:val="left"/>
      </w:pPr>
      <w:r>
        <w:rPr>
          <w:b w:val="false"/>
          <w:bCs w:val="false"/>
          <w:i w:val="false"/>
          <w:iCs w:val="false"/>
          <w:sz w:val="22"/>
          <w:szCs w:val="22"/>
        </w:rPr>
        <w:t xml:space="preserve">For HDD lrm4, with cone θ = 1° and the same focal distance, the miss threshold falls to d·sin(1°) = 38 µm.  The ablation surface only crosses below 38 µm at deep stagnation, by which point the laser is no longer firing.  The 1D ray-trace miss is therefore expected to be essentially zero for the HDD geometry as currently configured; this prediction will be confirmed by a parallel pre-processor run, but the geometric argument is robust.</w:t>
      </w:r>
    </w:p>
    <w:p>
      <w:pPr>
        <w:spacing w:after="120" w:before="0" w:line="280"/>
      </w:pPr>
      <w:r>
        <w:rPr>
          <w:b/>
          <w:bCs/>
          <w:i w:val="false"/>
          <w:iCs w:val="false"/>
          <w:sz w:val="22"/>
          <w:szCs w:val="22"/>
        </w:rPr>
        <w:t xml:space="preserve">Disposition. </w:t>
      </w:r>
      <w:r>
        <w:rPr>
          <w:b w:val="false"/>
          <w:bCs w:val="false"/>
          <w:i w:val="false"/>
          <w:iCs w:val="false"/>
          <w:sz w:val="22"/>
          <w:szCs w:val="22"/>
        </w:rPr>
        <w:t xml:space="preserve">The 1D ray-trace limitation is real but small for PDD and negligible for HDD lrm4.  The Helios calibration residuals — adiabat shortfall, HS ρR shortfall, yield gap — survive this correction with little change, indicating that the binding constraint is elsewhere in the assembly physics (most likely the compression-deficit chain: shell-fuel mass distribution at stagnation, EOS, and/or drive-symmetry effects not captured in 1D).</w:t>
      </w:r>
    </w:p>
    <w:p>
      <w:pPr>
        <w:spacing w:after="120" w:before="0" w:line="280"/>
      </w:pPr>
      <w:r>
        <w:rPr>
          <w:b w:val="false"/>
          <w:bCs w:val="false"/>
          <w:i w:val="false"/>
          <w:iCs w:val="false"/>
          <w:sz w:val="22"/>
          <w:szCs w:val="22"/>
        </w:rPr>
        <w:t xml:space="preserve">On this basis, </w:t>
      </w:r>
      <w:r>
        <w:rPr>
          <w:b/>
          <w:bCs/>
          <w:i w:val="false"/>
          <w:iCs w:val="false"/>
          <w:sz w:val="22"/>
          <w:szCs w:val="22"/>
        </w:rPr>
        <w:t xml:space="preserve">Options 2 and 3 (in-Helios source-code modifications) are not pursued.</w:t>
      </w:r>
      <w:r>
        <w:rPr>
          <w:b w:val="false"/>
          <w:bCs w:val="false"/>
          <w:i w:val="false"/>
          <w:iCs w:val="false"/>
          <w:sz w:val="22"/>
          <w:szCs w:val="22"/>
        </w:rPr>
        <w:t xml:space="preserve">  The pre-processor is retained as a diagnostic for future targets where the geometric miss could be larger — wider cones, shorter focal distances, or more aggressive implosions that compress the ablation surface below the miss threshold earlier in the pulse.  Should such a target enter the calibration scope, the empirical Option 1 test can be re-run in minutes and a new disposition reached.</w:t>
      </w:r>
    </w:p>
    <w:p>
      <w:pPr>
        <w:pStyle w:val="Heading1"/>
        <w:spacing w:after="160" w:before="280"/>
      </w:pPr>
      <w:r>
        <w:rPr>
          <w:b/>
          <w:bCs/>
          <w:color w:val="1A2841"/>
          <w:sz w:val="28"/>
          <w:szCs w:val="28"/>
        </w:rPr>
        <w:t xml:space="preserve">References</w:t>
      </w:r>
    </w:p>
    <w:p>
      <w:pPr>
        <w:spacing w:after="120" w:before="0" w:line="280"/>
        <w:jc w:val="left"/>
      </w:pPr>
      <w:r>
        <w:rPr>
          <w:b w:val="false"/>
          <w:bCs w:val="false"/>
          <w:i w:val="false"/>
          <w:iCs w:val="false"/>
          <w:sz w:val="20"/>
          <w:szCs w:val="20"/>
        </w:rPr>
        <w:t xml:space="preserve">Olson, R.E. et al., "Polar direct drive ignition target design for the National Ignition Facility," Phys. Plasmas 28, 122704 (2021).</w:t>
      </w:r>
    </w:p>
    <w:p>
      <w:pPr>
        <w:spacing w:after="120" w:before="0" w:line="280"/>
        <w:jc w:val="left"/>
      </w:pPr>
      <w:r>
        <w:rPr>
          <w:b w:val="false"/>
          <w:bCs w:val="false"/>
          <w:i w:val="false"/>
          <w:iCs w:val="false"/>
          <w:sz w:val="20"/>
          <w:szCs w:val="20"/>
        </w:rPr>
        <w:t xml:space="preserve">Kritcher, A.L. et al., "Achievement of target gain larger than unity in an inertial fusion experiment," Phys. Rev. E 106, 025201 (2022).</w:t>
      </w:r>
    </w:p>
    <w:p>
      <w:pPr>
        <w:spacing w:after="120" w:before="0" w:line="280"/>
        <w:jc w:val="left"/>
      </w:pPr>
      <w:r>
        <w:rPr>
          <w:b w:val="false"/>
          <w:bCs w:val="false"/>
          <w:i w:val="false"/>
          <w:iCs w:val="false"/>
          <w:sz w:val="20"/>
          <w:szCs w:val="20"/>
        </w:rPr>
        <w:t xml:space="preserve">Kemp, A. et al., "Geometric coupling effects in 2D and quasi-1D PDD modelling," Phys. Plasmas 32, 022702 (2025).</w:t>
      </w:r>
    </w:p>
    <w:p>
      <w:pPr>
        <w:spacing w:after="120" w:before="0" w:line="280"/>
        <w:jc w:val="left"/>
      </w:pPr>
      <w:r>
        <w:rPr>
          <w:b w:val="false"/>
          <w:bCs w:val="false"/>
          <w:i w:val="false"/>
          <w:iCs w:val="false"/>
          <w:sz w:val="20"/>
          <w:szCs w:val="20"/>
        </w:rPr>
        <w:t xml:space="preserve">Hohenberger, M. et al., "Polar-direct-drive experiments on the National Ignition Facility," Phys. Plasmas 22, 056308 (2015).</w:t>
      </w:r>
    </w:p>
    <w:p>
      <w:pPr>
        <w:spacing w:after="120" w:before="0" w:line="280"/>
        <w:jc w:val="left"/>
      </w:pPr>
      <w:r>
        <w:rPr>
          <w:b w:val="false"/>
          <w:bCs w:val="false"/>
          <w:i w:val="false"/>
          <w:iCs w:val="false"/>
          <w:sz w:val="20"/>
          <w:szCs w:val="20"/>
        </w:rPr>
        <w:t xml:space="preserve">Macfarlane, J.J. et al., HELIOS-CR — A 1-D radiation-hydrodynamics code (Prism Computational Sciences).  Ray-trace methodology, Section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Helios 1D Laser Coupling Correction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2841"/>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A28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Helios 1D Laser Coupling Correction</dc:title>
  <dc:creator>T. Mehlhorn</dc:creator>
  <dc:description>Technical memo: four options for adding the 3D geometric coupling correction missing from Helios 1D.</dc:description>
  <cp:lastModifiedBy>Un-named</cp:lastModifiedBy>
  <cp:revision>1</cp:revision>
  <dcterms:created xsi:type="dcterms:W3CDTF">2026-05-19T18:03:51.434Z</dcterms:created>
  <dcterms:modified xsi:type="dcterms:W3CDTF">2026-05-19T18:03:51.434Z</dcterms:modified>
</cp:coreProperties>
</file>

<file path=docProps/custom.xml><?xml version="1.0" encoding="utf-8"?>
<Properties xmlns="http://schemas.openxmlformats.org/officeDocument/2006/custom-properties" xmlns:vt="http://schemas.openxmlformats.org/officeDocument/2006/docPropsVTypes"/>
</file>