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595F"/>
          <w:spacing w:val="60"/>
          <w:sz w:val="17"/>
          <w:szCs w:val="17"/>
        </w:rPr>
        <w:t xml:space="preserve">NEUTRONICS METHODS MEMO</w:t>
      </w:r>
    </w:p>
    <w:p>
      <w:pPr>
        <w:spacing w:after="70" w:before="60"/>
      </w:pPr>
      <w:r>
        <w:rPr>
          <w:rFonts w:ascii="Calibri" w:cs="Calibri" w:eastAsia="Calibri" w:hAnsi="Calibri"/>
          <w:b/>
          <w:bCs/>
          <w:color w:val="990000"/>
          <w:sz w:val="32"/>
          <w:szCs w:val="32"/>
        </w:rPr>
        <w:t xml:space="preserve">Analytic ρR</w:t>
      </w:r>
      <w:r>
        <w:rPr>
          <w:rFonts w:ascii="Calibri" w:cs="Calibri" w:eastAsia="Calibri" w:hAnsi="Calibri"/>
          <w:b/>
          <w:bCs/>
          <w:color w:val="990000"/>
          <w:sz w:val="32"/>
          <w:szCs w:val="32"/>
          <w:vertAlign w:val="subscript"/>
        </w:rPr>
        <w:t xml:space="preserve">D</w:t>
      </w:r>
      <w:r>
        <w:rPr>
          <w:rFonts w:ascii="Calibri" w:cs="Calibri" w:eastAsia="Calibri" w:hAnsi="Calibri"/>
          <w:b/>
          <w:bCs/>
          <w:color w:val="990000"/>
          <w:sz w:val="32"/>
          <w:szCs w:val="32"/>
        </w:rPr>
        <w:t xml:space="preserve"> vs. OpenMC Transport — How They Fit Together</w:t>
      </w:r>
    </w:p>
    <w:p>
      <w:pPr>
        <w:pBdr>
          <w:left w:val="single" w:color="00595F" w:sz="18" w:space="10"/>
        </w:pBdr>
        <w:shd w:fill="F1F5FA" w:color="auto" w:val="clear"/>
        <w:spacing w:after="180" w:before="40" w:line="252" w:lineRule="auto"/>
        <w:ind w:left="180" w:right="120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To: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Kyle Keipper</w:t>
      </w:r>
      <w:r>
        <w:br/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From: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Tom Mehlhorn (MECS)</w:t>
      </w:r>
      <w:r>
        <w:br/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Re: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Neutron sampling from Helios → OpenMC, and where the Method-2 areal-density formula fits</w:t>
      </w:r>
      <w:r>
        <w:br/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color w:val="5A6472"/>
          <w:sz w:val="21"/>
          <w:szCs w:val="21"/>
        </w:rPr>
        <w:t xml:space="preserve">2026-07-29 (updated 2026-07-31: σ</w:t>
      </w:r>
      <w:r>
        <w:rPr>
          <w:rFonts w:ascii="Calibri" w:cs="Calibri" w:eastAsia="Calibri" w:hAnsi="Calibri"/>
          <w:b w:val="false"/>
          <w:bCs w:val="false"/>
          <w:color w:val="5A6472"/>
          <w:sz w:val="21"/>
          <w:szCs w:val="21"/>
          <w:vertAlign w:val="subscript"/>
        </w:rPr>
        <w:t xml:space="preserve">el,D</w:t>
      </w:r>
      <w:r>
        <w:rPr>
          <w:rFonts w:ascii="Calibri" w:cs="Calibri" w:eastAsia="Calibri" w:hAnsi="Calibri"/>
          <w:b w:val="false"/>
          <w:bCs w:val="false"/>
          <w:color w:val="5A6472"/>
          <w:sz w:val="21"/>
          <w:szCs w:val="21"/>
        </w:rPr>
        <w:t xml:space="preserve"> corrected to the ENDF/B-VIII.0 value)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Bottom line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Kyle’s Method-2 areal density is the right deterministic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and we keep it. The adjustment is a change of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role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 not physics: Method 2 computes an analytic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diagnostic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(a scalar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), whereas OpenMC needs from Helios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source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(birth positions + energy spectrum) plus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geometry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(ρ(r) and composition). OpenMC then performs the same line integral by Monte Carlo and carries it beyond single scatter. Cleanest arrangement: use Method 2’s ingredients to build the OpenMC source, let OpenMC transport, and keep Method-2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as the independent benchmark.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What each side computes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Method 2 (analytic):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for a neutron born at 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along chord direction cosine μ, r(l,μ,r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 = √(r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² + l² + 2 l 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μ), and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ρR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(r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,t) = (1/4π) ∮ dΩ ∫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0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 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perscript"/>
        </w:rPr>
        <w:t xml:space="preserve">l_exit(μ)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 ρ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(r(l,μ,r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)) dl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(= ½ ∫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−1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perscript"/>
        </w:rPr>
        <w:t xml:space="preserve">¹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dμ ∫ ρ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dl for spherical symmetry), S-weighted over radius and burn-averaged in time. Exact for the mean deuterium column an isotropically emitted neutron traverses: no scattering, one species, frozen profile.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OpenMC: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samples birth neutrons from S(r,t) + fusion spectrum and transports through ρ(r). It computes the same ∫ρ dl plus the full down-scatter spectrum, (n,2n), secondary photons, energy-angle correlations, and multiple scattering. Method 2’s ingredients (sample 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∝ S, isotropic emission) ARE the OpenMC source recipe; only the ∫ρ dl integral is made redundant by transport.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Formal correspondence + built-in validation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 the single-scatter, single-species, static-profile limit it is the same integral computed two ways. Expected D-elastic scatters per source neutron 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= (N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/M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)·σ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el,D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·ρR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 so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ρR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(OpenMC) = C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 · M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 / (N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 · σ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el,D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</w:rPr>
        <w:t xml:space="preserve">),   σ</w:t>
      </w:r>
      <w:r>
        <w:rPr>
          <w:rFonts w:ascii="Calibri" w:cs="Calibri" w:eastAsia="Calibri" w:hAnsi="Calibri"/>
          <w:b w:val="false"/>
          <w:bCs w:val="false"/>
          <w:color w:val="1C3A63"/>
          <w:sz w:val="21"/>
          <w:szCs w:val="21"/>
          <w:vertAlign w:val="subscript"/>
        </w:rPr>
        <w:t xml:space="preserve">el,D</w:t>
      </w:r>
      <w:r>
        <w:rPr>
          <w:rFonts w:ascii="Calibri" w:cs="Calibri" w:eastAsia="Calibri" w:hAnsi="Calibri"/>
          <w:b/>
          <w:bCs/>
          <w:color w:val="990000"/>
          <w:sz w:val="21"/>
          <w:szCs w:val="21"/>
        </w:rPr>
        <w:t xml:space="preserve">(14.06 MeV) ≈ 0.641 b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(ENDF/B-VIII.0 — the same value used in the findings note, not the ~0.8 b round number in earlier drafts). Run OpenMC on the same snapshot, tally D-elastic, convert; the two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should agree. Divergence (OpenMC a few % high at large ρR) is the multiply-scattered tail — the same residual slope in the first-principles ρR ↔ DSR coefficient, and the reason to run transport at high ρR. Agreement validates the source/geometry wiring; the gap measures the transport correction.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On that coefficient: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with the DSR now taken on the traversed (Method-2) ρR, the self-consistent first-principles ρR ↔ DSR value on N210808 is 28.1 g/cm² per DSR (total, D+T+C) / 16.5 (fuel D+T only), bracketing the empirical NIF 20.4 — consistent with this being a clean over-igniting 1-D burn. See the findings note for the numbers and the reporting fix.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Hazard: do NOT pre-attenuate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Never use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to attenuate/scale the source before OpenMC — transport attenuates during the run, so a pre-attenuated source depletes the population twice. Same failure mode as the single-scatter double-count we already fixed (undepleted primary + scattered → unphysical &gt;1.3× escaping). Hand OpenMC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undepleted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birth source (full yield, all channels);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stays a diagnostic check.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Assumptions to keep visible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Volume Jacobian: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if S is per-volume emissivity, the radial birth pdf p(r) ∝ S(r)·4πr². Method-2 weighting reads as per-shell (∫S dr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s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 — keep conventions consistent or the source biases toward center.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Frozen profile: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ρ(r) at emission time. Excellent (neutron transit ~1–2 ps vs ~100 ps hydro) but an assumption.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Burn-averaging is nonlinear: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ρR of the time-averaged profile ≠ time-average of per-snapshot ρR. Run a few emission-weighted snapshots, S(t)-weight the tallies.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Species: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Method 2 as drawn is D-only (right for fuel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). Down-scatter and the OpenMC geometry need all scatterers along the chord — D, T, and carbon.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Isotropy: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fine for thermal DT.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Recommended workflow</w:t>
      </w:r>
    </w:p>
    <w:p>
      <w:pPr>
        <w:spacing w:after="6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One set of Helios inputs, two paths, cross-checked: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Per snapshot extract r(shells), ρ(r), (w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,w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,w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), emissivity S(r).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Analytic (Kyle):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Method-2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 S-weight over radius, burn-average →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Transport (OpenMC):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nested-sphere geometry from ρ(r)+composition; source from S(r) (radial, isotropic) + fusion spectrum; feed the undepleted source; tally D-elastic, leakage spectrum, DSR.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Compare: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convert OpenMC D-elastic →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vs analytic. Agreement validates both; residual = multiple-scatter correction.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Hand the escaping source to the chamber OpenMC model (Kyle / Owen) for TBR / damage.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Implemented as a working sketch in </w:t>
      </w:r>
      <w:r>
        <w:rPr>
          <w:rFonts w:ascii="Calibri" w:cs="Calibri" w:eastAsia="Calibri" w:hAnsi="Calibri"/>
          <w:b/>
          <w:bCs/>
          <w:color w:val="1C3A63"/>
          <w:sz w:val="21"/>
          <w:szCs w:val="21"/>
        </w:rPr>
        <w:t xml:space="preserve">helios_to_openmc.py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(steps 3–4): builds geometry + S(r)-weighted isotropic source, runs neutron transport, returns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from the D-elastic tally for a one-line comparison against Method 2.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What Helios hands OpenMC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Source spatial: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birth ∝ S(r,t) (with 4πr² Jacobian), isotropic direction.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Source energy: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fusion birth spectrum — DT 14.06 (Muir/Ballabio) + DD 2.45 + TT continuum, exact per-channel yields, undepleted.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Geometry: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concentric shells with ρ(r) and (w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,w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,w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 at the chosen time(s).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 an input: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 pre-computed ρR. OpenMC produces it; Method 2 checks it.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95F" w:sz="8" w:space="6"/>
      </w:pBdr>
      <w:spacing w:before="40"/>
    </w:pPr>
    <w:r>
      <w:rPr>
        <w:rFonts w:ascii="Calibri" w:cs="Calibri" w:eastAsia="Calibri" w:hAnsi="Calibri"/>
        <w:color w:val="5A6472"/>
        <w:sz w:val="16"/>
        <w:szCs w:val="16"/>
      </w:rPr>
      <w:t xml:space="preserve">Prepared for Xcimer Energy   |   Prof. Tom Mehlhorn, MECS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95F" w:sz="14" w:space="6"/>
      </w:pBdr>
      <w:spacing w:after="0"/>
    </w:pPr>
    <w:r>
      <w:drawing>
        <wp:inline distT="0" distB="0" distL="0" distR="0">
          <wp:extent cx="2476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00595F"/>
        <w:spacing w:val="40"/>
        <w:sz w:val="20"/>
        <w:szCs w:val="20"/>
      </w:rPr>
      <w:t xml:space="preserve">  MECS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Mehlhorn Energy &amp; Computational Sciences</w:t>
    </w:r>
  </w:p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45e51d779e8f585b14bb5b224d090e15a858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MECS neutron diagnostics memo</dc:title>
  <dc:creator>MECS</dc:creator>
  <cp:lastModifiedBy>Un-named</cp:lastModifiedBy>
  <cp:revision>1</cp:revision>
  <dcterms:created xsi:type="dcterms:W3CDTF">2026-07-31T18:54:03.975Z</dcterms:created>
  <dcterms:modified xsi:type="dcterms:W3CDTF">2026-07-31T18:54:03.975Z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