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rFonts w:ascii="Calibri" w:cs="Calibri" w:eastAsia="Calibri" w:hAnsi="Calibri"/>
          <w:b/>
          <w:bCs/>
          <w:color w:val="00595F"/>
          <w:spacing w:val="60"/>
          <w:sz w:val="17"/>
          <w:szCs w:val="17"/>
        </w:rPr>
        <w:t xml:space="preserve">NEUTRONICS FINDINGS NOTE</w:t>
      </w:r>
    </w:p>
    <w:p>
      <w:pPr>
        <w:spacing w:after="70" w:before="60"/>
      </w:pPr>
      <w:r>
        <w:rPr>
          <w:rFonts w:ascii="Calibri" w:cs="Calibri" w:eastAsia="Calibri" w:hAnsi="Calibri"/>
          <w:b/>
          <w:bCs/>
          <w:color w:val="990000"/>
          <w:sz w:val="32"/>
          <w:szCs w:val="32"/>
        </w:rPr>
        <w:t xml:space="preserve">DSR, Areal Density, and Yield Unfold: OpenMC Transport vs NeSST on N210808</w:t>
      </w:r>
    </w:p>
    <w:p>
      <w:pPr>
        <w:pBdr>
          <w:left w:val="single" w:color="00595F" w:sz="18" w:space="10"/>
        </w:pBdr>
        <w:shd w:fill="F1F5FA" w:color="auto" w:val="clear"/>
        <w:spacing w:after="180" w:before="40" w:line="252" w:lineRule="auto"/>
        <w:ind w:left="180" w:right="120"/>
      </w:pPr>
      <w:r>
        <w:rPr>
          <w:rFonts w:ascii="Calibri" w:cs="Calibri" w:eastAsia="Calibri" w:hAnsi="Calibri"/>
          <w:b/>
          <w:bCs/>
          <w:color w:val="00595F"/>
          <w:sz w:val="21"/>
          <w:szCs w:val="21"/>
        </w:rPr>
        <w:t xml:space="preserve">For: </w:t>
      </w:r>
      <w:r>
        <w:rPr>
          <w:rFonts w:ascii="Calibri" w:cs="Calibri" w:eastAsia="Calibri" w:hAnsi="Calibri"/>
          <w:b w:val="false"/>
          <w:bCs w:val="false"/>
          <w:color w:val="222222"/>
          <w:sz w:val="21"/>
          <w:szCs w:val="21"/>
        </w:rPr>
        <w:t xml:space="preserve">Kyle Keipper, Will</w:t>
      </w:r>
      <w:r>
        <w:br/>
      </w:r>
      <w:r>
        <w:rPr>
          <w:rFonts w:ascii="Calibri" w:cs="Calibri" w:eastAsia="Calibri" w:hAnsi="Calibri"/>
          <w:b/>
          <w:bCs/>
          <w:color w:val="00595F"/>
          <w:sz w:val="21"/>
          <w:szCs w:val="21"/>
        </w:rPr>
        <w:t xml:space="preserve">From: </w:t>
      </w:r>
      <w:r>
        <w:rPr>
          <w:rFonts w:ascii="Calibri" w:cs="Calibri" w:eastAsia="Calibri" w:hAnsi="Calibri"/>
          <w:b w:val="false"/>
          <w:bCs w:val="false"/>
          <w:color w:val="222222"/>
          <w:sz w:val="21"/>
          <w:szCs w:val="21"/>
        </w:rPr>
        <w:t xml:space="preserve">Prof. Tom Mehlhorn (MECS)</w:t>
      </w:r>
      <w:r>
        <w:br/>
      </w:r>
      <w:r>
        <w:rPr>
          <w:rFonts w:ascii="Calibri" w:cs="Calibri" w:eastAsia="Calibri" w:hAnsi="Calibri"/>
          <w:b/>
          <w:bCs/>
          <w:color w:val="00595F"/>
          <w:sz w:val="21"/>
          <w:szCs w:val="21"/>
        </w:rPr>
        <w:t xml:space="preserve">Run: </w:t>
      </w:r>
      <w:r>
        <w:rPr>
          <w:rFonts w:ascii="Calibri" w:cs="Calibri" w:eastAsia="Calibri" w:hAnsi="Calibri"/>
          <w:b w:val="false"/>
          <w:bCs w:val="false"/>
          <w:color w:val="222222"/>
          <w:sz w:val="21"/>
          <w:szCs w:val="21"/>
        </w:rPr>
        <w:t xml:space="preserve">090425_KK_opt_2burn (N210808 clean-1D burn), bang-time snapshot, ENDF/B-VIII.0, 400k particles, neutron + photon transport</w:t>
      </w:r>
      <w:r>
        <w:br/>
      </w:r>
      <w:r>
        <w:rPr>
          <w:rFonts w:ascii="Calibri" w:cs="Calibri" w:eastAsia="Calibri" w:hAnsi="Calibri"/>
          <w:b/>
          <w:bCs/>
          <w:color w:val="00595F"/>
          <w:sz w:val="21"/>
          <w:szCs w:val="21"/>
        </w:rPr>
        <w:t xml:space="preserve">Date: </w:t>
      </w:r>
      <w:r>
        <w:rPr>
          <w:rFonts w:ascii="Calibri" w:cs="Calibri" w:eastAsia="Calibri" w:hAnsi="Calibri"/>
          <w:b w:val="false"/>
          <w:bCs w:val="false"/>
          <w:color w:val="5A6472"/>
          <w:sz w:val="21"/>
          <w:szCs w:val="21"/>
        </w:rPr>
        <w:t xml:space="preserve">2026-07-30, updated 2026-07-31 (added the self-consistent first-principles coefficient and the final pipeline DSR after the traversed-ρR switch)</w:t>
      </w:r>
    </w:p>
    <w:p>
      <w:pPr>
        <w:keepNext/>
        <w:spacing w:after="90" w:before="220"/>
      </w:pPr>
      <w:r>
        <w:rPr>
          <w:rFonts w:ascii="Calibri" w:cs="Calibri" w:eastAsia="Calibri" w:hAnsi="Calibri"/>
          <w:b/>
          <w:bCs/>
          <w:color w:val="990000"/>
          <w:sz w:val="24"/>
          <w:szCs w:val="24"/>
        </w:rPr>
        <w:t xml:space="preserve">Bottom line</w:t>
      </w:r>
    </w:p>
    <w:p>
      <w:pPr>
        <w:spacing w:after="120" w:before="0" w:line="264" w:lineRule="auto"/>
      </w:pPr>
      <w:r>
        <w:rPr>
          <w:rFonts w:ascii="Calibri" w:cs="Calibri" w:eastAsia="Calibri" w:hAnsi="Calibri"/>
          <w:b w:val="false"/>
          <w:bCs w:val="false"/>
          <w:color w:val="222222"/>
          <w:sz w:val="21"/>
          <w:szCs w:val="21"/>
        </w:rPr>
        <w:t xml:space="preserve">Three methods on the same Helios snapshot agree once the areal-density definition is pinned down. The OpenMC / NeSST “discrepancy” was the Method-1 vs Method-2 distinction from Kyle’s slide, now resolved and wired into the pipeline: </w:t>
      </w:r>
      <w:r>
        <w:rPr>
          <w:rFonts w:ascii="Calibri" w:cs="Calibri" w:eastAsia="Calibri" w:hAnsi="Calibri"/>
          <w:b/>
          <w:bCs/>
          <w:color w:val="1C3A63"/>
          <w:sz w:val="21"/>
          <w:szCs w:val="21"/>
        </w:rPr>
        <w:t xml:space="preserve">run_analysis STEP 5b now reports DSR 4.52% (fuel) / 5.02% (+carbon) on the emission-weighted (traversed) ρR, matching OpenMC (4.3%).</w:t>
      </w:r>
      <w:r>
        <w:rPr>
          <w:rFonts w:ascii="Calibri" w:cs="Calibri" w:eastAsia="Calibri" w:hAnsi="Calibri"/>
          <w:b w:val="false"/>
          <w:bCs w:val="false"/>
          <w:color w:val="222222"/>
          <w:sz w:val="21"/>
          <w:szCs w:val="21"/>
        </w:rPr>
        <w:t xml:space="preserve"> A first-principles reproduction of the NIF yield unfold shows the standard 4·DSR exponent is design-specific (~5 for this HDC-ablator target).</w:t>
      </w:r>
    </w:p>
    <w:p>
      <w:pPr>
        <w:keepNext/>
        <w:spacing w:after="90" w:before="220"/>
      </w:pPr>
      <w:r>
        <w:rPr>
          <w:rFonts w:ascii="Calibri" w:cs="Calibri" w:eastAsia="Calibri" w:hAnsi="Calibri"/>
          <w:b/>
          <w:bCs/>
          <w:color w:val="990000"/>
          <w:sz w:val="24"/>
          <w:szCs w:val="24"/>
        </w:rPr>
        <w:t xml:space="preserve">1.  Two areal densities</w:t>
      </w:r>
    </w:p>
    <w:tbl>
      <w:tblPr>
        <w:tblW w:type="dxa" w:w="9360"/>
        <w:tblBorders>
          <w:top w:val="single" w:color="D5DEE8" w:sz="2"/>
          <w:left w:val="single" w:color="D5DEE8" w:sz="2"/>
          <w:bottom w:val="single" w:color="D5DEE8" w:sz="2"/>
          <w:right w:val="single" w:color="D5DEE8" w:sz="2"/>
          <w:insideH w:val="single" w:color="D5DEE8" w:sz="2"/>
          <w:insideV w:val="single" w:color="D5DEE8" w:sz="2"/>
        </w:tblBorders>
      </w:tblPr>
      <w:tblGrid>
        <w:gridCol w:w="3120"/>
        <w:gridCol w:w="2200"/>
        <w:gridCol w:w="2200"/>
        <w:gridCol w:w="1840"/>
      </w:tblGrid>
      <w:tr>
        <w:trPr>
          <w:tblHeader/>
        </w:trPr>
        <w:tc>
          <w:tcPr>
            <w:tcW w:type="dxa" w:w="3120"/>
            <w:shd w:fill="1C3A63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 w:lineRule="auto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quantity</w:t>
            </w:r>
          </w:p>
        </w:tc>
        <w:tc>
          <w:tcPr>
            <w:tcW w:type="dxa" w:w="2200"/>
            <w:shd w:fill="1C3A63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 w:lineRule="auto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OpenMC (transport)</w:t>
            </w:r>
          </w:p>
        </w:tc>
        <w:tc>
          <w:tcPr>
            <w:tcW w:type="dxa" w:w="2200"/>
            <w:shd w:fill="1C3A63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 w:lineRule="auto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NeSST (as shipped)</w:t>
            </w:r>
          </w:p>
        </w:tc>
        <w:tc>
          <w:tcPr>
            <w:tcW w:type="dxa" w:w="1840"/>
            <w:shd w:fill="1C3A63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 w:lineRule="auto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analytic Method-2</w:t>
            </w:r>
          </w:p>
        </w:tc>
      </w:tr>
      <w:tr>
        <w:tc>
          <w:tcPr>
            <w:tcW w:type="dxa" w:w="312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 w:lineRule="auto"/>
            </w:pPr>
            <w:r>
              <w:rPr>
                <w:rFonts w:ascii="Calibri" w:cs="Calibri" w:eastAsia="Calibri" w:hAnsi="Calibri"/>
                <w:b/>
                <w:bCs/>
                <w:color w:val="1C3A63"/>
                <w:sz w:val="20"/>
                <w:szCs w:val="20"/>
              </w:rPr>
              <w:t xml:space="preserve">ρR</w:t>
            </w:r>
            <w:r>
              <w:rPr>
                <w:rFonts w:ascii="Calibri" w:cs="Calibri" w:eastAsia="Calibri" w:hAnsi="Calibri"/>
                <w:b/>
                <w:bCs/>
                <w:color w:val="1C3A63"/>
                <w:sz w:val="20"/>
                <w:szCs w:val="20"/>
                <w:vertAlign w:val="subscript"/>
              </w:rPr>
              <w:t xml:space="preserve">D</w:t>
            </w:r>
            <w:r>
              <w:rPr>
                <w:rFonts w:ascii="Calibri" w:cs="Calibri" w:eastAsia="Calibri" w:hAnsi="Calibri"/>
                <w:b w:val="false"/>
                <w:bCs w:val="false"/>
                <w:color w:val="1C3A63"/>
                <w:sz w:val="20"/>
                <w:szCs w:val="20"/>
              </w:rPr>
              <w:t xml:space="preserve">  (g/cm²)</w:t>
            </w:r>
          </w:p>
        </w:tc>
        <w:tc>
          <w:tcPr>
            <w:tcW w:type="dxa" w:w="220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 w:lineRule="auto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0.372</w:t>
            </w:r>
          </w:p>
        </w:tc>
        <w:tc>
          <w:tcPr>
            <w:tcW w:type="dxa" w:w="220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 w:lineRule="auto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0.567</w:t>
            </w:r>
          </w:p>
        </w:tc>
        <w:tc>
          <w:tcPr>
            <w:tcW w:type="dxa" w:w="184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 w:lineRule="auto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0.297</w:t>
            </w:r>
          </w:p>
        </w:tc>
      </w:tr>
      <w:tr>
        <w:tc>
          <w:tcPr>
            <w:tcW w:type="dxa" w:w="3120"/>
            <w:shd w:fill="F7FAFD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 w:lineRule="auto"/>
            </w:pPr>
            <w:r>
              <w:rPr>
                <w:rFonts w:ascii="Calibri" w:cs="Calibri" w:eastAsia="Calibri" w:hAnsi="Calibri"/>
                <w:b/>
                <w:bCs/>
                <w:color w:val="1C3A63"/>
                <w:sz w:val="20"/>
                <w:szCs w:val="20"/>
              </w:rPr>
              <w:t xml:space="preserve">DSR (10–12 / 13–15)</w:t>
            </w:r>
          </w:p>
        </w:tc>
        <w:tc>
          <w:tcPr>
            <w:tcW w:type="dxa" w:w="2200"/>
            <w:shd w:fill="F7FAFD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 w:lineRule="auto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4.31%</w:t>
            </w:r>
          </w:p>
        </w:tc>
        <w:tc>
          <w:tcPr>
            <w:tcW w:type="dxa" w:w="2200"/>
            <w:shd w:fill="F7FAFD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 w:lineRule="auto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10.07% (fuel 9.51%)</w:t>
            </w:r>
          </w:p>
        </w:tc>
        <w:tc>
          <w:tcPr>
            <w:tcW w:type="dxa" w:w="1840"/>
            <w:shd w:fill="F7FAFD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 w:lineRule="auto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—</w:t>
            </w:r>
          </w:p>
        </w:tc>
      </w:tr>
    </w:tbl>
    <w:p>
      <w:pPr>
        <w:spacing w:after="120" w:before="0" w:line="264" w:lineRule="auto"/>
      </w:pPr>
      <w:r>
        <w:rPr>
          <w:rFonts w:ascii="Calibri" w:cs="Calibri" w:eastAsia="Calibri" w:hAnsi="Calibri"/>
          <w:b w:val="false"/>
          <w:bCs w:val="false"/>
          <w:color w:val="222222"/>
          <w:sz w:val="21"/>
          <w:szCs w:val="21"/>
        </w:rPr>
        <w:t xml:space="preserve">NeSST ρR</w:t>
      </w:r>
      <w:r>
        <w:rPr>
          <w:rFonts w:ascii="Calibri" w:cs="Calibri" w:eastAsia="Calibri" w:hAnsi="Calibri"/>
          <w:b w:val="false"/>
          <w:bCs w:val="false"/>
          <w:color w:val="222222"/>
          <w:sz w:val="21"/>
          <w:szCs w:val="21"/>
          <w:vertAlign w:val="subscript"/>
        </w:rPr>
        <w:t xml:space="preserve">emission</w:t>
      </w:r>
      <w:r>
        <w:rPr>
          <w:rFonts w:ascii="Calibri" w:cs="Calibri" w:eastAsia="Calibri" w:hAnsi="Calibri"/>
          <w:b w:val="false"/>
          <w:bCs w:val="false"/>
          <w:color w:val="222222"/>
          <w:sz w:val="21"/>
          <w:szCs w:val="21"/>
        </w:rPr>
        <w:t xml:space="preserve"> = center-to-edge ∫₀</w:t>
      </w:r>
      <w:r>
        <w:rPr>
          <w:rFonts w:ascii="Calibri" w:cs="Calibri" w:eastAsia="Calibri" w:hAnsi="Calibri"/>
          <w:b w:val="false"/>
          <w:bCs w:val="false"/>
          <w:color w:val="222222"/>
          <w:sz w:val="21"/>
          <w:szCs w:val="21"/>
          <w:vertAlign w:val="superscript"/>
        </w:rPr>
        <w:t xml:space="preserve">R</w:t>
      </w:r>
      <w:r>
        <w:rPr>
          <w:rFonts w:ascii="Calibri" w:cs="Calibri" w:eastAsia="Calibri" w:hAnsi="Calibri"/>
          <w:b w:val="false"/>
          <w:bCs w:val="false"/>
          <w:color w:val="222222"/>
          <w:sz w:val="21"/>
          <w:szCs w:val="21"/>
        </w:rPr>
        <w:t xml:space="preserve"> ρ dr (Kyle Method 1). OpenMC and the analytic Method-2 (isotropic 4π angle-averaged chord integral, validated: central source → ρ·R, uniform → 0.75×) give the emission-weighted </w:t>
      </w:r>
      <w:r>
        <w:rPr>
          <w:rFonts w:ascii="Calibri" w:cs="Calibri" w:eastAsia="Calibri" w:hAnsi="Calibri"/>
          <w:b w:val="false"/>
          <w:bCs w:val="false"/>
          <w:color w:val="222222"/>
          <w:sz w:val="21"/>
          <w:szCs w:val="21"/>
        </w:rPr>
        <w:t xml:space="preserve">traversed</w:t>
      </w:r>
      <w:r>
        <w:rPr>
          <w:rFonts w:ascii="Calibri" w:cs="Calibri" w:eastAsia="Calibri" w:hAnsi="Calibri"/>
          <w:b w:val="false"/>
          <w:bCs w:val="false"/>
          <w:color w:val="222222"/>
          <w:sz w:val="21"/>
          <w:szCs w:val="21"/>
        </w:rPr>
        <w:t xml:space="preserve"> ρR. Both traversed values (0.30–0.37) are ~half the center-to-edge (0.57); DSR follows (4.3% vs 10%). Abu-Shawareb: “the areal density of the system is emission weighted to larger radii, which is why…the areal density decreases as the yield increases” — so DSR tracks the traversed ρR (Method 2), not center-to-edge. Residual OpenMC (0.372) vs Method-2 (0.297) is multiple-scatter + energy-dependent σ (transport-only).</w:t>
      </w:r>
    </w:p>
    <w:p>
      <w:pPr>
        <w:spacing w:after="120" w:before="0" w:line="264" w:lineRule="auto"/>
      </w:pPr>
      <w:r>
        <w:rPr>
          <w:rFonts w:ascii="Calibri" w:cs="Calibri" w:eastAsia="Calibri" w:hAnsi="Calibri"/>
          <w:b w:val="false"/>
          <w:bCs w:val="false"/>
          <w:color w:val="222222"/>
          <w:sz w:val="21"/>
          <w:szCs w:val="21"/>
        </w:rPr>
        <w:t xml:space="preserve">Pipeline run (STEP 5b, traversed mode) on the same snapshot: </w:t>
      </w:r>
      <w:r>
        <w:rPr>
          <w:rFonts w:ascii="Calibri" w:cs="Calibri" w:eastAsia="Calibri" w:hAnsi="Calibri"/>
          <w:b/>
          <w:bCs/>
          <w:color w:val="1C3A63"/>
          <w:sz w:val="21"/>
          <w:szCs w:val="21"/>
        </w:rPr>
        <w:t xml:space="preserve">traversed ρR D = 0.298, T = 0.447, C = 0.664 g/cm²</w:t>
      </w:r>
      <w:r>
        <w:rPr>
          <w:rFonts w:ascii="Calibri" w:cs="Calibri" w:eastAsia="Calibri" w:hAnsi="Calibri"/>
          <w:b w:val="false"/>
          <w:bCs w:val="false"/>
          <w:color w:val="222222"/>
          <w:sz w:val="21"/>
          <w:szCs w:val="21"/>
        </w:rPr>
        <w:t xml:space="preserve"> (fuel D+T = 0.745, total = 1.409); DSR 4.52% fuel / 5.02% total. The pipeline traversed ρR</w:t>
      </w:r>
      <w:r>
        <w:rPr>
          <w:rFonts w:ascii="Calibri" w:cs="Calibri" w:eastAsia="Calibri" w:hAnsi="Calibri"/>
          <w:b w:val="false"/>
          <w:bCs w:val="false"/>
          <w:color w:val="222222"/>
          <w:sz w:val="21"/>
          <w:szCs w:val="21"/>
          <w:vertAlign w:val="subscript"/>
        </w:rPr>
        <w:t xml:space="preserve">D</w:t>
      </w:r>
      <w:r>
        <w:rPr>
          <w:rFonts w:ascii="Calibri" w:cs="Calibri" w:eastAsia="Calibri" w:hAnsi="Calibri"/>
          <w:b w:val="false"/>
          <w:bCs w:val="false"/>
          <w:color w:val="222222"/>
          <w:sz w:val="21"/>
          <w:szCs w:val="21"/>
        </w:rPr>
        <w:t xml:space="preserve"> (0.298) reproduces the analytic Method-2 (0.297) to 1%.</w:t>
      </w:r>
    </w:p>
    <w:p>
      <w:pPr>
        <w:spacing w:after="120" w:before="0" w:line="264" w:lineRule="auto"/>
      </w:pPr>
      <w:r>
        <w:rPr>
          <w:rFonts w:ascii="Calibri" w:cs="Calibri" w:eastAsia="Calibri" w:hAnsi="Calibri"/>
          <w:b/>
          <w:bCs/>
          <w:color w:val="00595F"/>
          <w:sz w:val="21"/>
          <w:szCs w:val="21"/>
        </w:rPr>
        <w:t xml:space="preserve">Action: </w:t>
      </w:r>
      <w:r>
        <w:rPr>
          <w:rFonts w:ascii="Calibri" w:cs="Calibri" w:eastAsia="Calibri" w:hAnsi="Calibri"/>
          <w:b w:val="false"/>
          <w:bCs w:val="false"/>
          <w:color w:val="222222"/>
          <w:sz w:val="21"/>
          <w:szCs w:val="21"/>
        </w:rPr>
        <w:t xml:space="preserve">NeSST is unchanged (a pure ρR → DSR mapper). We changed our code: _composition_scatter now feeds it the traversed ρR (new target_composition.traversed_species_areal_densities); center-to-edge is retained and selectable via rhoR_mode.</w:t>
      </w:r>
    </w:p>
    <w:p>
      <w:pPr>
        <w:keepNext/>
        <w:spacing w:after="90" w:before="220"/>
      </w:pPr>
      <w:r>
        <w:rPr>
          <w:rFonts w:ascii="Calibri" w:cs="Calibri" w:eastAsia="Calibri" w:hAnsi="Calibri"/>
          <w:b/>
          <w:bCs/>
          <w:color w:val="990000"/>
          <w:sz w:val="24"/>
          <w:szCs w:val="24"/>
        </w:rPr>
        <w:t xml:space="preserve">1a.  First-principles DSR ↔ ρR coefficient (self-consistent)</w:t>
      </w:r>
    </w:p>
    <w:p>
      <w:pPr>
        <w:spacing w:after="120" w:before="0" w:line="264" w:lineRule="auto"/>
      </w:pPr>
      <w:r>
        <w:rPr>
          <w:rFonts w:ascii="Calibri" w:cs="Calibri" w:eastAsia="Calibri" w:hAnsi="Calibri"/>
          <w:b w:val="false"/>
          <w:bCs w:val="false"/>
          <w:color w:val="222222"/>
          <w:sz w:val="21"/>
          <w:szCs w:val="21"/>
        </w:rPr>
        <w:t xml:space="preserve">The empirical NIF calibration is ρR = 20.4 × DSR (g/cm² per unit DSR). Our first-principles value must use the </w:t>
      </w:r>
      <w:r>
        <w:rPr>
          <w:rFonts w:ascii="Calibri" w:cs="Calibri" w:eastAsia="Calibri" w:hAnsi="Calibri"/>
          <w:b/>
          <w:bCs/>
          <w:color w:val="222222"/>
          <w:sz w:val="21"/>
          <w:szCs w:val="21"/>
        </w:rPr>
        <w:t xml:space="preserve">same areal-density convention on both sides.</w:t>
      </w:r>
      <w:r>
        <w:rPr>
          <w:rFonts w:ascii="Calibri" w:cs="Calibri" w:eastAsia="Calibri" w:hAnsi="Calibri"/>
          <w:b w:val="false"/>
          <w:bCs w:val="false"/>
          <w:color w:val="222222"/>
          <w:sz w:val="21"/>
          <w:szCs w:val="21"/>
        </w:rPr>
        <w:t xml:space="preserve"> Using the traversed (Method-2) ρR that the DSR is now derived from:</w:t>
      </w:r>
    </w:p>
    <w:tbl>
      <w:tblPr>
        <w:tblW w:type="dxa" w:w="9360"/>
        <w:tblBorders>
          <w:top w:val="single" w:color="D5DEE8" w:sz="2"/>
          <w:left w:val="single" w:color="D5DEE8" w:sz="2"/>
          <w:bottom w:val="single" w:color="D5DEE8" w:sz="2"/>
          <w:right w:val="single" w:color="D5DEE8" w:sz="2"/>
          <w:insideH w:val="single" w:color="D5DEE8" w:sz="2"/>
          <w:insideV w:val="single" w:color="D5DEE8" w:sz="2"/>
        </w:tblBorders>
      </w:tblPr>
      <w:tblGrid>
        <w:gridCol w:w="2400"/>
        <w:gridCol w:w="2400"/>
        <w:gridCol w:w="4560"/>
      </w:tblGrid>
      <w:tr>
        <w:trPr>
          <w:tblHeader/>
        </w:trPr>
        <w:tc>
          <w:tcPr>
            <w:tcW w:type="dxa" w:w="2400"/>
            <w:shd w:fill="1C3A63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 w:lineRule="auto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coefficient</w:t>
            </w:r>
          </w:p>
        </w:tc>
        <w:tc>
          <w:tcPr>
            <w:tcW w:type="dxa" w:w="2400"/>
            <w:shd w:fill="1C3A63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 w:lineRule="auto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value (g/cm² per DSR)</w:t>
            </w:r>
          </w:p>
        </w:tc>
        <w:tc>
          <w:tcPr>
            <w:tcW w:type="dxa" w:w="4560"/>
            <w:shd w:fill="1C3A63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 w:lineRule="auto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definition</w:t>
            </w:r>
          </w:p>
        </w:tc>
      </w:tr>
      <w:tr>
        <w:tc>
          <w:tcPr>
            <w:tcW w:type="dxa" w:w="240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 w:lineRule="auto"/>
            </w:pPr>
            <w:r>
              <w:rPr>
                <w:rFonts w:ascii="Calibri" w:cs="Calibri" w:eastAsia="Calibri" w:hAnsi="Calibri"/>
                <w:b/>
                <w:bCs/>
                <w:color w:val="1C3A63"/>
                <w:sz w:val="20"/>
                <w:szCs w:val="20"/>
              </w:rPr>
              <w:t xml:space="preserve">total (D+T+C)</w:t>
            </w:r>
          </w:p>
        </w:tc>
        <w:tc>
          <w:tcPr>
            <w:tcW w:type="dxa" w:w="240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 w:lineRule="auto"/>
            </w:pPr>
            <w:r>
              <w:rPr>
                <w:rFonts w:ascii="Calibri" w:cs="Calibri" w:eastAsia="Calibri" w:hAnsi="Calibri"/>
                <w:b/>
                <w:bCs/>
                <w:color w:val="990000"/>
                <w:sz w:val="20"/>
                <w:szCs w:val="20"/>
              </w:rPr>
              <w:t xml:space="preserve">28.1</w:t>
            </w:r>
          </w:p>
        </w:tc>
        <w:tc>
          <w:tcPr>
            <w:tcW w:type="dxa" w:w="456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 w:lineRule="auto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total traversed ρR / total DSR   (1.409 / 0.0502)</w:t>
            </w:r>
          </w:p>
        </w:tc>
      </w:tr>
      <w:tr>
        <w:tc>
          <w:tcPr>
            <w:tcW w:type="dxa" w:w="2400"/>
            <w:shd w:fill="F7FAFD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 w:lineRule="auto"/>
            </w:pPr>
            <w:r>
              <w:rPr>
                <w:rFonts w:ascii="Calibri" w:cs="Calibri" w:eastAsia="Calibri" w:hAnsi="Calibri"/>
                <w:b/>
                <w:bCs/>
                <w:color w:val="1C3A63"/>
                <w:sz w:val="20"/>
                <w:szCs w:val="20"/>
              </w:rPr>
              <w:t xml:space="preserve">fuel (D+T)</w:t>
            </w:r>
          </w:p>
        </w:tc>
        <w:tc>
          <w:tcPr>
            <w:tcW w:type="dxa" w:w="2400"/>
            <w:shd w:fill="F7FAFD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 w:lineRule="auto"/>
            </w:pPr>
            <w:r>
              <w:rPr>
                <w:rFonts w:ascii="Calibri" w:cs="Calibri" w:eastAsia="Calibri" w:hAnsi="Calibri"/>
                <w:b/>
                <w:bCs/>
                <w:color w:val="990000"/>
                <w:sz w:val="20"/>
                <w:szCs w:val="20"/>
              </w:rPr>
              <w:t xml:space="preserve">16.5</w:t>
            </w:r>
          </w:p>
        </w:tc>
        <w:tc>
          <w:tcPr>
            <w:tcW w:type="dxa" w:w="4560"/>
            <w:shd w:fill="F7FAFD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 w:lineRule="auto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fuel traversed ρR / fuel DSR   (0.745 / 0.0452)</w:t>
            </w:r>
          </w:p>
        </w:tc>
      </w:tr>
    </w:tbl>
    <w:p>
      <w:pPr>
        <w:spacing w:after="120" w:before="0" w:line="264" w:lineRule="auto"/>
      </w:pPr>
      <w:r>
        <w:rPr>
          <w:rFonts w:ascii="Calibri" w:cs="Calibri" w:eastAsia="Calibri" w:hAnsi="Calibri"/>
          <w:b w:val="false"/>
          <w:bCs w:val="false"/>
          <w:color w:val="222222"/>
          <w:sz w:val="21"/>
          <w:szCs w:val="21"/>
        </w:rPr>
        <w:t xml:space="preserve">These bracket the empirical 20.4, as expected for a clean over-igniting 1-D burn where ρR/DSR run high. </w:t>
      </w:r>
      <w:r>
        <w:rPr>
          <w:rFonts w:ascii="Calibri" w:cs="Calibri" w:eastAsia="Calibri" w:hAnsi="Calibri"/>
          <w:b/>
          <w:bCs/>
          <w:color w:val="00595F"/>
          <w:sz w:val="21"/>
          <w:szCs w:val="21"/>
        </w:rPr>
        <w:t xml:space="preserve">Reporting fix: </w:t>
      </w:r>
      <w:r>
        <w:rPr>
          <w:rFonts w:ascii="Calibri" w:cs="Calibri" w:eastAsia="Calibri" w:hAnsi="Calibri"/>
          <w:b w:val="false"/>
          <w:bCs w:val="false"/>
          <w:color w:val="222222"/>
          <w:sz w:val="21"/>
          <w:szCs w:val="21"/>
        </w:rPr>
        <w:t xml:space="preserve">the pipeline previously printed a single “31.4” that mixed conventions — center-to-edge fuel ρR (1.42) over the traversed fuel DSR (0.0452). That number was neither Method 1 nor Method 2 and has been corrected to the two self-consistent values above (neutron_scatter now uses the traversed convention on both sides). The empirical relation is tied to the total, emission-weighted ρR, so 28.1 is the value to compare against 20.4; the fuel-only 16.5 is the internal D+T check.</w:t>
      </w:r>
    </w:p>
    <w:p>
      <w:pPr>
        <w:keepNext/>
        <w:spacing w:after="90" w:before="220"/>
      </w:pPr>
      <w:r>
        <w:rPr>
          <w:rFonts w:ascii="Calibri" w:cs="Calibri" w:eastAsia="Calibri" w:hAnsi="Calibri"/>
          <w:b/>
          <w:bCs/>
          <w:color w:val="990000"/>
          <w:sz w:val="24"/>
          <w:szCs w:val="24"/>
        </w:rPr>
        <w:t xml:space="preserve">2.  First-principles yield unfold   Y_total = Y(13–15) e^(4·DSR)</w:t>
      </w:r>
    </w:p>
    <w:tbl>
      <w:tblPr>
        <w:tblW w:type="dxa" w:w="9360"/>
        <w:tblBorders>
          <w:top w:val="single" w:color="D5DEE8" w:sz="2"/>
          <w:left w:val="single" w:color="D5DEE8" w:sz="2"/>
          <w:bottom w:val="single" w:color="D5DEE8" w:sz="2"/>
          <w:right w:val="single" w:color="D5DEE8" w:sz="2"/>
          <w:insideH w:val="single" w:color="D5DEE8" w:sz="2"/>
          <w:insideV w:val="single" w:color="D5DEE8" w:sz="2"/>
        </w:tblBorders>
      </w:tblPr>
      <w:tblGrid>
        <w:gridCol w:w="6360"/>
        <w:gridCol w:w="3000"/>
      </w:tblGrid>
      <w:tr>
        <w:trPr>
          <w:tblHeader/>
        </w:trPr>
        <w:tc>
          <w:tcPr>
            <w:tcW w:type="dxa" w:w="6360"/>
            <w:shd w:fill="1C3A63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 w:lineRule="auto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quantity</w:t>
            </w:r>
          </w:p>
        </w:tc>
        <w:tc>
          <w:tcPr>
            <w:tcW w:type="dxa" w:w="3000"/>
            <w:shd w:fill="1C3A63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 w:lineRule="auto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636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 w:lineRule="auto"/>
            </w:pPr>
            <w:r>
              <w:rPr>
                <w:rFonts w:ascii="Calibri" w:cs="Calibri" w:eastAsia="Calibri" w:hAnsi="Calibri"/>
                <w:b/>
                <w:bCs/>
                <w:color w:val="1C3A63"/>
                <w:sz w:val="20"/>
                <w:szCs w:val="20"/>
              </w:rPr>
              <w:t xml:space="preserve">escaping 13–15 MeV / born</w:t>
            </w:r>
          </w:p>
        </w:tc>
        <w:tc>
          <w:tcPr>
            <w:tcW w:type="dxa" w:w="300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 w:lineRule="auto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0.786</w:t>
            </w:r>
          </w:p>
        </w:tc>
      </w:tr>
      <w:tr>
        <w:tc>
          <w:tcPr>
            <w:tcW w:type="dxa" w:w="6360"/>
            <w:shd w:fill="F7FAFD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 w:lineRule="auto"/>
            </w:pPr>
            <w:r>
              <w:rPr>
                <w:rFonts w:ascii="Calibri" w:cs="Calibri" w:eastAsia="Calibri" w:hAnsi="Calibri"/>
                <w:b/>
                <w:bCs/>
                <w:color w:val="1C3A63"/>
                <w:sz w:val="20"/>
                <w:szCs w:val="20"/>
              </w:rPr>
              <w:t xml:space="preserve">Y_total / Y(13–15), OpenMC (1/N)</w:t>
            </w:r>
          </w:p>
        </w:tc>
        <w:tc>
          <w:tcPr>
            <w:tcW w:type="dxa" w:w="3000"/>
            <w:shd w:fill="F7FAFD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 w:lineRule="auto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1.272</w:t>
            </w:r>
          </w:p>
        </w:tc>
      </w:tr>
      <w:tr>
        <w:tc>
          <w:tcPr>
            <w:tcW w:type="dxa" w:w="636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 w:lineRule="auto"/>
            </w:pPr>
            <w:r>
              <w:rPr>
                <w:rFonts w:ascii="Calibri" w:cs="Calibri" w:eastAsia="Calibri" w:hAnsi="Calibri"/>
                <w:b/>
                <w:bCs/>
                <w:color w:val="1C3A63"/>
                <w:sz w:val="20"/>
                <w:szCs w:val="20"/>
              </w:rPr>
              <w:t xml:space="preserve">paper  e^(4·DSR)</w:t>
            </w:r>
          </w:p>
        </w:tc>
        <w:tc>
          <w:tcPr>
            <w:tcW w:type="dxa" w:w="300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 w:lineRule="auto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1.188</w:t>
            </w:r>
          </w:p>
        </w:tc>
      </w:tr>
      <w:tr>
        <w:tc>
          <w:tcPr>
            <w:tcW w:type="dxa" w:w="6360"/>
            <w:shd w:fill="F7FAFD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 w:lineRule="auto"/>
            </w:pPr>
            <w:r>
              <w:rPr>
                <w:rFonts w:ascii="Calibri" w:cs="Calibri" w:eastAsia="Calibri" w:hAnsi="Calibri"/>
                <w:b/>
                <w:bCs/>
                <w:color w:val="1C3A63"/>
                <w:sz w:val="20"/>
                <w:szCs w:val="20"/>
              </w:rPr>
              <w:t xml:space="preserve">effective exponent k</w:t>
            </w:r>
          </w:p>
        </w:tc>
        <w:tc>
          <w:tcPr>
            <w:tcW w:type="dxa" w:w="3000"/>
            <w:shd w:fill="F7FAFD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 w:lineRule="auto"/>
            </w:pPr>
            <w:r>
              <w:rPr>
                <w:rFonts w:ascii="Calibri" w:cs="Calibri" w:eastAsia="Calibri" w:hAnsi="Calibri"/>
                <w:b/>
                <w:bCs/>
                <w:color w:val="990000"/>
                <w:sz w:val="20"/>
                <w:szCs w:val="20"/>
              </w:rPr>
              <w:t xml:space="preserve">5.6</w:t>
            </w: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  (~5.1–5.2 after DD/TT correction)</w:t>
            </w:r>
          </w:p>
        </w:tc>
      </w:tr>
    </w:tbl>
    <w:p>
      <w:pPr>
        <w:spacing w:after="120" w:before="0" w:line="264" w:lineRule="auto"/>
      </w:pPr>
      <w:r>
        <w:rPr>
          <w:rFonts w:ascii="Calibri" w:cs="Calibri" w:eastAsia="Calibri" w:hAnsi="Calibri"/>
          <w:b w:val="false"/>
          <w:bCs w:val="false"/>
          <w:color w:val="222222"/>
          <w:sz w:val="21"/>
          <w:szCs w:val="21"/>
        </w:rPr>
        <w:t xml:space="preserve">k ≫ 4 because n–</w:t>
      </w:r>
      <w:r>
        <w:rPr>
          <w:rFonts w:ascii="Calibri" w:cs="Calibri" w:eastAsia="Calibri" w:hAnsi="Calibri"/>
          <w:b w:val="false"/>
          <w:bCs w:val="false"/>
          <w:color w:val="222222"/>
          <w:sz w:val="21"/>
          <w:szCs w:val="21"/>
          <w:vertAlign w:val="superscript"/>
        </w:rPr>
        <w:t xml:space="preserve">12</w:t>
      </w:r>
      <w:r>
        <w:rPr>
          <w:rFonts w:ascii="Calibri" w:cs="Calibri" w:eastAsia="Calibri" w:hAnsi="Calibri"/>
          <w:b w:val="false"/>
          <w:bCs w:val="false"/>
          <w:color w:val="222222"/>
          <w:sz w:val="21"/>
          <w:szCs w:val="21"/>
        </w:rPr>
        <w:t xml:space="preserve">C elastic loses little energy per collision, pushing 14 MeV neutrons into 12–13 MeV (out of the unscattered window, above the 10–12 DSR window), which inflates scattered-out / DSR. Consequence: the standard 4·DSR unfold under-estimates total yield by ~7% (1.19 vs 1.27) for a heavy-ablator target. A DT-only source run would pin the exponent exactly.</w:t>
      </w:r>
    </w:p>
    <w:p>
      <w:pPr>
        <w:keepNext/>
        <w:spacing w:after="90" w:before="220"/>
      </w:pPr>
      <w:r>
        <w:rPr>
          <w:rFonts w:ascii="Calibri" w:cs="Calibri" w:eastAsia="Calibri" w:hAnsi="Calibri"/>
          <w:b/>
          <w:bCs/>
          <w:color w:val="990000"/>
          <w:sz w:val="24"/>
          <w:szCs w:val="24"/>
        </w:rPr>
        <w:t xml:space="preserve">3.  Gamma signature</w:t>
      </w:r>
    </w:p>
    <w:p>
      <w:pPr>
        <w:spacing w:after="120" w:before="0" w:line="264" w:lineRule="auto"/>
      </w:pPr>
      <w:r>
        <w:rPr>
          <w:rFonts w:ascii="Calibri" w:cs="Calibri" w:eastAsia="Calibri" w:hAnsi="Calibri"/>
          <w:b w:val="false"/>
          <w:bCs w:val="false"/>
          <w:color w:val="222222"/>
          <w:sz w:val="21"/>
          <w:szCs w:val="21"/>
        </w:rPr>
        <w:t xml:space="preserve">0.0070 photons / source neutron escaping, ~540:1 dominated by </w:t>
      </w:r>
      <w:r>
        <w:rPr>
          <w:rFonts w:ascii="Calibri" w:cs="Calibri" w:eastAsia="Calibri" w:hAnsi="Calibri"/>
          <w:b w:val="false"/>
          <w:bCs w:val="false"/>
          <w:color w:val="222222"/>
          <w:sz w:val="21"/>
          <w:szCs w:val="21"/>
          <w:vertAlign w:val="superscript"/>
        </w:rPr>
        <w:t xml:space="preserve">12</w:t>
      </w:r>
      <w:r>
        <w:rPr>
          <w:rFonts w:ascii="Calibri" w:cs="Calibri" w:eastAsia="Calibri" w:hAnsi="Calibri"/>
          <w:b/>
          <w:bCs/>
          <w:color w:val="1C3A63"/>
          <w:sz w:val="21"/>
          <w:szCs w:val="21"/>
        </w:rPr>
        <w:t xml:space="preserve">C(n,n′γ) 4.4 MeV</w:t>
      </w:r>
      <w:r>
        <w:rPr>
          <w:rFonts w:ascii="Calibri" w:cs="Calibri" w:eastAsia="Calibri" w:hAnsi="Calibri"/>
          <w:b w:val="false"/>
          <w:bCs w:val="false"/>
          <w:color w:val="222222"/>
          <w:sz w:val="21"/>
          <w:szCs w:val="21"/>
        </w:rPr>
        <w:t xml:space="preserve"> (6.8×10</w:t>
      </w:r>
      <w:r>
        <w:rPr>
          <w:rFonts w:ascii="Calibri" w:cs="Calibri" w:eastAsia="Calibri" w:hAnsi="Calibri"/>
          <w:b w:val="false"/>
          <w:bCs w:val="false"/>
          <w:color w:val="222222"/>
          <w:sz w:val="21"/>
          <w:szCs w:val="21"/>
          <w:vertAlign w:val="superscript"/>
        </w:rPr>
        <w:t xml:space="preserve">-3</w:t>
      </w:r>
      <w:r>
        <w:rPr>
          <w:rFonts w:ascii="Calibri" w:cs="Calibri" w:eastAsia="Calibri" w:hAnsi="Calibri"/>
          <w:b w:val="false"/>
          <w:bCs w:val="false"/>
          <w:color w:val="222222"/>
          <w:sz w:val="21"/>
          <w:szCs w:val="21"/>
        </w:rPr>
        <w:t xml:space="preserve">) over H(n,γ) 2.2 MeV (1.3×10</w:t>
      </w:r>
      <w:r>
        <w:rPr>
          <w:rFonts w:ascii="Calibri" w:cs="Calibri" w:eastAsia="Calibri" w:hAnsi="Calibri"/>
          <w:b w:val="false"/>
          <w:bCs w:val="false"/>
          <w:color w:val="222222"/>
          <w:sz w:val="21"/>
          <w:szCs w:val="21"/>
          <w:vertAlign w:val="superscript"/>
        </w:rPr>
        <w:t xml:space="preserve">-5</w:t>
      </w:r>
      <w:r>
        <w:rPr>
          <w:rFonts w:ascii="Calibri" w:cs="Calibri" w:eastAsia="Calibri" w:hAnsi="Calibri"/>
          <w:b w:val="false"/>
          <w:bCs w:val="false"/>
          <w:color w:val="222222"/>
          <w:sz w:val="21"/>
          <w:szCs w:val="21"/>
        </w:rPr>
        <w:t xml:space="preserve">). The 4.4 MeV line is a clean HDC-ablator carbon signature.</w:t>
      </w:r>
    </w:p>
    <w:p>
      <w:pPr>
        <w:keepNext/>
        <w:spacing w:after="90" w:before="220"/>
      </w:pPr>
      <w:r>
        <w:rPr>
          <w:rFonts w:ascii="Calibri" w:cs="Calibri" w:eastAsia="Calibri" w:hAnsi="Calibri"/>
          <w:b/>
          <w:bCs/>
          <w:color w:val="990000"/>
          <w:sz w:val="24"/>
          <w:szCs w:val="24"/>
        </w:rPr>
        <w:t xml:space="preserve">Caveats</w:t>
      </w:r>
    </w:p>
    <w:p>
      <w:pPr>
        <w:spacing w:after="120" w:before="0" w:line="264" w:lineRule="auto"/>
      </w:pPr>
      <w:r>
        <w:rPr>
          <w:rFonts w:ascii="Calibri" w:cs="Calibri" w:eastAsia="Calibri" w:hAnsi="Calibri"/>
          <w:b w:val="false"/>
          <w:bCs w:val="false"/>
          <w:color w:val="222222"/>
          <w:sz w:val="21"/>
          <w:szCs w:val="21"/>
        </w:rPr>
        <w:t xml:space="preserve">Clean-1D burn (Y ~ 15.6 MJ vs 1.37 measured); ρR/DSR run high vs the real shot (published DSR 2.87%). This demonstrates the method + corrections, not an experimental match. One snapshot. Surface-tracking warnings are negligible (DSR stable to ~3% across two geometry rebuilds). σ</w:t>
      </w:r>
      <w:r>
        <w:rPr>
          <w:rFonts w:ascii="Calibri" w:cs="Calibri" w:eastAsia="Calibri" w:hAnsi="Calibri"/>
          <w:b w:val="false"/>
          <w:bCs w:val="false"/>
          <w:color w:val="222222"/>
          <w:sz w:val="21"/>
          <w:szCs w:val="21"/>
          <w:vertAlign w:val="subscript"/>
        </w:rPr>
        <w:t xml:space="preserve">el,D</w:t>
      </w:r>
      <w:r>
        <w:rPr>
          <w:rFonts w:ascii="Calibri" w:cs="Calibri" w:eastAsia="Calibri" w:hAnsi="Calibri"/>
          <w:b w:val="false"/>
          <w:bCs w:val="false"/>
          <w:color w:val="222222"/>
          <w:sz w:val="21"/>
          <w:szCs w:val="21"/>
        </w:rPr>
        <w:t xml:space="preserve"> = 0.641 b from ENDF/B-VIII.0 at 14.06 MeV.</w:t>
      </w:r>
    </w:p>
    <w:p>
      <w:pPr>
        <w:keepNext/>
        <w:spacing w:after="90" w:before="220"/>
      </w:pPr>
      <w:r>
        <w:rPr>
          <w:rFonts w:ascii="Calibri" w:cs="Calibri" w:eastAsia="Calibri" w:hAnsi="Calibri"/>
          <w:b/>
          <w:bCs/>
          <w:color w:val="990000"/>
          <w:sz w:val="24"/>
          <w:szCs w:val="24"/>
        </w:rPr>
        <w:t xml:space="preserve">Recommendations</w:t>
      </w:r>
    </w:p>
    <w:p>
      <w:pPr>
        <w:pStyle w:val="ListParagraph"/>
        <w:numPr>
          <w:ilvl w:val="0"/>
          <w:numId w:val="2"/>
        </w:numPr>
        <w:spacing w:after="90" w:line="264" w:lineRule="auto"/>
      </w:pPr>
      <w:r>
        <w:rPr>
          <w:rFonts w:ascii="Calibri" w:cs="Calibri" w:eastAsia="Calibri" w:hAnsi="Calibri"/>
          <w:b w:val="false"/>
          <w:bCs w:val="false"/>
          <w:color w:val="222222"/>
          <w:sz w:val="21"/>
          <w:szCs w:val="21"/>
        </w:rPr>
        <w:t xml:space="preserve">Use the emission-weighted (Method-2 / OpenMC) ρR against the measured DSR (pipeline now default).</w:t>
      </w:r>
    </w:p>
    <w:p>
      <w:pPr>
        <w:pStyle w:val="ListParagraph"/>
        <w:numPr>
          <w:ilvl w:val="0"/>
          <w:numId w:val="2"/>
        </w:numPr>
        <w:spacing w:after="90" w:line="264" w:lineRule="auto"/>
      </w:pPr>
      <w:r>
        <w:rPr>
          <w:rFonts w:ascii="Calibri" w:cs="Calibri" w:eastAsia="Calibri" w:hAnsi="Calibri"/>
          <w:b w:val="false"/>
          <w:bCs w:val="false"/>
          <w:color w:val="222222"/>
          <w:sz w:val="21"/>
          <w:szCs w:val="21"/>
        </w:rPr>
        <w:t xml:space="preserve">Don’t assume a 4·DSR unfold for carbon ablators; derive it per design (~5 here).</w:t>
      </w:r>
    </w:p>
    <w:p>
      <w:pPr>
        <w:pStyle w:val="ListParagraph"/>
        <w:numPr>
          <w:ilvl w:val="0"/>
          <w:numId w:val="2"/>
        </w:numPr>
        <w:spacing w:after="90" w:line="264" w:lineRule="auto"/>
      </w:pPr>
      <w:r>
        <w:rPr>
          <w:rFonts w:ascii="Calibri" w:cs="Calibri" w:eastAsia="Calibri" w:hAnsi="Calibri"/>
          <w:b w:val="false"/>
          <w:bCs w:val="false"/>
          <w:color w:val="222222"/>
          <w:sz w:val="21"/>
          <w:szCs w:val="21"/>
        </w:rPr>
        <w:t xml:space="preserve">Pin which ρR the experimental DSR ↔ ρR calibration is tied to (the emission-weighted total, per the 28.1 vs 20.4 comparison above).</w:t>
      </w:r>
    </w:p>
    <w:p>
      <w:pPr>
        <w:pStyle w:val="ListParagraph"/>
        <w:numPr>
          <w:ilvl w:val="0"/>
          <w:numId w:val="2"/>
        </w:numPr>
        <w:spacing w:after="90" w:line="264" w:lineRule="auto"/>
      </w:pPr>
      <w:r>
        <w:rPr>
          <w:rFonts w:ascii="Calibri" w:cs="Calibri" w:eastAsia="Calibri" w:hAnsi="Calibri"/>
          <w:b w:val="false"/>
          <w:bCs w:val="false"/>
          <w:color w:val="222222"/>
          <w:sz w:val="21"/>
          <w:szCs w:val="21"/>
        </w:rPr>
        <w:t xml:space="preserve">Next: a degraded / under-igniting N210808 (lower ρR) to map how the Method-1/2 gap, the unfold exponent, and the DSR ↔ ρR coefficient scale with yield.</w:t>
      </w:r>
    </w:p>
    <w:p>
      <w:pPr>
        <w:spacing w:after="0" w:before="0" w:line="264" w:lineRule="auto"/>
      </w:pPr>
      <w:r>
        <w:rPr>
          <w:rFonts w:ascii="Calibri" w:cs="Calibri" w:eastAsia="Calibri" w:hAnsi="Calibri"/>
          <w:b/>
          <w:bCs/>
          <w:color w:val="00595F"/>
          <w:sz w:val="21"/>
          <w:szCs w:val="21"/>
        </w:rPr>
        <w:t xml:space="preserve">Reproduce: </w:t>
      </w:r>
      <w:r>
        <w:rPr>
          <w:rFonts w:ascii="Calibri" w:cs="Calibri" w:eastAsia="Calibri" w:hAnsi="Calibri"/>
          <w:b w:val="false"/>
          <w:bCs w:val="false"/>
          <w:color w:val="5A6472"/>
          <w:sz w:val="21"/>
          <w:szCs w:val="21"/>
        </w:rPr>
        <w:t xml:space="preserve">examples/dump_snapshot.py (Helios env) → examples/compare_openmc_nesst.py (openmc-env).</w:t>
      </w:r>
    </w:p>
    <w:sectPr>
      <w:headerReference w:type="default" r:id="rId7"/>
      <w:footerReference w:type="default" r:id="rId8"/>
      <w:pgSz w:w="12240" w:h="15840" w:orient="portrait"/>
      <w:pgMar w:top="1180" w:right="1440" w:bottom="1180" w:left="1440" w:header="560" w:footer="560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00595F" w:sz="8" w:space="6"/>
      </w:pBdr>
      <w:spacing w:before="40"/>
    </w:pPr>
    <w:r>
      <w:rPr>
        <w:rFonts w:ascii="Calibri" w:cs="Calibri" w:eastAsia="Calibri" w:hAnsi="Calibri"/>
        <w:color w:val="5A6472"/>
        <w:sz w:val="16"/>
        <w:szCs w:val="16"/>
      </w:rPr>
      <w:t xml:space="preserve">Prepared for Xcimer Energy   |   Prof. Tom Mehlhorn, MECS</w:t>
    </w:r>
    <w:r>
      <w:ptab w:alignment="right" w:relativeTo="margin" w:leader="none"/>
    </w:r>
    <w:r>
      <w:rPr>
        <w:rFonts w:ascii="Calibri" w:cs="Calibri" w:eastAsia="Calibri" w:hAnsi="Calibri"/>
        <w:color w:val="5A6472"/>
        <w:sz w:val="16"/>
        <w:szCs w:val="16"/>
      </w:rPr>
      <w:t xml:space="preserve">Page </w:t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00595F" w:sz="14" w:space="6"/>
      </w:pBdr>
      <w:spacing w:after="0"/>
    </w:pPr>
    <w:r>
      <w:drawing>
        <wp:inline distT="0" distB="0" distL="0" distR="0">
          <wp:extent cx="247650" cy="228600"/>
          <wp:effectExtent t="0" r="0" b="0" l="0"/>
          <wp:docPr id="1" name="" descr="" titl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47650" cy="2286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Calibri" w:cs="Calibri" w:eastAsia="Calibri" w:hAnsi="Calibri"/>
        <w:b/>
        <w:bCs/>
        <w:color w:val="00595F"/>
        <w:spacing w:val="40"/>
        <w:sz w:val="20"/>
        <w:szCs w:val="20"/>
      </w:rPr>
      <w:t xml:space="preserve">  MECS</w:t>
    </w:r>
    <w:r>
      <w:ptab w:alignment="right" w:relativeTo="margin" w:leader="none"/>
    </w:r>
    <w:r>
      <w:rPr>
        <w:rFonts w:ascii="Calibri" w:cs="Calibri" w:eastAsia="Calibri" w:hAnsi="Calibri"/>
        <w:color w:val="5A6472"/>
        <w:sz w:val="16"/>
        <w:szCs w:val="16"/>
      </w:rPr>
      <w:t xml:space="preserve">Mehlhorn Energy &amp; Computational Sciences</w:t>
    </w:r>
  </w:p>
  <w:p>
    <w:pPr>
      <w:spacing w:after="60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36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360" w:hanging="260"/>
      </w:p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•"/>
      <w:lvlJc w:val="start"/>
      <w:pPr>
        <w:ind w:left="36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222222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><Relationship Id="rId0" Type="http://schemas.openxmlformats.org/officeDocument/2006/relationships/image" Target="media/3045e51d779e8f585b14bb5b224d090e15a85815.pn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MECS neutron diagnostics memo</dc:title>
  <dc:creator>MECS</dc:creator>
  <cp:lastModifiedBy>Un-named</cp:lastModifiedBy>
  <cp:revision>1</cp:revision>
  <dcterms:created xsi:type="dcterms:W3CDTF">2026-07-31T18:54:03.895Z</dcterms:created>
  <dcterms:modified xsi:type="dcterms:W3CDTF">2026-07-31T18:54:03.895Z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