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Coordinating with the helios_postprocess Project -- Summer 2026</w:t>
      </w:r>
    </w:p>
    <w:p>
      <w:pPr>
        <w:pStyle w:val="Author"/>
      </w:pPr>
      <w:r>
        <w:t xml:space="preserve">T. Mehlhorn</w:t>
      </w:r>
    </w:p>
    <w:p>
      <w:pPr>
        <w:pStyle w:val="Date"/>
      </w:pPr>
      <w:r>
        <w:t xml:space="preserve">2026-06-04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86b1569624e1b0ff95eaa03b1fac19d445b00f5"/>
    <w:p>
      <w:pPr>
        <w:pStyle w:val="Heading1"/>
      </w:pPr>
      <w:r>
        <w:t xml:space="preserve">Coordinating with the</w:t>
      </w:r>
      <w:r>
        <w:t xml:space="preserve"> </w:t>
      </w:r>
      <w:r>
        <w:rPr>
          <w:rStyle w:val="VerbatimChar"/>
        </w:rPr>
        <w:t xml:space="preserve">helios_postprocess</w:t>
      </w:r>
      <w:r>
        <w:t xml:space="preserve"> </w:t>
      </w:r>
      <w:r>
        <w:t xml:space="preserve">Project — Summer 2026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Kyle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Will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Tom Mehlhorn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Kyle, welcome to the summer project. This is a sketch of how I’m</w:t>
      </w:r>
      <w:r>
        <w:t xml:space="preserve"> </w:t>
      </w:r>
      <w:r>
        <w:t xml:space="preserve">thinking about coordination between your work in Denver and the</w:t>
      </w:r>
      <w:r>
        <w:t xml:space="preserve"> </w:t>
      </w:r>
      <w:r>
        <w:rPr>
          <w:rStyle w:val="VerbatimChar"/>
        </w:rPr>
        <w:t xml:space="preserve">helios_postprocess</w:t>
      </w:r>
      <w:r>
        <w:t xml:space="preserve"> </w:t>
      </w:r>
      <w:r>
        <w:t xml:space="preserve">pipeline that Will and I have been building. It’s</w:t>
      </w:r>
      <w:r>
        <w:t xml:space="preserve"> </w:t>
      </w:r>
      <w:r>
        <w:t xml:space="preserve">a suggestion, not a prescription — please push back on anything that</w:t>
      </w:r>
      <w:r>
        <w:t xml:space="preserve"> </w:t>
      </w:r>
      <w:r>
        <w:t xml:space="preserve">doesn’t fit how you actually want to work.</w:t>
      </w:r>
    </w:p>
    <w:p>
      <w:pPr>
        <w:pStyle w:val="BodyText"/>
      </w:pPr>
      <w:r>
        <w:t xml:space="preserve">The three of us share goals but work independently, with Will as the</w:t>
      </w:r>
      <w:r>
        <w:t xml:space="preserve"> </w:t>
      </w:r>
      <w:r>
        <w:t xml:space="preserve">technical lead. The pipeline is on GitHub; results land in SharePoint.</w:t>
      </w:r>
      <w:r>
        <w:t xml:space="preserve"> </w:t>
      </w:r>
      <w:r>
        <w:t xml:space="preserve">You and Will both already use Claude at Xcimer. The question is how to</w:t>
      </w:r>
      <w:r>
        <w:t xml:space="preserve"> </w:t>
      </w:r>
      <w:r>
        <w:t xml:space="preserve">keep our work composable across those boundaries.</w:t>
      </w:r>
    </w:p>
    <w:p>
      <w:r>
        <w:pict>
          <v:rect style="width:0;height:1.5pt" o:hralign="center" o:hrstd="t" o:hr="t"/>
        </w:pict>
      </w:r>
    </w:p>
    <w:bookmarkStart w:id="9" w:name="the-shared-infrastructure"/>
    <w:p>
      <w:pPr>
        <w:pStyle w:val="Heading2"/>
      </w:pPr>
      <w:r>
        <w:t xml:space="preserve">1. The shared infrastructure</w:t>
      </w:r>
    </w:p>
    <w:p>
      <w:pPr>
        <w:pStyle w:val="FirstParagraph"/>
      </w:pPr>
      <w:r>
        <w:t xml:space="preserve">Everything below is already in</w:t>
      </w:r>
      <w:r>
        <w:t xml:space="preserve"> </w:t>
      </w:r>
      <w:r>
        <w:rPr>
          <w:rStyle w:val="VerbatimChar"/>
        </w:rPr>
        <w:t xml:space="preserve">tamehlhorn/helios_postprocess</w:t>
      </w:r>
      <w:r>
        <w:t xml:space="preserve"> </w:t>
      </w:r>
      <w:r>
        <w:t xml:space="preserve">on</w:t>
      </w:r>
      <w:r>
        <w:t xml:space="preserve"> </w:t>
      </w:r>
      <w:r>
        <w:t xml:space="preserve">GitHub. You have access. Pulling the latest gets you: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helios_postprocess/</w:t>
      </w:r>
      <w:r>
        <w:t xml:space="preserve"> </w:t>
      </w:r>
      <w:r>
        <w:t xml:space="preserve">— the Python pipeline.</w:t>
      </w:r>
      <w:r>
        <w:t xml:space="preserve"> </w:t>
      </w:r>
      <w:r>
        <w:rPr>
          <w:rStyle w:val="VerbatimChar"/>
        </w:rPr>
        <w:t xml:space="preserve">HeliosRun</w:t>
      </w:r>
      <w:r>
        <w:t xml:space="preserve"> </w:t>
      </w:r>
      <w:r>
        <w:t xml:space="preserve">reads</w:t>
      </w:r>
      <w:r>
        <w:t xml:space="preserve"> </w:t>
      </w:r>
      <w:r>
        <w:t xml:space="preserve">EXODUS,</w:t>
      </w:r>
      <w:r>
        <w:t xml:space="preserve"> </w:t>
      </w:r>
      <w:r>
        <w:rPr>
          <w:rStyle w:val="VerbatimChar"/>
        </w:rPr>
        <w:t xml:space="preserve">build_run_data</w:t>
      </w:r>
      <w:r>
        <w:t xml:space="preserve"> </w:t>
      </w:r>
      <w:r>
        <w:t xml:space="preserve">produces an</w:t>
      </w:r>
      <w:r>
        <w:t xml:space="preserve"> </w:t>
      </w:r>
      <w:r>
        <w:rPr>
          <w:rStyle w:val="VerbatimChar"/>
        </w:rPr>
        <w:t xml:space="preserve">ICFRunData</w:t>
      </w:r>
      <w:r>
        <w:t xml:space="preserve"> </w:t>
      </w:r>
      <w:r>
        <w:t xml:space="preserve">dataclass with</w:t>
      </w:r>
      <w:r>
        <w:t xml:space="preserve"> </w:t>
      </w:r>
      <w:r>
        <w:t xml:space="preserve">~80 attributes,</w:t>
      </w:r>
      <w:r>
        <w:t xml:space="preserve"> </w:t>
      </w:r>
      <w:r>
        <w:rPr>
          <w:rStyle w:val="VerbatimChar"/>
        </w:rPr>
        <w:t xml:space="preserve">ICFAnalyzer</w:t>
      </w:r>
      <w:r>
        <w:t xml:space="preserve"> </w:t>
      </w:r>
      <w:r>
        <w:t xml:space="preserve">populates derived quantities,</w:t>
      </w:r>
      <w:r>
        <w:t xml:space="preserve"> </w:t>
      </w:r>
      <w:r>
        <w:rPr>
          <w:rStyle w:val="VerbatimChar"/>
        </w:rPr>
        <w:t xml:space="preserve">ICFPlotter</w:t>
      </w:r>
      <w:r>
        <w:t xml:space="preserve"> </w:t>
      </w:r>
      <w:r>
        <w:t xml:space="preserve">writes the report PDF,</w:t>
      </w:r>
      <w:r>
        <w:t xml:space="preserve"> </w:t>
      </w:r>
      <w:r>
        <w:rPr>
          <w:rStyle w:val="VerbatimChar"/>
        </w:rPr>
        <w:t xml:space="preserve">ICFOutputGenerator</w:t>
      </w:r>
      <w:r>
        <w:t xml:space="preserve"> </w:t>
      </w:r>
      <w:r>
        <w:t xml:space="preserve">writes the</w:t>
      </w:r>
      <w:r>
        <w:t xml:space="preserve"> </w:t>
      </w:r>
      <w:r>
        <w:t xml:space="preserve">text summary + history CSV.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examples/run_analysis.py</w:t>
      </w:r>
      <w:r>
        <w:t xml:space="preserve"> </w:t>
      </w:r>
      <w:r>
        <w:t xml:space="preserve">— main entry point. Takes a base path</w:t>
      </w:r>
      <w:r>
        <w:t xml:space="preserve"> </w:t>
      </w:r>
      <w:r>
        <w:t xml:space="preserve">(no extension), derives</w:t>
      </w:r>
      <w:r>
        <w:t xml:space="preserve"> </w:t>
      </w:r>
      <w:r>
        <w:rPr>
          <w:rStyle w:val="VerbatimChar"/>
        </w:rPr>
        <w:t xml:space="preserve">.exo</w:t>
      </w:r>
      <w:r>
        <w:t xml:space="preserve">,</w:t>
      </w:r>
      <w:r>
        <w:t xml:space="preserve"> </w:t>
      </w:r>
      <w:r>
        <w:rPr>
          <w:rStyle w:val="VerbatimChar"/>
        </w:rPr>
        <w:t xml:space="preserve">.rhw</w:t>
      </w:r>
      <w:r>
        <w:t xml:space="preserve">,</w:t>
      </w:r>
      <w:r>
        <w:t xml:space="preserve"> </w:t>
      </w:r>
      <w:r>
        <w:rPr>
          <w:rStyle w:val="VerbatimChar"/>
        </w:rPr>
        <w:t xml:space="preserve">_published.json</w:t>
      </w:r>
      <w:r>
        <w:t xml:space="preserve">, and writes</w:t>
      </w:r>
      <w:r>
        <w:t xml:space="preserve"> </w:t>
      </w:r>
      <w:r>
        <w:rPr>
          <w:rStyle w:val="VerbatimChar"/>
        </w:rPr>
        <w:t xml:space="preserve">_report.pdf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_comparison.pdf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_summary.txt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_history.csv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examples/scan_summary.py</w:t>
      </w:r>
      <w:r>
        <w:t xml:space="preserve"> </w:t>
      </w:r>
      <w:r>
        <w:t xml:space="preserve">— scan-level CSV, one row per run,</w:t>
      </w:r>
      <w:r>
        <w:t xml:space="preserve"> </w:t>
      </w:r>
      <w:r>
        <w:t xml:space="preserve">ranking against a target velocity (extensible to other targets).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examples/plot_shock_trajectories.py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examples/energy_balance_diagnostic.py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examples/dump_per_zone_burn_share.py</w:t>
      </w:r>
      <w:r>
        <w:t xml:space="preserve"> </w:t>
      </w:r>
      <w:r>
        <w:t xml:space="preserve">— standalone diagnostics.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CLAUDE.md</w:t>
      </w:r>
      <w:r>
        <w:t xml:space="preserve"> </w:t>
      </w:r>
      <w:r>
        <w:t xml:space="preserve">— long-form project guide. Auto-loaded by Claude when</w:t>
      </w:r>
      <w:r>
        <w:t xml:space="preserve"> </w:t>
      </w:r>
      <w:r>
        <w:t xml:space="preserve">you start a session in the repo. ~70 pages covering EXODUS conventions,</w:t>
      </w:r>
      <w:r>
        <w:t xml:space="preserve"> </w:t>
      </w:r>
      <w:r>
        <w:t xml:space="preserve">physics conventions, calibration history, known gotchas, and worked</w:t>
      </w:r>
      <w:r>
        <w:t xml:space="preserve"> </w:t>
      </w:r>
      <w:r>
        <w:t xml:space="preserve">examples.</w:t>
      </w:r>
      <w:r>
        <w:t xml:space="preserve"> </w:t>
      </w:r>
      <w:r>
        <w:rPr>
          <w:b/>
          <w:bCs/>
        </w:rPr>
        <w:t xml:space="preserve">This is the team’s shared memory.</w:t>
      </w:r>
      <w:r>
        <w:t xml:space="preserve"> </w:t>
      </w:r>
      <w:r>
        <w:t xml:space="preserve">Any session-specific</w:t>
      </w:r>
      <w:r>
        <w:t xml:space="preserve"> </w:t>
      </w:r>
      <w:r>
        <w:t xml:space="preserve">context you don’t put here is local to your own Claude project.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docs/Xcimer_PDD_calibration_report.{md,docx,pdf}</w:t>
      </w:r>
      <w:r>
        <w:t xml:space="preserve"> </w:t>
      </w:r>
      <w:r>
        <w:t xml:space="preserve">and the HDD</w:t>
      </w:r>
      <w:r>
        <w:t xml:space="preserve"> </w:t>
      </w:r>
      <w:r>
        <w:t xml:space="preserve">companion — the two closed calibration writeups. State of the art on</w:t>
      </w:r>
      <w:r>
        <w:t xml:space="preserve"> </w:t>
      </w:r>
      <w:r>
        <w:t xml:space="preserve">each target as of June 3 2026.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docs/Helios_PDD_HDD_summary_for_Will.pptx</w:t>
      </w:r>
      <w:r>
        <w:t xml:space="preserve"> </w:t>
      </w:r>
      <w:r>
        <w:t xml:space="preserve">— the briefing deck</w:t>
      </w:r>
      <w:r>
        <w:t xml:space="preserve"> </w:t>
      </w:r>
      <w:r>
        <w:t xml:space="preserve">from June 3; top-down view of where we are.</w:t>
      </w:r>
    </w:p>
    <w:p>
      <w:pPr>
        <w:pStyle w:val="FirstParagraph"/>
      </w:pPr>
      <w:r>
        <w:t xml:space="preserve">If you want a fast tour: 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sections</w:t>
      </w:r>
      <w:r>
        <w:t xml:space="preserve"> </w:t>
      </w:r>
      <w:r>
        <w:t xml:space="preserve">“Class-Based</w:t>
      </w:r>
      <w:r>
        <w:t xml:space="preserve"> </w:t>
      </w:r>
      <w:r>
        <w:t xml:space="preserve">Pipeline”</w:t>
      </w:r>
      <w:r>
        <w:t xml:space="preserve">,</w:t>
      </w:r>
      <w:r>
        <w:t xml:space="preserve"> </w:t>
      </w:r>
      <w:r>
        <w:t xml:space="preserve">“Physics Conventions”</w:t>
      </w:r>
      <w:r>
        <w:t xml:space="preserve"> </w:t>
      </w:r>
      <w:r>
        <w:t xml:space="preserve">1-17 (especially 9 = adiabat, 5b =</w:t>
      </w:r>
      <w:r>
        <w:t xml:space="preserve"> </w:t>
      </w:r>
      <w:r>
        <w:t xml:space="preserve">fusion rates),</w:t>
      </w:r>
      <w:r>
        <w:t xml:space="preserve"> </w:t>
      </w:r>
      <w:r>
        <w:t xml:space="preserve">“Shock train pipeline”</w:t>
      </w:r>
      <w:r>
        <w:t xml:space="preserve">,</w:t>
      </w:r>
      <w:r>
        <w:t xml:space="preserve"> </w:t>
      </w:r>
      <w:r>
        <w:t xml:space="preserve">“Comparison Framework”</w:t>
      </w:r>
      <w:r>
        <w:t xml:space="preserve">, then</w:t>
      </w:r>
      <w:r>
        <w:t xml:space="preserve"> </w:t>
      </w:r>
      <w:r>
        <w:t xml:space="preserve">skim the two</w:t>
      </w:r>
      <w:r>
        <w:t xml:space="preserve"> </w:t>
      </w:r>
      <w:r>
        <w:rPr>
          <w:rStyle w:val="VerbatimChar"/>
        </w:rPr>
        <w:t xml:space="preserve">Xcimer_*_calibration_report.md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9"/>
    <w:bookmarkStart w:id="10" w:name="Xc00c63974686eb9a8ac9ff713abfc889a5e3bc3"/>
    <w:p>
      <w:pPr>
        <w:pStyle w:val="Heading2"/>
      </w:pPr>
      <w:r>
        <w:t xml:space="preserve">2. Adiabat conventions — please read once before any cross-tool comparison</w:t>
      </w:r>
    </w:p>
    <w:p>
      <w:pPr>
        <w:pStyle w:val="FirstParagraph"/>
      </w:pPr>
      <w:r>
        <w:t xml:space="preserve">This is the one thing I’d flag as non-obvious. The pipeline carries</w:t>
      </w:r>
      <w:r>
        <w:t xml:space="preserve"> </w:t>
      </w:r>
      <w:r>
        <w:t xml:space="preserve">five adiabat conventions because the same</w:t>
      </w:r>
      <w:r>
        <w:t xml:space="preserve"> </w:t>
      </w:r>
      <w:r>
        <w:rPr>
          <w:rStyle w:val="VerbatimChar"/>
        </w:rPr>
        <w:t xml:space="preserve">.exo</w:t>
      </w:r>
      <w:r>
        <w:t xml:space="preserve"> </w:t>
      </w:r>
      <w:r>
        <w:t xml:space="preserve">gives different</w:t>
      </w:r>
      <w:r>
        <w:t xml:space="preserve"> </w:t>
      </w:r>
      <w:r>
        <w:t xml:space="preserve">numbers depending on which</w:t>
      </w:r>
      <w:r>
        <w:t xml:space="preserve"> </w:t>
      </w:r>
      <w:r>
        <w:rPr>
          <w:rStyle w:val="VerbatimChar"/>
        </w:rPr>
        <w:t xml:space="preserve">n_e</w:t>
      </w:r>
      <w:r>
        <w:t xml:space="preserve"> </w:t>
      </w:r>
      <w:r>
        <w:t xml:space="preserve">model and which time-aggregation you</w:t>
      </w:r>
      <w:r>
        <w:t xml:space="preserve"> </w:t>
      </w:r>
      <w:r>
        <w:t xml:space="preserve">use, and those differences are 1.5× to 14×, not 5%.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Pipeline attr</w:t>
            </w:r>
          </w:p>
        </w:tc>
        <w:tc>
          <w:tcPr/>
          <w:p>
            <w:pPr>
              <w:pStyle w:val="Compact"/>
            </w:pPr>
            <w:r>
              <w:t xml:space="preserve">Use when comparing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Lindl peak 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data.adiabat</w:t>
            </w:r>
          </w:p>
        </w:tc>
        <w:tc>
          <w:tcPr/>
          <w:p>
            <w:pPr>
              <w:pStyle w:val="Compact"/>
            </w:pPr>
            <w:r>
              <w:t xml:space="preserve">Olson PDD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Lindl base (at breakout)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data.adiabat_at_breakout</w:t>
            </w:r>
          </w:p>
        </w:tc>
        <w:tc>
          <w:tcPr/>
          <w:p>
            <w:pPr>
              <w:pStyle w:val="Compact"/>
            </w:pPr>
            <w:r>
              <w:t xml:space="preserve">foot-shock adiabat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RHINO</w:t>
            </w:r>
            <w:r>
              <w:t xml:space="preserve"> </w:t>
            </w:r>
            <w:r>
              <w:rPr>
                <w:rStyle w:val="VerbatimChar"/>
              </w:rPr>
              <w:t xml:space="preserve">partially_ionized</w:t>
            </w:r>
            <w:r>
              <w:t xml:space="preserve"> </w:t>
            </w:r>
            <w:r>
              <w:t xml:space="preserve">at CR=1.5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data.adiabat_min_rhino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Thomas Vulcan HDD reference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HYDRA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RHINO</w:t>
            </w:r>
            <w:r>
              <w:t xml:space="preserve"> </w:t>
            </w:r>
            <w:r>
              <w:rPr>
                <w:rStyle w:val="VerbatimChar"/>
              </w:rPr>
              <w:t xml:space="preserve">fully_ionized_dt</w:t>
            </w:r>
            <w:r>
              <w:t xml:space="preserve"> </w:t>
            </w:r>
            <w:r>
              <w:t xml:space="preserve">at CR=1.5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data.adiabat_min_rhino_fully_ionized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Will’s native RHINO postprocess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 Fermi mass-avg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data.adiabat_min_rhino_formula</w:t>
            </w:r>
          </w:p>
        </w:tc>
        <w:tc>
          <w:tcPr/>
          <w:p>
            <w:pPr>
              <w:pStyle w:val="Compact"/>
            </w:pPr>
            <w:r>
              <w:t xml:space="preserve">Diagnostic only</w:t>
            </w:r>
          </w:p>
        </w:tc>
      </w:tr>
    </w:tbl>
    <w:p>
      <w:pPr>
        <w:pStyle w:val="BodyText"/>
      </w:pPr>
      <w:r>
        <w:t xml:space="preserve">Pick one per study and document it. The convention story closed June 3</w:t>
      </w:r>
      <w:r>
        <w:t xml:space="preserve"> </w:t>
      </w:r>
      <w:r>
        <w:t xml:space="preserve">when we matched Will’s native RHINO 4.125 to 0.1% (4.13) on</w:t>
      </w:r>
      <w:r>
        <w:t xml:space="preserve"> </w:t>
      </w:r>
      <w:r>
        <w:rPr>
          <w:rStyle w:val="VerbatimChar"/>
        </w:rPr>
        <w:t xml:space="preserve">WT_cthomas_baseline</w:t>
      </w:r>
      <w:r>
        <w:t xml:space="preserve"> </w:t>
      </w:r>
      <w:r>
        <w:t xml:space="preserve">by switching to the</w:t>
      </w:r>
      <w:r>
        <w:t xml:space="preserve"> </w:t>
      </w:r>
      <w:r>
        <w:rPr>
          <w:rStyle w:val="VerbatimChar"/>
        </w:rPr>
        <w:t xml:space="preserve">fully_ionized_dt</w:t>
      </w:r>
      <w:r>
        <w:t xml:space="preserve"> </w:t>
      </w:r>
      <w:r>
        <w:t xml:space="preserve">mode. The</w:t>
      </w:r>
      <w:r>
        <w:t xml:space="preserve"> </w:t>
      </w:r>
      <w:r>
        <w:t xml:space="preserve">math is written up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“Adiabat convention story”</w:t>
      </w:r>
      <w:r>
        <w:t xml:space="preserve"> </w:t>
      </w:r>
      <w:r>
        <w:t xml:space="preserve">and in the</w:t>
      </w:r>
      <w:r>
        <w:t xml:space="preserve"> </w:t>
      </w:r>
      <w:r>
        <w:t xml:space="preserve">HDD report §5.4.</w:t>
      </w:r>
    </w:p>
    <w:p>
      <w:r>
        <w:pict>
          <v:rect style="width:0;height:1.5pt" o:hralign="center" o:hrstd="t" o:hr="t"/>
        </w:pict>
      </w:r>
    </w:p>
    <w:bookmarkEnd w:id="10"/>
    <w:bookmarkStart w:id="14" w:name="Xc648c120ed566b9c122d5a8f2739a98fa3da1cd"/>
    <w:p>
      <w:pPr>
        <w:pStyle w:val="Heading2"/>
      </w:pPr>
      <w:r>
        <w:t xml:space="preserve">3. Your three objectives — what’s already there for you</w:t>
      </w:r>
    </w:p>
    <w:bookmarkStart w:id="11" w:name="euler-scale-shock-timing"/>
    <w:p>
      <w:pPr>
        <w:pStyle w:val="Heading3"/>
      </w:pPr>
      <w:r>
        <w:t xml:space="preserve">(1) Euler scale + shock timing</w:t>
      </w:r>
    </w:p>
    <w:p>
      <w:pPr>
        <w:pStyle w:val="FirstParagraph"/>
      </w:pPr>
      <w:r>
        <w:t xml:space="preserve">The shock-train pipeline (</w:t>
      </w:r>
      <w:r>
        <w:rPr>
          <w:rStyle w:val="VerbatimChar"/>
        </w:rPr>
        <w:t xml:space="preserve">pressure_gradients.py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_compute_shock_train</w:t>
      </w:r>
      <w:r>
        <w:t xml:space="preserve">) auto-detects foot / ramp / peak events,</w:t>
      </w:r>
      <w:r>
        <w:t xml:space="preserve"> </w:t>
      </w:r>
      <w:r>
        <w:t xml:space="preserve">consolidates them within</w:t>
      </w:r>
      <w:r>
        <w:t xml:space="preserve"> </w:t>
      </w:r>
      <w:r>
        <w:rPr>
          <w:rStyle w:val="VerbatimChar"/>
        </w:rPr>
        <w:t xml:space="preserve">min_separation_ns</w:t>
      </w:r>
      <w:r>
        <w:t xml:space="preserve">, and writes per-event</w:t>
      </w:r>
      <w:r>
        <w:t xml:space="preserve"> </w:t>
      </w:r>
      <w:r>
        <w:t xml:space="preserve">scalars. Set target times in</w:t>
      </w:r>
      <w:r>
        <w:t xml:space="preserve"> </w:t>
      </w:r>
      <w:r>
        <w:rPr>
          <w:rStyle w:val="VerbatimChar"/>
        </w:rPr>
        <w:t xml:space="preserve">&lt;base&gt;_published.json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"t_foot_shock_breakout_ns"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7.5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therTok"/>
        </w:rPr>
        <w:t xml:space="preserve">]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"t_ramp_shock_breakout_ns"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therTok"/>
        </w:rPr>
        <w:t xml:space="preserve">]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"t_peak_shock_breakout_ns"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13.0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…and the comparison block prints Δ-vs-target. The R-T overlay PDF page</w:t>
      </w:r>
      <w:r>
        <w:t xml:space="preserve"> </w:t>
      </w:r>
      <w:r>
        <w:t xml:space="preserve">is the visual diagnostic.</w:t>
      </w:r>
      <w:r>
        <w:t xml:space="preserve"> </w:t>
      </w:r>
      <w:r>
        <w:rPr>
          <w:rStyle w:val="VerbatimChar"/>
        </w:rPr>
        <w:t xml:space="preserve">scan_summary.py</w:t>
      </w:r>
      <w:r>
        <w:t xml:space="preserve"> </w:t>
      </w:r>
      <w:r>
        <w:t xml:space="preserve">ranks candidates.</w:t>
      </w:r>
    </w:p>
    <w:p>
      <w:pPr>
        <w:pStyle w:val="BodyText"/>
      </w:pPr>
      <w:r>
        <w:t xml:space="preserve">Two things to know if you use this:</w:t>
      </w:r>
      <w:r>
        <w:t xml:space="preserve"> </w:t>
      </w:r>
      <w:r>
        <w:t xml:space="preserve">- Euler scaling needs geometry rescaling too (</w:t>
      </w:r>
      <w:r>
        <w:rPr>
          <w:rStyle w:val="VerbatimChar"/>
        </w:rPr>
        <w:t xml:space="preserve">L_new/L_old =   (E_new/E_old)^(1/3)</w:t>
      </w:r>
      <w:r>
        <w:t xml:space="preserve">), not just power scaling.</w:t>
      </w:r>
      <w:r>
        <w:t xml:space="preserve"> </w:t>
      </w:r>
      <w:r>
        <w:t xml:space="preserve">- EOS / opacity tables aren’t scale-invariant — adiabat history at 8 MJ</w:t>
      </w:r>
      <w:r>
        <w:t xml:space="preserve"> </w:t>
      </w:r>
      <w:r>
        <w:t xml:space="preserve">won’t reproduce a 4 MJ run even with proper scaling.</w:t>
      </w:r>
    </w:p>
    <w:bookmarkEnd w:id="11"/>
    <w:bookmarkStart w:id="12" w:name="pulse-optimization-burn-off-until-late"/>
    <w:p>
      <w:pPr>
        <w:pStyle w:val="Heading3"/>
      </w:pPr>
      <w:r>
        <w:t xml:space="preserve">(2) Pulse optimization, burn off until late</w:t>
      </w:r>
    </w:p>
    <w:p>
      <w:pPr>
        <w:pStyle w:val="FirstParagraph"/>
      </w:pPr>
      <w:r>
        <w:rPr>
          <w:rStyle w:val="VerbatimChar"/>
        </w:rPr>
        <w:t xml:space="preserve">&lt;base&gt;_published.json</w:t>
      </w:r>
      <w:r>
        <w:t xml:space="preserve"> </w:t>
      </w:r>
      <w:r>
        <w:t xml:space="preserve">accepts ~20 metric keys with</w:t>
      </w:r>
      <w:r>
        <w:t xml:space="preserve"> </w:t>
      </w:r>
      <w:r>
        <w:rPr>
          <w:rStyle w:val="VerbatimChar"/>
        </w:rPr>
        <w:t xml:space="preserve">[value, uncertainty]</w:t>
      </w:r>
      <w:r>
        <w:t xml:space="preserve"> </w:t>
      </w:r>
      <w:r>
        <w:t xml:space="preserve">pairs. The comparison framework reports Δ for each, and</w:t>
      </w:r>
      <w:r>
        <w:t xml:space="preserve"> </w:t>
      </w:r>
      <w:r>
        <w:rPr>
          <w:rStyle w:val="VerbatimChar"/>
        </w:rPr>
        <w:t xml:space="preserve">scan_summary.py</w:t>
      </w:r>
      <w:r>
        <w:t xml:space="preserve"> </w:t>
      </w:r>
      <w:r>
        <w:t xml:space="preserve">ranks by composite weighted distance. For burn-off design phase, fill</w:t>
      </w:r>
      <w:r>
        <w:t xml:space="preserve"> </w:t>
      </w:r>
      <w:r>
        <w:t xml:space="preserve">the implosion-side keys (</w:t>
      </w:r>
      <w:r>
        <w:rPr>
          <w:rStyle w:val="VerbatimChar"/>
        </w:rPr>
        <w:t xml:space="preserve">peak_velocity_kms</w:t>
      </w:r>
      <w:r>
        <w:t xml:space="preserve">,</w:t>
      </w:r>
      <w:r>
        <w:t xml:space="preserve"> </w:t>
      </w:r>
      <w:r>
        <w:rPr>
          <w:rStyle w:val="VerbatimChar"/>
        </w:rPr>
        <w:t xml:space="preserve">adiabat</w:t>
      </w:r>
      <w:r>
        <w:t xml:space="preserve">,</w:t>
      </w:r>
      <w:r>
        <w:t xml:space="preserve"> </w:t>
      </w:r>
      <w:r>
        <w:rPr>
          <w:rStyle w:val="VerbatimChar"/>
        </w:rPr>
        <w:t xml:space="preserve">ifar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hydro_efficiency_pct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inflight_KE_kJ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fraction_absorbed_pct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rhoR_cf</w:t>
      </w:r>
      <w:r>
        <w:t xml:space="preserve">,</w:t>
      </w:r>
      <w:r>
        <w:t xml:space="preserve"> </w:t>
      </w:r>
      <w:r>
        <w:rPr>
          <w:rStyle w:val="VerbatimChar"/>
        </w:rPr>
        <w:t xml:space="preserve">CR_max</w:t>
      </w:r>
      <w:r>
        <w:t xml:space="preserve">, and the three shock times above) and skip the</w:t>
      </w:r>
      <w:r>
        <w:t xml:space="preserve"> </w:t>
      </w:r>
      <w:r>
        <w:t xml:space="preserve">burn-side ones.</w:t>
      </w:r>
    </w:p>
    <w:p>
      <w:pPr>
        <w:pStyle w:val="BodyText"/>
      </w:pPr>
      <w:r>
        <w:t xml:space="preserve">One non-obvious gotcha worth flagging:</w:t>
      </w:r>
      <w:r>
        <w:t xml:space="preserve"> </w:t>
      </w:r>
      <w:r>
        <w:rPr>
          <w:b/>
          <w:bCs/>
        </w:rPr>
        <w:t xml:space="preserve">the cost surface is not</w:t>
      </w:r>
      <w:r>
        <w:rPr>
          <w:b/>
          <w:bCs/>
        </w:rPr>
        <w:t xml:space="preserve"> </w:t>
      </w:r>
      <w:r>
        <w:rPr>
          <w:b/>
          <w:bCs/>
        </w:rPr>
        <w:t xml:space="preserve">smooth.</w:t>
      </w:r>
      <w:r>
        <w:t xml:space="preserve"> </w:t>
      </w:r>
      <w:r>
        <w:t xml:space="preserve">Our May 30 PDD design study found a two-plateau staircase</w:t>
      </w:r>
      <w:r>
        <w:t xml:space="preserve"> </w:t>
      </w:r>
      <w:r>
        <w:t xml:space="preserve">(c33/c28 at 55 MJ / 25% foam; c25/c20 at 69 MJ / 31%; jump unlocked by</w:t>
      </w:r>
      <w:r>
        <w:t xml:space="preserve"> </w:t>
      </w:r>
      <w:r>
        <w:t xml:space="preserve">spot+focus combination, not cone alone). Gradient-descent stalls on</w:t>
      </w:r>
      <w:r>
        <w:t xml:space="preserve"> </w:t>
      </w:r>
      <w:r>
        <w:t xml:space="preserve">plateaus. LHS or Bayesian optimization beats it.</w:t>
      </w:r>
    </w:p>
    <w:p>
      <w:pPr>
        <w:pStyle w:val="BodyText"/>
      </w:pPr>
      <w:r>
        <w:t xml:space="preserve">If you write a</w:t>
      </w:r>
      <w:r>
        <w:t xml:space="preserve"> </w:t>
      </w:r>
      <w:r>
        <w:rPr>
          <w:rStyle w:val="VerbatimChar"/>
        </w:rPr>
        <w:t xml:space="preserve">cost_function.py</w:t>
      </w:r>
      <w:r>
        <w:t xml:space="preserve"> </w:t>
      </w:r>
      <w:r>
        <w:t xml:space="preserve">wrapper around</w:t>
      </w:r>
      <w:r>
        <w:t xml:space="preserve"> </w:t>
      </w:r>
      <w:r>
        <w:rPr>
          <w:rStyle w:val="VerbatimChar"/>
        </w:rPr>
        <w:t xml:space="preserve">_summary.txt</w:t>
      </w:r>
      <w:r>
        <w:t xml:space="preserve"> </w:t>
      </w:r>
      <w:r>
        <w:t xml:space="preserve">and an</w:t>
      </w:r>
      <w:r>
        <w:t xml:space="preserve"> </w:t>
      </w:r>
      <w:r>
        <w:t xml:space="preserve">SDK call to</w:t>
      </w:r>
      <w:r>
        <w:t xml:space="preserve"> </w:t>
      </w:r>
      <w:r>
        <w:rPr>
          <w:rStyle w:val="VerbatimChar"/>
        </w:rPr>
        <w:t xml:space="preserve">scipy.optimize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skopt</w:t>
      </w:r>
      <w:r>
        <w:t xml:space="preserve">, that would be genuinely useful</w:t>
      </w:r>
      <w:r>
        <w:t xml:space="preserve"> </w:t>
      </w:r>
      <w:r>
        <w:t xml:space="preserve">infrastructure — we’d use it for HDD picket optimization too. See §5.</w:t>
      </w:r>
    </w:p>
    <w:bookmarkEnd w:id="12"/>
    <w:bookmarkStart w:id="13" w:name="tritium-lean-gain-ρr_d"/>
    <w:p>
      <w:pPr>
        <w:pStyle w:val="Heading3"/>
      </w:pPr>
      <w:r>
        <w:t xml:space="preserve">(3) Tritium-lean — gain + ρR_D</w:t>
      </w:r>
    </w:p>
    <w:p>
      <w:pPr>
        <w:pStyle w:val="FirstParagraph"/>
      </w:pPr>
      <w:r>
        <w:t xml:space="preserve">Two gaps in the current pipeline you’ll hit: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DD branches are not loaded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data_builder.py</w:t>
      </w:r>
      <w:r>
        <w:t xml:space="preserve">. EXODUS has</w:t>
      </w:r>
      <w:r>
        <w:t xml:space="preserve"> </w:t>
      </w:r>
      <w:r>
        <w:rPr>
          <w:rStyle w:val="VerbatimChar"/>
        </w:rPr>
        <w:t xml:space="preserve">TimeIntFusionProd_He4_0352</w:t>
      </w:r>
      <w:r>
        <w:t xml:space="preserve"> </w:t>
      </w:r>
      <w:r>
        <w:t xml:space="preserve">(DT alphas),</w:t>
      </w:r>
      <w:r>
        <w:t xml:space="preserve"> </w:t>
      </w:r>
      <w:r>
        <w:rPr>
          <w:rStyle w:val="VerbatimChar"/>
        </w:rPr>
        <w:t xml:space="preserve">TimeIntFusionProd_He4_0367</w:t>
      </w:r>
      <w:r>
        <w:t xml:space="preserve"> </w:t>
      </w:r>
      <w:r>
        <w:t xml:space="preserve">(DD alphas), and per-zone variants. They’re on the wishlist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“Boundary-tally”</w:t>
      </w:r>
      <w:r>
        <w:t xml:space="preserve"> </w:t>
      </w:r>
      <w:r>
        <w:t xml:space="preserve">section. Roughly 50 lines to wire +</w:t>
      </w:r>
      <w:r>
        <w:t xml:space="preserve"> </w:t>
      </w:r>
      <w:r>
        <w:t xml:space="preserve">verify with a zero-D Bosch-Hale check (the pattern is in</w:t>
      </w:r>
      <w:r>
        <w:t xml:space="preserve"> </w:t>
      </w:r>
      <w:r>
        <w:rPr>
          <w:rStyle w:val="VerbatimChar"/>
        </w:rPr>
        <w:t xml:space="preserve">examples/verify_zero_d.py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Species-resolved ρR isn’t a scalar yet.</w:t>
      </w:r>
      <w:r>
        <w:t xml:space="preserve"> </w:t>
      </w:r>
      <w:r>
        <w:t xml:space="preserve">Pattern after</w:t>
      </w:r>
      <w:r>
        <w:t xml:space="preserve"> </w:t>
      </w:r>
      <w:r>
        <w:rPr>
          <w:rStyle w:val="VerbatimChar"/>
        </w:rPr>
        <w:t xml:space="preserve">pressure_gradients.py</w:t>
      </w:r>
      <w:r>
        <w:t xml:space="preserve">; ~80 lines. Gives</w:t>
      </w:r>
      <w:r>
        <w:t xml:space="preserve"> </w:t>
      </w:r>
      <w:r>
        <w:rPr>
          <w:rStyle w:val="VerbatimChar"/>
        </w:rPr>
        <w:t xml:space="preserve">data.rhoR_D_history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data.rhoR_D_peak</w:t>
      </w:r>
      <w:r>
        <w:t xml:space="preserve">.</w:t>
      </w:r>
    </w:p>
    <w:p>
      <w:pPr>
        <w:pStyle w:val="FirstParagraph"/>
      </w:pPr>
      <w:r>
        <w:t xml:space="preserve">Both of these would be genuinely useful additions for the shared</w:t>
      </w:r>
      <w:r>
        <w:t xml:space="preserve"> </w:t>
      </w:r>
      <w:r>
        <w:t xml:space="preserve">pipeline — see §5.</w:t>
      </w:r>
    </w:p>
    <w:p>
      <w:pPr>
        <w:pStyle w:val="BodyText"/>
      </w:pPr>
      <w:r>
        <w:t xml:space="preserve">Helios fusion-rate convention update (May 27 2026):</w:t>
      </w:r>
      <w:r>
        <w:t xml:space="preserve"> </w:t>
      </w:r>
      <w:r>
        <w:rPr>
          <w:rStyle w:val="VerbatimChar"/>
        </w:rPr>
        <w:t xml:space="preserve">FusionRate_DT_nHe4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reactions/s per gram</w:t>
      </w:r>
      <w:r>
        <w:t xml:space="preserve"> </w:t>
      </w:r>
      <w:r>
        <w:t xml:space="preserve">(intensive), not</w:t>
      </w:r>
      <w:r>
        <w:t xml:space="preserve"> </w:t>
      </w:r>
      <w:r>
        <w:t xml:space="preserve">per zone. Mass-weighting is mandatory. Same will apply to DD when</w:t>
      </w:r>
      <w:r>
        <w:t xml:space="preserve"> </w:t>
      </w:r>
      <w:r>
        <w:t xml:space="preserve">wired.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Physics Conv. 5b for the worked example —</w:t>
      </w:r>
      <w:r>
        <w:t xml:space="preserve"> </w:t>
      </w:r>
      <w:r>
        <w:t xml:space="preserve">mis-handling this introduces a factor of mass-of-fuel error.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f05bfc2e3e2c761fa101b77de06e5008509ee83"/>
    <w:p>
      <w:pPr>
        <w:pStyle w:val="Heading2"/>
      </w:pPr>
      <w:r>
        <w:t xml:space="preserve">4. A coordination model that I think could work</w:t>
      </w:r>
    </w:p>
    <w:p>
      <w:pPr>
        <w:pStyle w:val="FirstParagraph"/>
      </w:pPr>
      <w:r>
        <w:t xml:space="preserve">You’ll work mostly in your own local Project / repo / sim directories.</w:t>
      </w:r>
      <w:r>
        <w:t xml:space="preserve"> </w:t>
      </w:r>
      <w:r>
        <w:t xml:space="preserve">That’s the right way to move fast. The question is when work flows back</w:t>
      </w:r>
      <w:r>
        <w:t xml:space="preserve"> </w:t>
      </w:r>
      <w:r>
        <w:t xml:space="preserve">to the shared repo, and how we keep our project memories in sync.</w:t>
      </w:r>
    </w:p>
    <w:bookmarkStart w:id="15" w:name="code"/>
    <w:p>
      <w:pPr>
        <w:pStyle w:val="Heading3"/>
      </w:pPr>
      <w:r>
        <w:t xml:space="preserve">Code</w:t>
      </w:r>
    </w:p>
    <w:p>
      <w:pPr>
        <w:pStyle w:val="FirstParagraph"/>
      </w:pPr>
      <w:r>
        <w:rPr>
          <w:b/>
          <w:bCs/>
        </w:rPr>
        <w:t xml:space="preserve">A possible split: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helios_postprocess</w:t>
      </w:r>
      <w:r>
        <w:rPr>
          <w:b/>
          <w:bCs/>
        </w:rPr>
        <w:t xml:space="preserve"> </w:t>
      </w:r>
      <w:r>
        <w:rPr>
          <w:b/>
          <w:bCs/>
        </w:rPr>
        <w:t xml:space="preserve">GitHub repo</w:t>
      </w:r>
      <w:r>
        <w:t xml:space="preserve"> </w:t>
      </w:r>
      <w:r>
        <w:t xml:space="preserve">is the shared brain for</w:t>
      </w:r>
      <w:r>
        <w:t xml:space="preserve"> </w:t>
      </w:r>
      <w:r>
        <w:rPr>
          <w:i/>
          <w:iCs/>
        </w:rPr>
        <w:t xml:space="preserve">general-</w:t>
      </w:r>
      <w:r>
        <w:rPr>
          <w:i/>
          <w:iCs/>
        </w:rPr>
        <w:t xml:space="preserve"> </w:t>
      </w:r>
      <w:r>
        <w:rPr>
          <w:i/>
          <w:iCs/>
        </w:rPr>
        <w:t xml:space="preserve">purpose pipeline capability</w:t>
      </w:r>
      <w:r>
        <w:t xml:space="preserve">: new diagnostics, bug fixes,</w:t>
      </w:r>
      <w:r>
        <w:t xml:space="preserve"> </w:t>
      </w:r>
      <w:r>
        <w:t xml:space="preserve">EXODUS-variable loaders, conventions. Both of us pull, both push to</w:t>
      </w:r>
      <w:r>
        <w:t xml:space="preserve"> </w:t>
      </w:r>
      <w:r>
        <w:t xml:space="preserve">feature branches,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when something is solid and</w:t>
      </w:r>
      <w:r>
        <w:t xml:space="preserve"> </w:t>
      </w:r>
      <w:r>
        <w:t xml:space="preserve">reviewed. You don’t need my approval on every commit — feature</w:t>
      </w:r>
      <w:r>
        <w:t xml:space="preserve"> </w:t>
      </w:r>
      <w:r>
        <w:t xml:space="preserve">branches are yours until you’re ready.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Your local repos and sim directories</w:t>
      </w:r>
      <w:r>
        <w:t xml:space="preserve"> </w:t>
      </w:r>
      <w:r>
        <w:t xml:space="preserve">stay yours: study-specific</w:t>
      </w:r>
      <w:r>
        <w:t xml:space="preserve"> </w:t>
      </w:r>
      <w:r>
        <w:t xml:space="preserve">scripts,</w:t>
      </w:r>
      <w:r>
        <w:t xml:space="preserve"> </w:t>
      </w:r>
      <w:r>
        <w:rPr>
          <w:rStyle w:val="VerbatimChar"/>
        </w:rPr>
        <w:t xml:space="preserve">.rhw</w:t>
      </w:r>
      <w:r>
        <w:t xml:space="preserve"> </w:t>
      </w:r>
      <w:r>
        <w:t xml:space="preserve">configurations, sim runs, intermediate analyses.</w:t>
      </w:r>
      <w:r>
        <w:t xml:space="preserve"> </w:t>
      </w:r>
      <w:r>
        <w:t xml:space="preserve">They never need to come upstream.</w:t>
      </w:r>
    </w:p>
    <w:p>
      <w:pPr>
        <w:pStyle w:val="FirstParagraph"/>
      </w:pPr>
      <w:r>
        <w:t xml:space="preserve">The natural trigger for</w:t>
      </w:r>
      <w:r>
        <w:t xml:space="preserve"> </w:t>
      </w:r>
      <w:r>
        <w:t xml:space="preserve">“land upstream”</w:t>
      </w:r>
      <w:r>
        <w:t xml:space="preserve"> </w:t>
      </w:r>
      <w:r>
        <w:t xml:space="preserve">is:</w:t>
      </w:r>
      <w:r>
        <w:t xml:space="preserve"> </w:t>
      </w:r>
      <w:r>
        <w:rPr>
          <w:i/>
          <w:iCs/>
        </w:rPr>
        <w:t xml:space="preserve">Does this help anyone but</w:t>
      </w:r>
      <w:r>
        <w:rPr>
          <w:i/>
          <w:iCs/>
        </w:rPr>
        <w:t xml:space="preserve"> </w:t>
      </w:r>
      <w:r>
        <w:rPr>
          <w:i/>
          <w:iCs/>
        </w:rPr>
        <w:t xml:space="preserve">me?</w:t>
      </w:r>
      <w:r>
        <w:t xml:space="preserve"> </w:t>
      </w:r>
      <w:r>
        <w:t xml:space="preserve">DD-branch loading does. A one-off plotting script for a specific</w:t>
      </w:r>
      <w:r>
        <w:t xml:space="preserve"> </w:t>
      </w:r>
      <w:r>
        <w:t xml:space="preserve">study doesn’t.</w:t>
      </w:r>
    </w:p>
    <w:p>
      <w:pPr>
        <w:pStyle w:val="BodyText"/>
      </w:pPr>
      <w:r>
        <w:t xml:space="preserve">If you’d rather work on your own fork and PR in chunks at convenient</w:t>
      </w:r>
      <w:r>
        <w:t xml:space="preserve"> </w:t>
      </w:r>
      <w:r>
        <w:t xml:space="preserve">breakpoints, that works too. Whatever cadence feels right.</w:t>
      </w:r>
    </w:p>
    <w:bookmarkEnd w:id="15"/>
    <w:bookmarkStart w:id="16" w:name="claude-project-memory"/>
    <w:p>
      <w:pPr>
        <w:pStyle w:val="Heading3"/>
      </w:pPr>
      <w:r>
        <w:t xml:space="preserve">Claude / project memory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in the repo is the team’s shared brain. When you discover</w:t>
      </w:r>
      <w:r>
        <w:t xml:space="preserve"> </w:t>
      </w:r>
      <w:r>
        <w:t xml:space="preserve">something subtle in the pipeline — a non-obvious convention, a gotcha,</w:t>
      </w:r>
      <w:r>
        <w:t xml:space="preserve"> </w:t>
      </w:r>
      <w:r>
        <w:t xml:space="preserve">a calibration sensitivity — please update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along with the</w:t>
      </w:r>
      <w:r>
        <w:t xml:space="preserve"> </w:t>
      </w:r>
      <w:r>
        <w:t xml:space="preserve">code change. That way the next Claude session anyone runs (yours, mine,</w:t>
      </w:r>
      <w:r>
        <w:t xml:space="preserve"> </w:t>
      </w:r>
      <w:r>
        <w:t xml:space="preserve">Will’s) sees the new context automatically.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i/>
          <w:iCs/>
        </w:rPr>
        <w:t xml:space="preserve">personal</w:t>
      </w:r>
      <w:r>
        <w:t xml:space="preserve"> </w:t>
      </w:r>
      <w:r>
        <w:t xml:space="preserve">memory (your Claude project’s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and detail</w:t>
      </w:r>
      <w:r>
        <w:t xml:space="preserve"> </w:t>
      </w:r>
      <w:r>
        <w:t xml:space="preserve">files) stays yours. Same for mine. The two don’t need to merge — only</w:t>
      </w:r>
      <w:r>
        <w:t xml:space="preserve"> </w:t>
      </w:r>
      <w:r>
        <w:t xml:space="preserve">the shared parts (code,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docs) need to.</w:t>
      </w:r>
    </w:p>
    <w:bookmarkEnd w:id="16"/>
    <w:bookmarkStart w:id="17" w:name="results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Anything you’d want Will or me to look at lands in SharePoint</w:t>
      </w:r>
      <w:r>
        <w:t xml:space="preserve"> </w:t>
      </w:r>
      <w:r>
        <w:t xml:space="preserve">following the existing naming pattern:</w:t>
      </w:r>
    </w:p>
    <w:p>
      <w:pPr>
        <w:pStyle w:val="SourceCode"/>
      </w:pPr>
      <w:r>
        <w:rPr>
          <w:rStyle w:val="VerbatimChar"/>
        </w:rPr>
        <w:t xml:space="preserve">Xcimer_PDD_calibration_report.{md,docx,pdf}</w:t>
      </w:r>
      <w:r>
        <w:br/>
      </w:r>
      <w:r>
        <w:rPr>
          <w:rStyle w:val="VerbatimChar"/>
        </w:rPr>
        <w:t xml:space="preserve">Xcimer_HDD_calibration_report.{md,docx,pdf}</w:t>
      </w:r>
      <w:r>
        <w:br/>
      </w:r>
      <w:r>
        <w:rPr>
          <w:rStyle w:val="VerbatimChar"/>
        </w:rPr>
        <w:t xml:space="preserve">Helios_PDD_HDD_summary_for_Will.pptx</w:t>
      </w:r>
    </w:p>
    <w:p>
      <w:pPr>
        <w:pStyle w:val="FirstParagraph"/>
      </w:pPr>
      <w:r>
        <w:t xml:space="preserve">If you produce, say, a tritium-lean writeup or an Euler-scaled</w:t>
      </w:r>
      <w:r>
        <w:t xml:space="preserve"> </w:t>
      </w:r>
      <w:r>
        <w:t xml:space="preserve">parameter study, naming it</w:t>
      </w:r>
      <w:r>
        <w:t xml:space="preserve"> </w:t>
      </w:r>
      <w:r>
        <w:rPr>
          <w:rStyle w:val="VerbatimChar"/>
        </w:rPr>
        <w:t xml:space="preserve">Xcimer_tritium_lean_study.{md,docx,pdf}</w:t>
      </w:r>
      <w:r>
        <w:t xml:space="preserve"> </w:t>
      </w:r>
      <w:r>
        <w:t xml:space="preserve">or</w:t>
      </w:r>
      <w:r>
        <w:t xml:space="preserve"> </w:t>
      </w:r>
      <w:r>
        <w:t xml:space="preserve">similar would put it alongside ours in the listing.</w:t>
      </w:r>
    </w:p>
    <w:p>
      <w:pPr>
        <w:pStyle w:val="BodyText"/>
      </w:pPr>
      <w:r>
        <w:rPr>
          <w:rStyle w:val="VerbatimChar"/>
        </w:rPr>
        <w:t xml:space="preserve">.exo</w:t>
      </w:r>
      <w:r>
        <w:t xml:space="preserve"> </w:t>
      </w:r>
      <w:r>
        <w:t xml:space="preserve">files are too large for GitHub but fine on SharePoint if you</w:t>
      </w:r>
      <w:r>
        <w:t xml:space="preserve"> </w:t>
      </w:r>
      <w:r>
        <w:t xml:space="preserve">want to share a specific run for cross-checking.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88276c37161a7a87fe6127c8fede4212eda6caf"/>
    <w:p>
      <w:pPr>
        <w:pStyle w:val="Heading2"/>
      </w:pPr>
      <w:r>
        <w:t xml:space="preserve">5. Where your work helps the calibration effort</w:t>
      </w:r>
    </w:p>
    <w:p>
      <w:pPr>
        <w:pStyle w:val="FirstParagraph"/>
      </w:pPr>
      <w:r>
        <w:t xml:space="preserve">I want to flag this explicitly because the value flow isn’t only</w:t>
      </w:r>
      <w:r>
        <w:t xml:space="preserve"> </w:t>
      </w:r>
      <w:r>
        <w:t xml:space="preserve">“we</w:t>
      </w:r>
      <w:r>
        <w:t xml:space="preserve"> </w:t>
      </w:r>
      <w:r>
        <w:t xml:space="preserve">hand Kyle tools.”</w:t>
      </w:r>
      <w:r>
        <w:t xml:space="preserve"> </w:t>
      </w:r>
      <w:r>
        <w:t xml:space="preserve">Each of your three objectives produces something we’d</w:t>
      </w:r>
      <w:r>
        <w:t xml:space="preserve"> </w:t>
      </w:r>
      <w:r>
        <w:t xml:space="preserve">use on our side too: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Euler-scaled multi-energy database (obj 1)</w:t>
      </w:r>
      <w:r>
        <w:t xml:space="preserve">: any HDD recipe we</w:t>
      </w:r>
      <w:r>
        <w:t xml:space="preserve"> </w:t>
      </w:r>
      <w:r>
        <w:t xml:space="preserve">develop at 4 MJ becomes more credible if you’ve shown the same</w:t>
      </w:r>
      <w:r>
        <w:t xml:space="preserve"> </w:t>
      </w:r>
      <w:r>
        <w:t xml:space="preserve">pulse shape and timing logic work at 3 / 5 / 6 MJ. A scan you’ve</w:t>
      </w:r>
      <w:r>
        <w:t xml:space="preserve"> </w:t>
      </w:r>
      <w:r>
        <w:t xml:space="preserve">already done would save us a separate run for that purpose.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Pulse-optimization infrastructure (obj 2)</w:t>
      </w:r>
      <w:r>
        <w:t xml:space="preserve">: a</w:t>
      </w:r>
      <w:r>
        <w:t xml:space="preserve"> </w:t>
      </w:r>
      <w:r>
        <w:rPr>
          <w:rStyle w:val="VerbatimChar"/>
        </w:rPr>
        <w:t xml:space="preserve">cost_function.py</w:t>
      </w:r>
    </w:p>
    <w:p>
      <w:pPr>
        <w:pStyle w:val="Compact"/>
        <w:numPr>
          <w:ilvl w:val="1"/>
          <w:numId w:val="1006"/>
        </w:numPr>
      </w:pPr>
      <w:r>
        <w:t xml:space="preserve">Bayesian-optimization wrapper around the existing pipeline would</w:t>
      </w:r>
      <w:r>
        <w:t xml:space="preserve"> </w:t>
      </w:r>
      <w:r>
        <w:t xml:space="preserve">automate something we do manually right now. If you build that and</w:t>
      </w:r>
      <w:r>
        <w:t xml:space="preserve"> </w:t>
      </w:r>
      <w:r>
        <w:t xml:space="preserve">land it upstream, we’d use it for HDD picket tuning and probably</w:t>
      </w:r>
      <w:r>
        <w:t xml:space="preserve"> </w:t>
      </w:r>
      <w:r>
        <w:t xml:space="preserve">for closing the PDD compression-channel residual that’s still open</w:t>
      </w:r>
      <w:r>
        <w:t xml:space="preserve"> </w:t>
      </w:r>
      <w:r>
        <w:t xml:space="preserve">on our side.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DD-branch loading + species-resolved ρR (obj 3)</w:t>
      </w:r>
      <w:r>
        <w:t xml:space="preserve">: these have been</w:t>
      </w:r>
      <w:r>
        <w:t xml:space="preserve"> </w:t>
      </w:r>
      <w:r>
        <w:t xml:space="preserve">on our pipeline wishlist for a while. The DD branches in particular</w:t>
      </w:r>
      <w:r>
        <w:t xml:space="preserve"> </w:t>
      </w:r>
      <w:r>
        <w:t xml:space="preserve">matter if Cliff’s HYDRA-vs-Helios cross-checks ever want to include</w:t>
      </w:r>
      <w:r>
        <w:t xml:space="preserve"> </w:t>
      </w:r>
      <w:r>
        <w:t xml:space="preserve">secondary reaction products. Species ρR would let us go back and</w:t>
      </w:r>
      <w:r>
        <w:t xml:space="preserve"> </w:t>
      </w:r>
      <w:r>
        <w:t xml:space="preserve">audit fuel-composition assumptions on existing runs.</w:t>
      </w:r>
    </w:p>
    <w:p>
      <w:pPr>
        <w:pStyle w:val="FirstParagraph"/>
      </w:pPr>
      <w:r>
        <w:t xml:space="preserve">If any of these land in the shared repo, please flag it to me — I’ll</w:t>
      </w:r>
      <w:r>
        <w:t xml:space="preserve"> </w:t>
      </w:r>
      <w:r>
        <w:t xml:space="preserve">re-extract our calibration anchors with the new tooling and update the</w:t>
      </w:r>
      <w:r>
        <w:t xml:space="preserve"> </w:t>
      </w:r>
      <w:r>
        <w:t xml:space="preserve">HDD / PDD reports.</w:t>
      </w:r>
    </w:p>
    <w:p>
      <w:pPr>
        <w:pStyle w:val="BodyText"/>
      </w:pPr>
      <w:r>
        <w:t xml:space="preserve">In the other direction: there’s an open thread from June 4 that you</w:t>
      </w:r>
      <w:r>
        <w:t xml:space="preserve"> </w:t>
      </w:r>
      <w:r>
        <w:t xml:space="preserve">might find interesting depending on where objective 1 leads. RHINO’s</w:t>
      </w:r>
      <w:r>
        <w:t xml:space="preserve"> </w:t>
      </w:r>
      <w:r>
        <w:rPr>
          <w:rStyle w:val="VerbatimChar"/>
        </w:rPr>
        <w:t xml:space="preserve">assembled_mass</w:t>
      </w:r>
      <w:r>
        <w:t xml:space="preserve"> </w:t>
      </w:r>
      <w:r>
        <w:t xml:space="preserve">diagnostic shows our HDD production anchor</w:t>
      </w:r>
      <w:r>
        <w:t xml:space="preserve"> </w:t>
      </w:r>
      <w:r>
        <w:t xml:space="preserve">(</w:t>
      </w:r>
      <w:r>
        <w:rPr>
          <w:rStyle w:val="VerbatimChar"/>
        </w:rPr>
        <w:t xml:space="preserve">WT_cthomas_baseline_picket_012</w:t>
      </w:r>
      <w:r>
        <w:t xml:space="preserve">) at 2.38 mg vs Thomas’s 3.0 mg</w:t>
      </w:r>
      <w:r>
        <w:t xml:space="preserve"> </w:t>
      </w:r>
      <w:r>
        <w:t xml:space="preserve">(−21%), while the no-picket baseline matches at 3.02 mg (+0.7%). Open</w:t>
      </w:r>
      <w:r>
        <w:t xml:space="preserve"> </w:t>
      </w:r>
      <w:r>
        <w:t xml:space="preserve">question is whether picket-strengthened foot shock blows mass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rho_peak/e</w:t>
      </w:r>
      <w:r>
        <w:t xml:space="preserve"> </w:t>
      </w:r>
      <w:r>
        <w:t xml:space="preserve">threshold, or whether it’s a stagnation-time-definition</w:t>
      </w:r>
      <w:r>
        <w:t xml:space="preserve"> </w:t>
      </w:r>
      <w:r>
        <w:t xml:space="preserve">artifact between RHINO’s (shell-velocity min) and our default</w:t>
      </w:r>
      <w:r>
        <w:t xml:space="preserve"> </w:t>
      </w:r>
      <w:r>
        <w:t xml:space="preserve">(HS-radius min). Will and I are talking about it. If you’re running</w:t>
      </w:r>
      <w:r>
        <w:t xml:space="preserve"> </w:t>
      </w:r>
      <w:r>
        <w:t xml:space="preserve">shock-timed pulses anyway, the assembled-mass history might show</w:t>
      </w:r>
      <w:r>
        <w:t xml:space="preserve"> </w:t>
      </w:r>
      <w:r>
        <w:t xml:space="preserve">something.</w:t>
      </w:r>
    </w:p>
    <w:p>
      <w:r>
        <w:pict>
          <v:rect style="width:0;height:1.5pt" o:hralign="center" o:hrstd="t" o:hr="t"/>
        </w:pict>
      </w:r>
    </w:p>
    <w:bookmarkEnd w:id="19"/>
    <w:bookmarkStart w:id="20" w:name="communication"/>
    <w:p>
      <w:pPr>
        <w:pStyle w:val="Heading2"/>
      </w:pPr>
      <w:r>
        <w:t xml:space="preserve">6. Communication</w:t>
      </w:r>
    </w:p>
    <w:p>
      <w:pPr>
        <w:pStyle w:val="FirstParagraph"/>
      </w:pPr>
      <w:r>
        <w:t xml:space="preserve">I don’t want to over-formalize this. I’d suggest:</w:t>
      </w:r>
    </w:p>
    <w:p>
      <w:pPr>
        <w:pStyle w:val="Compact"/>
        <w:numPr>
          <w:ilvl w:val="0"/>
          <w:numId w:val="1007"/>
        </w:numPr>
      </w:pPr>
      <w:r>
        <w:t xml:space="preserve">Use Claude in your repo checkout as your first stop —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loads automatically and you’ll get answers grounded in the</w:t>
      </w:r>
      <w:r>
        <w:t xml:space="preserve"> </w:t>
      </w:r>
      <w:r>
        <w:t xml:space="preserve">conventions and history.</w:t>
      </w:r>
    </w:p>
    <w:p>
      <w:pPr>
        <w:pStyle w:val="Compact"/>
        <w:numPr>
          <w:ilvl w:val="0"/>
          <w:numId w:val="1007"/>
        </w:numPr>
      </w:pPr>
      <w:r>
        <w:t xml:space="preserve">For things Claude can’t answer or that need a human call, Will is the</w:t>
      </w:r>
      <w:r>
        <w:t xml:space="preserve"> </w:t>
      </w:r>
      <w:r>
        <w:t xml:space="preserve">technical lead and the natural first call. Ping me directly if it’s</w:t>
      </w:r>
      <w:r>
        <w:t xml:space="preserve"> </w:t>
      </w:r>
      <w:r>
        <w:t xml:space="preserve">pipeline-related and Will would rather not arbitrate.</w:t>
      </w:r>
    </w:p>
    <w:p>
      <w:pPr>
        <w:pStyle w:val="Compact"/>
        <w:numPr>
          <w:ilvl w:val="0"/>
          <w:numId w:val="1007"/>
        </w:numPr>
      </w:pPr>
      <w:r>
        <w:t xml:space="preserve">For broader strategy or</w:t>
      </w:r>
      <w:r>
        <w:t xml:space="preserve"> </w:t>
      </w:r>
      <w:r>
        <w:t xml:space="preserve">“what does this mean for Alison,”</w:t>
      </w:r>
      <w:r>
        <w:t xml:space="preserve"> </w:t>
      </w:r>
      <w:r>
        <w:t xml:space="preserve">let’s do</w:t>
      </w:r>
      <w:r>
        <w:t xml:space="preserve"> </w:t>
      </w:r>
      <w:r>
        <w:t xml:space="preserve">occasional Zoom — happy to set one up after you’ve had a week to</w:t>
      </w:r>
      <w:r>
        <w:t xml:space="preserve"> </w:t>
      </w:r>
      <w:r>
        <w:t xml:space="preserve">orient.</w:t>
      </w:r>
    </w:p>
    <w:p>
      <w:pPr>
        <w:pStyle w:val="FirstParagraph"/>
      </w:pPr>
      <w:r>
        <w:t xml:space="preserve">If a weekly written status of some kind (one paragraph, in</w:t>
      </w:r>
      <w:r>
        <w:t xml:space="preserve"> </w:t>
      </w:r>
      <w:r>
        <w:rPr>
          <w:rStyle w:val="VerbatimChar"/>
        </w:rPr>
        <w:t xml:space="preserve">notes/</w:t>
      </w:r>
      <w:r>
        <w:t xml:space="preserve">) makes sense from your end, I’d read those. If not, no</w:t>
      </w:r>
      <w:r>
        <w:t xml:space="preserve"> </w:t>
      </w:r>
      <w:r>
        <w:t xml:space="preserve">pressure.</w:t>
      </w:r>
    </w:p>
    <w:p>
      <w:pPr>
        <w:pStyle w:val="BodyText"/>
      </w:pPr>
      <w:r>
        <w:t xml:space="preserve">Looking forward to it.</w:t>
      </w:r>
    </w:p>
    <w:p>
      <w:pPr>
        <w:pStyle w:val="BodyText"/>
      </w:pPr>
      <w:r>
        <w:t xml:space="preserve">— Tom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Coordinating with the helios_postprocess Project -- Summer 2026</dc:title>
  <dc:creator>T. Mehlhorn</dc:creator>
  <cp:keywords/>
  <dcterms:created xsi:type="dcterms:W3CDTF">2026-06-05T18:42:38Z</dcterms:created>
  <dcterms:modified xsi:type="dcterms:W3CDTF">2026-06-05T18:42:38Z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2026-06-04</vt:lpwstr>
  </property>
</Properties>
</file>