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Helios PDD Calibration: Foam-Burn Deficit and Root-Cause Analysis</w:t>
      </w:r>
    </w:p>
    <w:p>
      <w:pPr>
        <w:pStyle w:val="Author"/>
      </w:pPr>
      <w:r>
        <w:t xml:space="preserve">T. Mehlhorn</w:t>
      </w:r>
    </w:p>
    <w:p>
      <w:pPr>
        <w:pStyle w:val="Date"/>
      </w:pPr>
      <w:r>
        <w:t xml:space="preserve">2026-05-28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Xd9b6d45d73e5e850f37c1ce90cc05c031ee3224"/>
    <w:p>
      <w:pPr>
        <w:pStyle w:val="Heading1"/>
      </w:pPr>
      <w:r>
        <w:t xml:space="preserve">Helios PDD Calibration: Foam-Burn Deficit and Root-Cause Analysis</w:t>
      </w:r>
    </w:p>
    <w:p>
      <w:pPr>
        <w:pStyle w:val="FirstParagraph"/>
      </w:pPr>
      <w:r>
        <w:rPr>
          <w:b/>
          <w:bCs/>
        </w:rPr>
        <w:t xml:space="preserve">Prepared for: Xcimer Energy</w:t>
      </w:r>
      <w:r>
        <w:t xml:space="preserve"> </w:t>
      </w:r>
      <w:r>
        <w:rPr>
          <w:b/>
          <w:bCs/>
        </w:rPr>
        <w:t xml:space="preserve">Author: T. Mehlhorn</w:t>
      </w:r>
      <w:r>
        <w:t xml:space="preserve"> </w:t>
      </w:r>
      <w:r>
        <w:rPr>
          <w:b/>
          <w:bCs/>
        </w:rPr>
        <w:t xml:space="preserve">Date: 2026-05-28</w:t>
      </w:r>
    </w:p>
    <w:p>
      <w:r>
        <w:pict>
          <v:rect style="width:0;height:1.5pt" o:hralign="center" o:hrstd="t" o:hr="t"/>
        </w:pict>
      </w:r>
    </w:p>
    <w:bookmarkStart w:id="9" w:name="executive-summary"/>
    <w:p>
      <w:pPr>
        <w:pStyle w:val="Heading2"/>
      </w:pPr>
      <w:r>
        <w:t xml:space="preserve">Executive Summary</w:t>
      </w:r>
    </w:p>
    <w:p>
      <w:pPr>
        <w:pStyle w:val="FirstParagraph"/>
      </w:pPr>
      <w:r>
        <w:t xml:space="preserve">Helios PDD calibration of the Olson-2021 wetted-foam target reproduces LILAC’s drive-phase kinematics — peak implosion velocity (421 vs 410 km/s, +2.7%), peak total areal density (1.01 vs 1.05 g/cm², −3.6%), and burn-averaged hot-spot temperature (23.1 vs 22.5 keV, +2.7%) — within calibration tolerance. However, fusion yield comes in at</w:t>
      </w:r>
      <w:r>
        <w:t xml:space="preserve"> </w:t>
      </w:r>
      <w:r>
        <w:rPr>
          <w:b/>
          <w:bCs/>
        </w:rPr>
        <w:t xml:space="preserve">26 MJ versus LILAC’s 87 MJ</w:t>
      </w:r>
      <w:r>
        <w:t xml:space="preserve"> </w:t>
      </w:r>
      <w:r>
        <w:t xml:space="preserve">(factor 3.3 deficit).</w:t>
      </w:r>
    </w:p>
    <w:p>
      <w:pPr>
        <w:pStyle w:val="BodyText"/>
      </w:pPr>
      <w:r>
        <w:t xml:space="preserve">Three independent verification tests rule out Helios algorithm bugs and isolate the deficit to a</w:t>
      </w:r>
      <w:r>
        <w:t xml:space="preserve"> </w:t>
      </w:r>
      <w:r>
        <w:rPr>
          <w:b/>
          <w:bCs/>
        </w:rPr>
        <w:t xml:space="preserve">real material-physics effect</w:t>
      </w:r>
      <w:r>
        <w:t xml:space="preserve"> </w:t>
      </w:r>
      <w:r>
        <w:t xml:space="preserve">in the PROPACEOS wetted-foam EOS+opacity tables:</w:t>
      </w:r>
    </w:p>
    <w:p>
      <w:pPr>
        <w:pStyle w:val="Compact"/>
        <w:numPr>
          <w:ilvl w:val="0"/>
          <w:numId w:val="1001"/>
        </w:numPr>
      </w:pPr>
      <w:r>
        <w:rPr>
          <w:b/>
          <w:bCs/>
        </w:rPr>
        <w:t xml:space="preserve">Bosch-Hale DT fusion-rate kernel</w:t>
      </w:r>
      <w:r>
        <w:t xml:space="preserve"> </w:t>
      </w:r>
      <w:r>
        <w:t xml:space="preserve">— verified exact (&lt;0.4% error) across T = 3–15 keV, pure DT and 1.7%C foam compositions.</w:t>
      </w:r>
    </w:p>
    <w:p>
      <w:pPr>
        <w:pStyle w:val="Compact"/>
        <w:numPr>
          <w:ilvl w:val="0"/>
          <w:numId w:val="1001"/>
        </w:numPr>
      </w:pPr>
      <w:r>
        <w:rPr>
          <w:b/>
          <w:bCs/>
        </w:rPr>
        <w:t xml:space="preserve">NRL Bremsstrahlung kernel</w:t>
      </w:r>
      <w:r>
        <w:t xml:space="preserve"> </w:t>
      </w:r>
      <w:r>
        <w:t xml:space="preserve">— verified within Gaunt-factor convention (Helios 2–5% above NRL for pure DT, with additional Z-dependent contributions for carbon as expected from physics).</w:t>
      </w:r>
    </w:p>
    <w:p>
      <w:pPr>
        <w:pStyle w:val="Compact"/>
        <w:numPr>
          <w:ilvl w:val="0"/>
          <w:numId w:val="1001"/>
        </w:numPr>
      </w:pPr>
      <w:r>
        <w:rPr>
          <w:b/>
          <w:bCs/>
        </w:rPr>
        <w:t xml:space="preserve">Planar laser ablation experiment</w:t>
      </w:r>
      <w:r>
        <w:t xml:space="preserve"> </w:t>
      </w:r>
      <w:r>
        <w:t xml:space="preserve">— at matched drive (1×10¹⁴ W/cm², λ=0.351 µm), the wetted DT-CH foam ablates with</w:t>
      </w:r>
      <w:r>
        <w:t xml:space="preserve"> </w:t>
      </w:r>
      <w:r>
        <w:rPr>
          <w:b/>
          <w:bCs/>
        </w:rPr>
        <w:t xml:space="preserve">19% lower ablation pressure</w:t>
      </w:r>
      <w:r>
        <w:t xml:space="preserve"> </w:t>
      </w:r>
      <w:r>
        <w:t xml:space="preserve">and</w:t>
      </w:r>
      <w:r>
        <w:t xml:space="preserve"> </w:t>
      </w:r>
      <w:r>
        <w:rPr>
          <w:b/>
          <w:bCs/>
        </w:rPr>
        <w:t xml:space="preserve">13% less post-shock compression</w:t>
      </w:r>
      <w:r>
        <w:t xml:space="preserve"> </w:t>
      </w:r>
      <w:r>
        <w:t xml:space="preserve">than pure DT. Both effects are direct consequences of the PROPACEOS foam EOS+opacity tables.</w:t>
      </w:r>
    </w:p>
    <w:p>
      <w:pPr>
        <w:pStyle w:val="FirstParagraph"/>
      </w:pPr>
      <w:r>
        <w:t xml:space="preserve">Compounded over the ~3 shock-cycle implosion plus shell deceleration, the foam compression deficit accounts quantitatively for the burn-region density gap observed in production (12 g/cc foam vs 30 g/cc ice). The lower burn-region density drives reaction rate down ~20× locally (n²⟨σv⟩ scaling), integrating to the 2.77× foam-vs-ice yield gap.</w:t>
      </w:r>
    </w:p>
    <w:p>
      <w:pPr>
        <w:pStyle w:val="BodyText"/>
      </w:pPr>
      <w:r>
        <w:rPr>
          <w:b/>
          <w:bCs/>
        </w:rPr>
        <w:t xml:space="preserve">Conclusion: The Helios foam-burn deficit vs LILAC is real EOS+opacity physics captured by PROPACEOS, not a code bug.</w:t>
      </w:r>
      <w:r>
        <w:t xml:space="preserve"> </w:t>
      </w:r>
      <w:r>
        <w:t xml:space="preserve">The remaining 3× LILAC-vs-Helios gap is a cross-code physics question — most likely traced to differences between PROPACEOS and LILAC’s equivalent foam-material treatments.</w:t>
      </w:r>
    </w:p>
    <w:p>
      <w:r>
        <w:pict>
          <v:rect style="width:0;height:1.5pt" o:hralign="center" o:hrstd="t" o:hr="t"/>
        </w:pict>
      </w:r>
    </w:p>
    <w:bookmarkEnd w:id="9"/>
    <w:bookmarkStart w:id="13" w:name="the-observed-deficit"/>
    <w:p>
      <w:pPr>
        <w:pStyle w:val="Heading2"/>
      </w:pPr>
      <w:r>
        <w:t xml:space="preserve">1. The Observed Deficit</w:t>
      </w:r>
    </w:p>
    <w:bookmarkStart w:id="10" w:name="production-calibration-setup"/>
    <w:p>
      <w:pPr>
        <w:pStyle w:val="Heading3"/>
      </w:pPr>
      <w:r>
        <w:t xml:space="preserve">1.1 Production calibration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Notes</w:t>
            </w:r>
          </w:p>
        </w:tc>
      </w:tr>
      <w:tr>
        <w:tc>
          <w:tcPr/>
          <w:p>
            <w:pPr>
              <w:pStyle w:val="Compact"/>
            </w:pPr>
            <w:r>
              <w:t xml:space="preserve">Target</w:t>
            </w:r>
          </w:p>
        </w:tc>
        <w:tc>
          <w:tcPr/>
          <w:p>
            <w:pPr>
              <w:pStyle w:val="Compact"/>
            </w:pPr>
            <w:r>
              <w:t xml:space="preserve">Olson-2021 PDD, wetted DT-CH foam fuel</w:t>
            </w:r>
          </w:p>
        </w:tc>
        <w:tc>
          <w:tcPr/>
          <w:p>
            <w:pPr>
              <w:pStyle w:val="Compact"/>
            </w:pPr>
            <w:r>
              <w:t xml:space="preserve">Standard reference design</w:t>
            </w:r>
          </w:p>
        </w:tc>
      </w:tr>
      <w:tr>
        <w:tc>
          <w:tcPr/>
          <w:p>
            <w:pPr>
              <w:pStyle w:val="Compact"/>
            </w:pPr>
            <w:r>
              <w:t xml:space="preserve">Drive geometry</w:t>
            </w:r>
          </w:p>
        </w:tc>
        <w:tc>
          <w:tcPr/>
          <w:p>
            <w:pPr>
              <w:pStyle w:val="Compact"/>
            </w:pPr>
            <w:r>
              <w:t xml:space="preserve">Cone 37°, spot 0.18 cm Gaussian, focus 0.22 cm</w:t>
            </w:r>
          </w:p>
        </w:tc>
        <w:tc>
          <w:tcPr/>
          <w:p>
            <w:pPr>
              <w:pStyle w:val="Compact"/>
            </w:pPr>
            <w:r>
              <w:t xml:space="preserve">Geometric defocus for late-time decoupling</w:t>
            </w:r>
          </w:p>
        </w:tc>
      </w:tr>
      <w:tr>
        <w:tc>
          <w:tcPr/>
          <w:p>
            <w:pPr>
              <w:pStyle w:val="Compact"/>
            </w:pPr>
            <w:r>
              <w:t xml:space="preserve">Foot power</w:t>
            </w:r>
          </w:p>
        </w:tc>
        <w:tc>
          <w:tcPr/>
          <w:p>
            <w:pPr>
              <w:pStyle w:val="Compact"/>
            </w:pPr>
            <w:r>
              <w:t xml:space="preserve">25 TW</w:t>
            </w:r>
          </w:p>
        </w:tc>
        <w:tc>
          <w:tcPr/>
          <w:p>
            <w:pPr>
              <w:pStyle w:val="Compact"/>
            </w:pPr>
            <w:r>
              <w:t xml:space="preserve">Standard pulse table</w:t>
            </w:r>
          </w:p>
        </w:tc>
      </w:tr>
      <w:tr>
        <w:tc>
          <w:tcPr/>
          <w:p>
            <w:pPr>
              <w:pStyle w:val="Compact"/>
            </w:pPr>
            <w:r>
              <w:t xml:space="preserve">Peak power</w:t>
            </w:r>
          </w:p>
        </w:tc>
        <w:tc>
          <w:tcPr/>
          <w:p>
            <w:pPr>
              <w:pStyle w:val="Compact"/>
            </w:pPr>
            <w:r>
              <w:t xml:space="preserve">329 TW (9–12.7 ns)</w:t>
            </w:r>
          </w:p>
        </w:tc>
        <w:tc>
          <w:tcPr/>
          <w:p>
            <w:pPr>
              <w:pStyle w:val="Compact"/>
            </w:pPr>
          </w:p>
        </w:tc>
      </w:tr>
      <w:tr>
        <w:tc>
          <w:tcPr/>
          <w:p>
            <w:pPr>
              <w:pStyle w:val="Compact"/>
            </w:pPr>
            <w:r>
              <w:t xml:space="preserve">α deposition</w:t>
            </w:r>
          </w:p>
        </w:tc>
        <w:tc>
          <w:tcPr/>
          <w:p>
            <w:pPr>
              <w:pStyle w:val="Compact"/>
            </w:pPr>
            <w:r>
              <w:t xml:space="preserve">Non-local transport</w:t>
            </w:r>
          </w:p>
        </w:tc>
        <w:tc>
          <w:tcPr/>
          <w:p>
            <w:pPr>
              <w:pStyle w:val="Compact"/>
            </w:pPr>
            <w:r>
              <w:t xml:space="preserve">Clean (no local-α inflation)</w:t>
            </w:r>
          </w:p>
        </w:tc>
      </w:tr>
      <w:tr>
        <w:tc>
          <w:tcPr/>
          <w:p>
            <w:pPr>
              <w:pStyle w:val="Compact"/>
            </w:pPr>
            <w:r>
              <w:t xml:space="preserve">Flux limiter (Prism)</w:t>
            </w:r>
          </w:p>
        </w:tc>
        <w:tc>
          <w:tcPr/>
          <w:p>
            <w:pPr>
              <w:pStyle w:val="Compact"/>
            </w:pPr>
            <w:r>
              <w:t xml:space="preserve">0.007</w:t>
            </w:r>
          </w:p>
        </w:tc>
        <w:tc>
          <w:tcPr/>
          <w:p>
            <w:pPr>
              <w:pStyle w:val="Compact"/>
            </w:pPr>
            <w:r>
              <w:t xml:space="preserve">Saturation knee of FL-engaged regime</w:t>
            </w:r>
          </w:p>
        </w:tc>
      </w:tr>
      <w:tr>
        <w:tc>
          <w:tcPr/>
          <w:p>
            <w:pPr>
              <w:pStyle w:val="Compact"/>
            </w:pPr>
            <w:r>
              <w:t xml:space="preserve">Reference</w:t>
            </w:r>
          </w:p>
        </w:tc>
        <w:tc>
          <w:tcPr/>
          <w:p>
            <w:pPr>
              <w:pStyle w:val="Compact"/>
            </w:pPr>
            <w:r>
              <w:rPr>
                <w:rStyle w:val="VerbatimChar"/>
              </w:rPr>
              <w:t xml:space="preserve">Olson_PDD_20_fab007_foot25_s018_c37_burn</w:t>
            </w:r>
          </w:p>
        </w:tc>
        <w:tc>
          <w:tcPr/>
          <w:p>
            <w:pPr>
              <w:pStyle w:val="Compact"/>
            </w:pPr>
            <w:r>
              <w:t xml:space="preserve">Production calibration point</w:t>
            </w:r>
          </w:p>
        </w:tc>
      </w:tr>
    </w:tbl>
    <w:bookmarkEnd w:id="10"/>
    <w:bookmarkStart w:id="11" w:name="helios-vs-lilac-results"/>
    <w:p>
      <w:pPr>
        <w:pStyle w:val="Heading3"/>
      </w:pPr>
      <w:r>
        <w:t xml:space="preserve">1.2 Helios vs LILAC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Helios fab007</w:t>
            </w:r>
          </w:p>
        </w:tc>
        <w:tc>
          <w:tcPr/>
          <w:p>
            <w:pPr>
              <w:pStyle w:val="Compact"/>
              <w:jc w:val="right"/>
            </w:pPr>
            <w:r>
              <w:t xml:space="preserve">LILAC</w:t>
            </w:r>
          </w:p>
        </w:tc>
        <w:tc>
          <w:tcPr/>
          <w:p>
            <w:pPr>
              <w:pStyle w:val="Compact"/>
              <w:jc w:val="right"/>
            </w:pPr>
            <w:r>
              <w:t xml:space="preserve">Δ (%)</w:t>
            </w:r>
          </w:p>
        </w:tc>
      </w:tr>
      <w:tr>
        <w:tc>
          <w:tcPr/>
          <w:p>
            <w:pPr>
              <w:pStyle w:val="Compact"/>
            </w:pPr>
            <w:r>
              <w:t xml:space="preserve">Peak velocity (km/s)</w:t>
            </w:r>
          </w:p>
        </w:tc>
        <w:tc>
          <w:tcPr/>
          <w:p>
            <w:pPr>
              <w:pStyle w:val="Compact"/>
              <w:jc w:val="right"/>
            </w:pPr>
            <w:r>
              <w:t xml:space="preserve">421</w:t>
            </w:r>
          </w:p>
        </w:tc>
        <w:tc>
          <w:tcPr/>
          <w:p>
            <w:pPr>
              <w:pStyle w:val="Compact"/>
              <w:jc w:val="right"/>
            </w:pPr>
            <w:r>
              <w:t xml:space="preserve">410</w:t>
            </w:r>
          </w:p>
        </w:tc>
        <w:tc>
          <w:tcPr/>
          <w:p>
            <w:pPr>
              <w:pStyle w:val="Compact"/>
              <w:jc w:val="right"/>
            </w:pPr>
            <w:r>
              <w:t xml:space="preserve">+2.7</w:t>
            </w:r>
          </w:p>
        </w:tc>
      </w:tr>
      <w:tr>
        <w:tc>
          <w:tcPr/>
          <w:p>
            <w:pPr>
              <w:pStyle w:val="Compact"/>
            </w:pPr>
            <w:r>
              <w:t xml:space="preserve">Peak total ρR (g/cm²)</w:t>
            </w:r>
          </w:p>
        </w:tc>
        <w:tc>
          <w:tcPr/>
          <w:p>
            <w:pPr>
              <w:pStyle w:val="Compact"/>
              <w:jc w:val="right"/>
            </w:pPr>
            <w:r>
              <w:t xml:space="preserve">1.01</w:t>
            </w:r>
          </w:p>
        </w:tc>
        <w:tc>
          <w:tcPr/>
          <w:p>
            <w:pPr>
              <w:pStyle w:val="Compact"/>
              <w:jc w:val="right"/>
            </w:pPr>
            <w:r>
              <w:t xml:space="preserve">1.05</w:t>
            </w:r>
          </w:p>
        </w:tc>
        <w:tc>
          <w:tcPr/>
          <w:p>
            <w:pPr>
              <w:pStyle w:val="Compact"/>
              <w:jc w:val="right"/>
            </w:pPr>
            <w:r>
              <w:t xml:space="preserve">−3.6</w:t>
            </w:r>
          </w:p>
        </w:tc>
      </w:tr>
      <w:tr>
        <w:tc>
          <w:tcPr/>
          <w:p>
            <w:pPr>
              <w:pStyle w:val="Compact"/>
            </w:pPr>
            <w:r>
              <w:t xml:space="preserve">⟨T_hs⟩ (keV)</w:t>
            </w:r>
          </w:p>
        </w:tc>
        <w:tc>
          <w:tcPr/>
          <w:p>
            <w:pPr>
              <w:pStyle w:val="Compact"/>
              <w:jc w:val="right"/>
            </w:pPr>
            <w:r>
              <w:t xml:space="preserve">23.1</w:t>
            </w:r>
          </w:p>
        </w:tc>
        <w:tc>
          <w:tcPr/>
          <w:p>
            <w:pPr>
              <w:pStyle w:val="Compact"/>
              <w:jc w:val="right"/>
            </w:pPr>
            <w:r>
              <w:t xml:space="preserve">22.5</w:t>
            </w:r>
          </w:p>
        </w:tc>
        <w:tc>
          <w:tcPr/>
          <w:p>
            <w:pPr>
              <w:pStyle w:val="Compact"/>
              <w:jc w:val="right"/>
            </w:pPr>
            <w:r>
              <w:t xml:space="preserve">+2.7</w:t>
            </w:r>
          </w:p>
        </w:tc>
      </w:tr>
      <w:tr>
        <w:tc>
          <w:tcPr/>
          <w:p>
            <w:pPr>
              <w:pStyle w:val="Compact"/>
            </w:pPr>
            <w:r>
              <w:t xml:space="preserve">⟨P_hs⟩ (Gbar)</w:t>
            </w:r>
          </w:p>
        </w:tc>
        <w:tc>
          <w:tcPr/>
          <w:p>
            <w:pPr>
              <w:pStyle w:val="Compact"/>
              <w:jc w:val="right"/>
            </w:pPr>
            <w:r>
              <w:t xml:space="preserve">206</w:t>
            </w:r>
          </w:p>
        </w:tc>
        <w:tc>
          <w:tcPr/>
          <w:p>
            <w:pPr>
              <w:pStyle w:val="Compact"/>
              <w:jc w:val="right"/>
            </w:pPr>
            <w:r>
              <w:t xml:space="preserve">193</w:t>
            </w:r>
          </w:p>
        </w:tc>
        <w:tc>
          <w:tcPr/>
          <w:p>
            <w:pPr>
              <w:pStyle w:val="Compact"/>
              <w:jc w:val="right"/>
            </w:pPr>
            <w:r>
              <w:t xml:space="preserve">+6.6</w:t>
            </w:r>
          </w:p>
        </w:tc>
      </w:tr>
      <w:tr>
        <w:tc>
          <w:tcPr/>
          <w:p>
            <w:pPr>
              <w:pStyle w:val="Compact"/>
            </w:pPr>
            <w:r>
              <w:t xml:space="preserve">Adiabat</w:t>
            </w:r>
          </w:p>
        </w:tc>
        <w:tc>
          <w:tcPr/>
          <w:p>
            <w:pPr>
              <w:pStyle w:val="Compact"/>
              <w:jc w:val="right"/>
            </w:pPr>
            <w:r>
              <w:t xml:space="preserve">1.95</w:t>
            </w:r>
          </w:p>
        </w:tc>
        <w:tc>
          <w:tcPr/>
          <w:p>
            <w:pPr>
              <w:pStyle w:val="Compact"/>
              <w:jc w:val="right"/>
            </w:pPr>
            <w:r>
              <w:t xml:space="preserve">3.0</w:t>
            </w:r>
          </w:p>
        </w:tc>
        <w:tc>
          <w:tcPr/>
          <w:p>
            <w:pPr>
              <w:pStyle w:val="Compact"/>
              <w:jc w:val="right"/>
            </w:pPr>
            <w:r>
              <w:t xml:space="preserve">−35</w:t>
            </w:r>
          </w:p>
        </w:tc>
      </w:tr>
      <w:tr>
        <w:tc>
          <w:tcPr/>
          <w:p>
            <w:pPr>
              <w:pStyle w:val="Compact"/>
            </w:pPr>
            <w:r>
              <w:t xml:space="preserve">Effective coupling (%)</w:t>
            </w:r>
          </w:p>
        </w:tc>
        <w:tc>
          <w:tcPr/>
          <w:p>
            <w:pPr>
              <w:pStyle w:val="Compact"/>
              <w:jc w:val="right"/>
            </w:pPr>
            <w:r>
              <w:t xml:space="preserve">73.1</w:t>
            </w:r>
          </w:p>
        </w:tc>
        <w:tc>
          <w:tcPr/>
          <w:p>
            <w:pPr>
              <w:pStyle w:val="Compact"/>
              <w:jc w:val="right"/>
            </w:pPr>
            <w:r>
              <w:t xml:space="preserve">~68</w:t>
            </w:r>
          </w:p>
        </w:tc>
        <w:tc>
          <w:tcPr/>
          <w:p>
            <w:pPr>
              <w:pStyle w:val="Compact"/>
              <w:jc w:val="right"/>
            </w:pPr>
            <w:r>
              <w:t xml:space="preserve">+7.4</w:t>
            </w:r>
          </w:p>
        </w:tc>
      </w:tr>
      <w:tr>
        <w:tc>
          <w:tcPr/>
          <w:p>
            <w:pPr>
              <w:pStyle w:val="Compact"/>
            </w:pPr>
            <w:r>
              <w:rPr>
                <w:b/>
                <w:bCs/>
              </w:rPr>
              <w:t xml:space="preserve">Hot-spot ρR (T&gt;4.5 keV)</w:t>
            </w:r>
          </w:p>
        </w:tc>
        <w:tc>
          <w:tcPr/>
          <w:p>
            <w:pPr>
              <w:pStyle w:val="Compact"/>
              <w:jc w:val="right"/>
            </w:pPr>
            <w:r>
              <w:rPr>
                <w:b/>
                <w:bCs/>
              </w:rPr>
              <w:t xml:space="preserve">0.35</w:t>
            </w:r>
          </w:p>
        </w:tc>
        <w:tc>
          <w:tcPr/>
          <w:p>
            <w:pPr>
              <w:pStyle w:val="Compact"/>
              <w:jc w:val="right"/>
            </w:pPr>
            <w:r>
              <w:rPr>
                <w:b/>
                <w:bCs/>
              </w:rPr>
              <w:t xml:space="preserve">0.85</w:t>
            </w:r>
          </w:p>
        </w:tc>
        <w:tc>
          <w:tcPr/>
          <w:p>
            <w:pPr>
              <w:pStyle w:val="Compact"/>
              <w:jc w:val="right"/>
            </w:pPr>
            <w:r>
              <w:rPr>
                <w:b/>
                <w:bCs/>
              </w:rPr>
              <w:t xml:space="preserve">−58</w:t>
            </w:r>
          </w:p>
        </w:tc>
      </w:tr>
      <w:tr>
        <w:tc>
          <w:tcPr/>
          <w:p>
            <w:pPr>
              <w:pStyle w:val="Compact"/>
            </w:pPr>
            <w:r>
              <w:rPr>
                <w:b/>
                <w:bCs/>
              </w:rPr>
              <w:t xml:space="preserve">Yield (MJ)</w:t>
            </w:r>
          </w:p>
        </w:tc>
        <w:tc>
          <w:tcPr/>
          <w:p>
            <w:pPr>
              <w:pStyle w:val="Compact"/>
              <w:jc w:val="right"/>
            </w:pPr>
            <w:r>
              <w:rPr>
                <w:b/>
                <w:bCs/>
              </w:rPr>
              <w:t xml:space="preserve">26.0</w:t>
            </w:r>
          </w:p>
        </w:tc>
        <w:tc>
          <w:tcPr/>
          <w:p>
            <w:pPr>
              <w:pStyle w:val="Compact"/>
              <w:jc w:val="right"/>
            </w:pPr>
            <w:r>
              <w:rPr>
                <w:b/>
                <w:bCs/>
              </w:rPr>
              <w:t xml:space="preserve">87.4</w:t>
            </w:r>
          </w:p>
        </w:tc>
        <w:tc>
          <w:tcPr/>
          <w:p>
            <w:pPr>
              <w:pStyle w:val="Compact"/>
              <w:jc w:val="right"/>
            </w:pPr>
            <w:r>
              <w:rPr>
                <w:b/>
                <w:bCs/>
              </w:rPr>
              <w:t xml:space="preserve">−70</w:t>
            </w:r>
          </w:p>
        </w:tc>
      </w:tr>
    </w:tbl>
    <w:p>
      <w:pPr>
        <w:pStyle w:val="BodyText"/>
      </w:pPr>
      <w:r>
        <w:rPr>
          <w:b/>
          <w:bCs/>
        </w:rPr>
        <w:t xml:space="preserve">Drive phase matches to within calibration tolerance.</w:t>
      </w:r>
      <w:r>
        <w:t xml:space="preserve"> </w:t>
      </w:r>
      <w:r>
        <w:t xml:space="preserve">The deficit appears in the burning-phase ρR and yield.</w:t>
      </w:r>
    </w:p>
    <w:bookmarkEnd w:id="11"/>
    <w:bookmarkStart w:id="12" w:name="isolation-experiment-foam-dt-ice"/>
    <w:p>
      <w:pPr>
        <w:pStyle w:val="Heading3"/>
      </w:pPr>
      <w:r>
        <w:t xml:space="preserve">1.3 Isolation experiment: foam → DT ice</w:t>
      </w:r>
    </w:p>
    <w:p>
      <w:pPr>
        <w:pStyle w:val="FirstParagraph"/>
      </w:pPr>
      <w:r>
        <w:t xml:space="preserve">Replacing the wetted-foam fuel layer with pure DT ice in the same fab007 geometry (run</w:t>
      </w:r>
      <w:r>
        <w:t xml:space="preserve"> </w:t>
      </w:r>
      <w:r>
        <w:rPr>
          <w:rStyle w:val="VerbatimChar"/>
        </w:rPr>
        <w:t xml:space="preserve">Olson_PDD_20_fab007_foot25_s018_c37_ice_burn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Helios foam</w:t>
            </w:r>
          </w:p>
        </w:tc>
        <w:tc>
          <w:tcPr/>
          <w:p>
            <w:pPr>
              <w:pStyle w:val="Compact"/>
              <w:jc w:val="right"/>
            </w:pPr>
            <w:r>
              <w:t xml:space="preserve">Helios ice</w:t>
            </w:r>
          </w:p>
        </w:tc>
        <w:tc>
          <w:tcPr/>
          <w:p>
            <w:pPr>
              <w:pStyle w:val="Compact"/>
              <w:jc w:val="right"/>
            </w:pPr>
            <w:r>
              <w:t xml:space="preserve">LILAC reference</w:t>
            </w:r>
          </w:p>
        </w:tc>
      </w:tr>
      <w:tr>
        <w:tc>
          <w:tcPr/>
          <w:p>
            <w:pPr>
              <w:pStyle w:val="Compact"/>
            </w:pPr>
            <w:r>
              <w:t xml:space="preserve">Yield (MJ)</w:t>
            </w:r>
          </w:p>
        </w:tc>
        <w:tc>
          <w:tcPr/>
          <w:p>
            <w:pPr>
              <w:pStyle w:val="Compact"/>
              <w:jc w:val="right"/>
            </w:pPr>
            <w:r>
              <w:t xml:space="preserve">26.0</w:t>
            </w:r>
          </w:p>
        </w:tc>
        <w:tc>
          <w:tcPr/>
          <w:p>
            <w:pPr>
              <w:pStyle w:val="Compact"/>
              <w:jc w:val="right"/>
            </w:pPr>
            <w:r>
              <w:rPr>
                <w:b/>
                <w:bCs/>
              </w:rPr>
              <w:t xml:space="preserve">81.4</w:t>
            </w:r>
          </w:p>
        </w:tc>
        <w:tc>
          <w:tcPr/>
          <w:p>
            <w:pPr>
              <w:pStyle w:val="Compact"/>
              <w:jc w:val="right"/>
            </w:pPr>
            <w:r>
              <w:t xml:space="preserve">87.4</w:t>
            </w:r>
          </w:p>
        </w:tc>
      </w:tr>
      <w:tr>
        <w:tc>
          <w:tcPr/>
          <w:p>
            <w:pPr>
              <w:pStyle w:val="Compact"/>
            </w:pPr>
            <w:r>
              <w:t xml:space="preserve">HS ρR peak</w:t>
            </w:r>
          </w:p>
        </w:tc>
        <w:tc>
          <w:tcPr/>
          <w:p>
            <w:pPr>
              <w:pStyle w:val="Compact"/>
              <w:jc w:val="right"/>
            </w:pPr>
            <w:r>
              <w:t xml:space="preserve">0.35</w:t>
            </w:r>
          </w:p>
        </w:tc>
        <w:tc>
          <w:tcPr/>
          <w:p>
            <w:pPr>
              <w:pStyle w:val="Compact"/>
              <w:jc w:val="right"/>
            </w:pPr>
            <w:r>
              <w:t xml:space="preserve">0.71</w:t>
            </w:r>
          </w:p>
        </w:tc>
        <w:tc>
          <w:tcPr/>
          <w:p>
            <w:pPr>
              <w:pStyle w:val="Compact"/>
              <w:jc w:val="right"/>
            </w:pPr>
            <w:r>
              <w:t xml:space="preserve">0.85</w:t>
            </w:r>
          </w:p>
        </w:tc>
      </w:tr>
      <w:tr>
        <w:tc>
          <w:tcPr/>
          <w:p>
            <w:pPr>
              <w:pStyle w:val="Compact"/>
            </w:pPr>
            <w:r>
              <w:t xml:space="preserve">Burn-region density (g/cc)</w:t>
            </w:r>
          </w:p>
        </w:tc>
        <w:tc>
          <w:tcPr/>
          <w:p>
            <w:pPr>
              <w:pStyle w:val="Compact"/>
              <w:jc w:val="right"/>
            </w:pPr>
            <w:r>
              <w:t xml:space="preserve">12</w:t>
            </w:r>
          </w:p>
        </w:tc>
        <w:tc>
          <w:tcPr/>
          <w:p>
            <w:pPr>
              <w:pStyle w:val="Compact"/>
              <w:jc w:val="right"/>
            </w:pPr>
            <w:r>
              <w:t xml:space="preserve">30</w:t>
            </w:r>
          </w:p>
        </w:tc>
        <w:tc>
          <w:tcPr/>
          <w:p>
            <w:pPr>
              <w:pStyle w:val="Compact"/>
              <w:jc w:val="right"/>
            </w:pPr>
            <w:r>
              <w:t xml:space="preserve">(not reported)</w:t>
            </w:r>
          </w:p>
        </w:tc>
      </w:tr>
    </w:tbl>
    <w:p>
      <w:pPr>
        <w:pStyle w:val="BodyText"/>
      </w:pPr>
      <w:r>
        <w:rPr>
          <w:b/>
          <w:bCs/>
        </w:rPr>
        <w:t xml:space="preserve">Helios with ice in fab007’s drive matches LILAC within 7%.</w:t>
      </w:r>
      <w:r>
        <w:t xml:space="preserve"> </w:t>
      </w:r>
      <w:r>
        <w:t xml:space="preserve">The drive calibration is correct; the foam fuel layer is the dominant contributor to the residual deficit.</w:t>
      </w:r>
    </w:p>
    <w:p>
      <w:r>
        <w:pict>
          <v:rect style="width:0;height:1.5pt" o:hralign="center" o:hrstd="t" o:hr="t"/>
        </w:pict>
      </w:r>
    </w:p>
    <w:bookmarkEnd w:id="12"/>
    <w:bookmarkEnd w:id="13"/>
    <w:bookmarkStart w:id="23" w:name="hypothesis-testing"/>
    <w:p>
      <w:pPr>
        <w:pStyle w:val="Heading2"/>
      </w:pPr>
      <w:r>
        <w:t xml:space="preserve">2. Hypothesis Testing</w:t>
      </w:r>
    </w:p>
    <w:p>
      <w:pPr>
        <w:pStyle w:val="FirstParagraph"/>
      </w:pPr>
      <w:r>
        <w:t xml:space="preserve">To establish whether the foam-burn deficit is a real material physics effect or a Helios algorithm artifact, we conducted three independent verification tests.</w:t>
      </w:r>
    </w:p>
    <w:bookmarkStart w:id="17" w:name="Xdb812b484c7e9f066ad9557b52765c48435ff27"/>
    <w:p>
      <w:pPr>
        <w:pStyle w:val="Heading3"/>
      </w:pPr>
      <w:r>
        <w:t xml:space="preserve">2.1 Bosch-Hale DT Fusion Rate (Zero-D Static Verification)</w:t>
      </w:r>
    </w:p>
    <w:p>
      <w:pPr>
        <w:pStyle w:val="FirstParagraph"/>
      </w:pPr>
      <w:r>
        <w:rPr>
          <w:b/>
          <w:bCs/>
        </w:rPr>
        <w:t xml:space="preserve">Test:</w:t>
      </w:r>
      <w:r>
        <w:t xml:space="preserve"> </w:t>
      </w:r>
      <w:r>
        <w:t xml:space="preserve">Single-zone static plasma at uniform T and ρ (n_DT = 10²² cm⁻³, optically thin regime), comparing Helios’s reported</w:t>
      </w:r>
      <w:r>
        <w:t xml:space="preserve"> </w:t>
      </w:r>
      <w:r>
        <w:rPr>
          <w:rStyle w:val="VerbatimChar"/>
        </w:rPr>
        <w:t xml:space="preserve">FusionRate_DT_nHe4</w:t>
      </w:r>
      <w:r>
        <w:t xml:space="preserve"> </w:t>
      </w:r>
      <w:r>
        <w:t xml:space="preserve">to the analytic Bosch-Hale 1992 ⟨σv⟩ formula.</w:t>
      </w:r>
    </w:p>
    <w:p>
      <w:pPr>
        <w:pStyle w:val="BodyText"/>
      </w:pPr>
      <w:r>
        <w:rPr>
          <w:b/>
          <w:bCs/>
        </w:rPr>
        <w:t xml:space="preserve">Result:</w:t>
      </w:r>
      <w:r>
        <w:t xml:space="preserve"> </w:t>
      </w:r>
      <w:r>
        <w:t xml:space="preserve">Helios fusion kernel matches Bosch-Hale to &lt;0.4% across T = 3–15 keV, for both pure DT and 1.7%C-CH foam compositions (left panel below).</w:t>
      </w:r>
    </w:p>
    <w:p>
      <w:pPr>
        <w:pStyle w:val="BodyText"/>
      </w:pPr>
      <w:r>
        <w:t xml:space="preserve">The slight downward drift with T (1.000 → 0.997 pure DT; 0.994 → 0.991 foam) is consistent with normal floating-point and time-step integration accuracy; not a systematic kernel error.</w:t>
      </w:r>
    </w:p>
    <w:p>
      <w:pPr>
        <w:pStyle w:val="CaptionedFigure"/>
      </w:pPr>
      <w:r>
        <w:drawing>
          <wp:inline>
            <wp:extent cx="5334000" cy="2211814"/>
            <wp:effectExtent b="0" l="0" r="0" t="0"/>
            <wp:docPr descr="Zero-D Kernel Verification" title="" id="15" name="Picture"/>
            <a:graphic>
              <a:graphicData uri="http://schemas.openxmlformats.org/drawingml/2006/picture">
                <pic:pic>
                  <pic:nvPicPr>
                    <pic:cNvPr descr="../comparisons/zero_d_kernel_verification_clean.png" id="16" name="Picture"/>
                    <pic:cNvPicPr>
                      <a:picLocks noChangeArrowheads="1" noChangeAspect="1"/>
                    </pic:cNvPicPr>
                  </pic:nvPicPr>
                  <pic:blipFill>
                    <a:blip r:embed="rId14"/>
                    <a:stretch>
                      <a:fillRect/>
                    </a:stretch>
                  </pic:blipFill>
                  <pic:spPr bwMode="auto">
                    <a:xfrm>
                      <a:off x="0" y="0"/>
                      <a:ext cx="5334000" cy="2211814"/>
                    </a:xfrm>
                    <a:prstGeom prst="rect">
                      <a:avLst/>
                    </a:prstGeom>
                    <a:noFill/>
                    <a:ln w="9525">
                      <a:noFill/>
                      <a:headEnd/>
                      <a:tailEnd/>
                    </a:ln>
                  </pic:spPr>
                </pic:pic>
              </a:graphicData>
            </a:graphic>
          </wp:inline>
        </w:drawing>
      </w:r>
    </w:p>
    <w:p>
      <w:pPr>
        <w:pStyle w:val="ImageCaption"/>
      </w:pPr>
      <w:r>
        <w:t xml:space="preserve">Zero-D Kernel Verification</w:t>
      </w:r>
    </w:p>
    <w:p>
      <w:pPr>
        <w:pStyle w:val="BodyText"/>
      </w:pPr>
      <w:r>
        <w:rPr>
          <w:i/>
          <w:iCs/>
        </w:rPr>
        <w:t xml:space="preserve">Helios DT reactivity and bremsstrahlung kernels benchmarked against Bosch-Hale 1992 and NRL formulary at n_DT = 10²² cm⁻³. Fusion kernel exact (&lt;0.4%) across full T range and both compositions. Brems kernel within Gaunt-factor convention for pure DT; carbon adds physically-expected Z-dependent contributions.</w:t>
      </w:r>
    </w:p>
    <w:bookmarkEnd w:id="17"/>
    <w:bookmarkStart w:id="18" w:name="nrl-bremsstrahlung-same-test-setup"/>
    <w:p>
      <w:pPr>
        <w:pStyle w:val="Heading3"/>
      </w:pPr>
      <w:r>
        <w:t xml:space="preserve">2.2 NRL Bremsstrahlung (Same Test Setup)</w:t>
      </w:r>
    </w:p>
    <w:p>
      <w:pPr>
        <w:pStyle w:val="FirstParagraph"/>
      </w:pPr>
      <w:r>
        <w:rPr>
          <w:b/>
          <w:bCs/>
        </w:rPr>
        <w:t xml:space="preserve">Test:</w:t>
      </w:r>
      <w:r>
        <w:t xml:space="preserve"> </w:t>
      </w:r>
      <w:r>
        <w:t xml:space="preserve">Same zero-D setup; Helios’s reported brems-escape rate (via</w:t>
      </w:r>
      <w:r>
        <w:t xml:space="preserve"> </w:t>
      </w:r>
      <w:r>
        <w:rPr>
          <w:rStyle w:val="VerbatimChar"/>
        </w:rPr>
        <w:t xml:space="preserve">EnExchEleToRadTimeIntg</w:t>
      </w:r>
      <w:r>
        <w:t xml:space="preserve">) compared to analytic NRL formula P_brem = 1.69×10⁻³² √T_eV × n_e × Σ Z² n_Z [W/cm³].</w:t>
      </w:r>
    </w:p>
    <w:p>
      <w:pPr>
        <w:pStyle w:val="BodyText"/>
      </w:pPr>
      <w:r>
        <w:rPr>
          <w:b/>
          <w:bCs/>
        </w:rPr>
        <w:t xml:space="preserve">Pure DT result:</w:t>
      </w:r>
      <w:r>
        <w:t xml:space="preserve"> </w:t>
      </w:r>
      <w:r>
        <w:t xml:space="preserve">Helios/NRL = 1.054 at 3 keV drifting to 1.024 at 15 keV (right panel above).</w:t>
      </w:r>
    </w:p>
    <w:p>
      <w:pPr>
        <w:pStyle w:val="BodyText"/>
      </w:pPr>
      <w:r>
        <w:t xml:space="preserve">This 2–5% offset is consistent with Helios using a more accurate Gaunt factor table (Karzas-Latter or similar) that converges toward unity at higher T, vs NRL’s single averaged value ḡ ≈ 1.11. Not a kernel error — a refinement.</w:t>
      </w:r>
    </w:p>
    <w:p>
      <w:pPr>
        <w:pStyle w:val="BodyText"/>
      </w:pPr>
      <w:r>
        <w:rPr>
          <w:b/>
          <w:bCs/>
        </w:rPr>
        <w:t xml:space="preserve">1.7%C-CH foam result:</w:t>
      </w:r>
      <w:r>
        <w:t xml:space="preserve"> </w:t>
      </w:r>
      <w:r>
        <w:t xml:space="preserve">Helios/NRL = 1.218 at 3 keV → 1.068 at 15 keV.</w:t>
      </w:r>
    </w:p>
    <w:p>
      <w:pPr>
        <w:pStyle w:val="BodyText"/>
      </w:pPr>
      <w:r>
        <w:t xml:space="preserve">The additional Z-dependent contribution (1.16× at 3 keV declining to 1.04× at 15 keV) is the expected signature of:</w:t>
      </w:r>
      <w:r>
        <w:t xml:space="preserve"> </w:t>
      </w:r>
      <w:r>
        <w:t xml:space="preserve">- Z-dependent Gaunt factor for carbon (ḡ_ff larger when photon energy ≪ Z²Ry/kT)</w:t>
      </w:r>
      <w:r>
        <w:t xml:space="preserve"> </w:t>
      </w:r>
      <w:r>
        <w:t xml:space="preserve">- Free-bound (recombination) radiation from C VI ground state</w:t>
      </w:r>
    </w:p>
    <w:p>
      <w:pPr>
        <w:pStyle w:val="BodyText"/>
      </w:pPr>
      <w:r>
        <w:t xml:space="preserve">Both effects diminish at high T as predicted by physics. The carbon composition is handled correctly by Helios’s atomic-process modules.</w:t>
      </w:r>
    </w:p>
    <w:p>
      <w:pPr>
        <w:pStyle w:val="BodyText"/>
      </w:pPr>
      <w:r>
        <w:rPr>
          <w:b/>
          <w:bCs/>
        </w:rPr>
        <w:t xml:space="preserve">Validation of carbon-arithmetic hypothesis:</w:t>
      </w:r>
      <w:r>
        <w:t xml:space="preserve"> </w:t>
      </w:r>
      <w:r>
        <w:t xml:space="preserve">Combined with an ideal-ignition calculation (T_ig = 4.31 keV pure DT → 5.19 keV at 1.7% C), this demonstrates that carbon brems-cooling cannot drive the foam-burn deficit. The foam burns at 38–75 keV — far above the brems-balance threshold. The deficit is</w:t>
      </w:r>
      <w:r>
        <w:t xml:space="preserve"> </w:t>
      </w:r>
      <w:r>
        <w:rPr>
          <w:i/>
          <w:iCs/>
        </w:rPr>
        <w:t xml:space="preserve">not</w:t>
      </w:r>
      <w:r>
        <w:t xml:space="preserve"> </w:t>
      </w:r>
      <w:r>
        <w:t xml:space="preserve">a carbon impurity effect.</w:t>
      </w:r>
    </w:p>
    <w:bookmarkEnd w:id="18"/>
    <w:bookmarkStart w:id="22" w:name="Xd0c752bdc919f016050136fbd4e32b218408c41"/>
    <w:p>
      <w:pPr>
        <w:pStyle w:val="Heading3"/>
      </w:pPr>
      <w:r>
        <w:t xml:space="preserve">2.3 Planar Laser Ablation (Decisive Material-Physics Test)</w:t>
      </w:r>
    </w:p>
    <w:p>
      <w:pPr>
        <w:pStyle w:val="FirstParagraph"/>
      </w:pPr>
      <w:r>
        <w:rPr>
          <w:b/>
          <w:bCs/>
        </w:rPr>
        <w:t xml:space="preserve">Test setup:</w:t>
      </w:r>
      <w:r>
        <w:t xml:space="preserve"> </w:t>
      </w:r>
      <w:r>
        <w:t xml:space="preserve">Planar laser-driven slab, isolating EOS+opacity material physics from the geometric and temporal complications of spherical implosion.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Geometry</w:t>
            </w:r>
          </w:p>
        </w:tc>
        <w:tc>
          <w:tcPr/>
          <w:p>
            <w:pPr>
              <w:pStyle w:val="Compact"/>
            </w:pPr>
            <w:r>
              <w:t xml:space="preserve">1D Cartesian (planar)</w:t>
            </w:r>
          </w:p>
        </w:tc>
      </w:tr>
      <w:tr>
        <w:tc>
          <w:tcPr/>
          <w:p>
            <w:pPr>
              <w:pStyle w:val="Compact"/>
            </w:pPr>
            <w:r>
              <w:t xml:space="preserve">Slab thickness</w:t>
            </w:r>
          </w:p>
        </w:tc>
        <w:tc>
          <w:tcPr/>
          <w:p>
            <w:pPr>
              <w:pStyle w:val="Compact"/>
            </w:pPr>
            <w:r>
              <w:t xml:space="preserve">200 µm</w:t>
            </w:r>
          </w:p>
        </w:tc>
      </w:tr>
      <w:tr>
        <w:tc>
          <w:tcPr/>
          <w:p>
            <w:pPr>
              <w:pStyle w:val="Compact"/>
            </w:pPr>
            <w:r>
              <w:t xml:space="preserve">Initial density</w:t>
            </w:r>
          </w:p>
        </w:tc>
        <w:tc>
          <w:tcPr/>
          <w:p>
            <w:pPr>
              <w:pStyle w:val="Compact"/>
            </w:pPr>
            <w:r>
              <w:t xml:space="preserve">0.25 g/cc (matched between runs)</w:t>
            </w:r>
          </w:p>
        </w:tc>
      </w:tr>
      <w:tr>
        <w:tc>
          <w:tcPr/>
          <w:p>
            <w:pPr>
              <w:pStyle w:val="Compact"/>
            </w:pPr>
            <w:r>
              <w:t xml:space="preserve">Initial temperature</w:t>
            </w:r>
          </w:p>
        </w:tc>
        <w:tc>
          <w:tcPr/>
          <w:p>
            <w:pPr>
              <w:pStyle w:val="Compact"/>
            </w:pPr>
            <w:r>
              <w:t xml:space="preserve">25 meV (cold)</w:t>
            </w:r>
          </w:p>
        </w:tc>
      </w:tr>
      <w:tr>
        <w:tc>
          <w:tcPr/>
          <w:p>
            <w:pPr>
              <w:pStyle w:val="Compact"/>
            </w:pPr>
            <w:r>
              <w:t xml:space="preserve">Laser drive</w:t>
            </w:r>
          </w:p>
        </w:tc>
        <w:tc>
          <w:tcPr/>
          <w:p>
            <w:pPr>
              <w:pStyle w:val="Compact"/>
            </w:pPr>
            <w:r>
              <w:t xml:space="preserve">1×10¹⁴ W/cm², λ = 0.351 µm, constant 2 ns</w:t>
            </w:r>
          </w:p>
        </w:tc>
      </w:tr>
      <w:tr>
        <w:tc>
          <w:tcPr/>
          <w:p>
            <w:pPr>
              <w:pStyle w:val="Compact"/>
            </w:pPr>
            <w:r>
              <w:t xml:space="preserve">Hydrodynamics</w:t>
            </w:r>
          </w:p>
        </w:tc>
        <w:tc>
          <w:tcPr/>
          <w:p>
            <w:pPr>
              <w:pStyle w:val="Compact"/>
            </w:pPr>
            <w:r>
              <w:t xml:space="preserve">ON</w:t>
            </w:r>
          </w:p>
        </w:tc>
      </w:tr>
      <w:tr>
        <w:tc>
          <w:tcPr/>
          <w:p>
            <w:pPr>
              <w:pStyle w:val="Compact"/>
            </w:pPr>
            <w:r>
              <w:t xml:space="preserve">Burn</w:t>
            </w:r>
          </w:p>
        </w:tc>
        <w:tc>
          <w:tcPr/>
          <w:p>
            <w:pPr>
              <w:pStyle w:val="Compact"/>
            </w:pPr>
            <w:r>
              <w:t xml:space="preserve">OFF (below ignition)</w:t>
            </w:r>
          </w:p>
        </w:tc>
      </w:tr>
      <w:tr>
        <w:tc>
          <w:tcPr/>
          <w:p>
            <w:pPr>
              <w:pStyle w:val="Compact"/>
            </w:pPr>
            <w:r>
              <w:rPr>
                <w:b/>
                <w:bCs/>
              </w:rPr>
              <w:t xml:space="preserve">Variable</w:t>
            </w:r>
          </w:p>
        </w:tc>
        <w:tc>
          <w:tcPr/>
          <w:p>
            <w:pPr>
              <w:pStyle w:val="Compact"/>
            </w:pPr>
            <w:r>
              <w:rPr>
                <w:b/>
                <w:bCs/>
              </w:rPr>
              <w:t xml:space="preserve">Material EOS+opacity table</w:t>
            </w:r>
          </w:p>
        </w:tc>
      </w:tr>
    </w:tbl>
    <w:p>
      <w:pPr>
        <w:pStyle w:val="BodyText"/>
      </w:pPr>
      <w:r>
        <w:t xml:space="preserve">Two runs with identical drive, identical geometry, identical initial conditions —</w:t>
      </w:r>
      <w:r>
        <w:t xml:space="preserve"> </w:t>
      </w:r>
      <w:r>
        <w:rPr>
          <w:b/>
          <w:bCs/>
        </w:rPr>
        <w:t xml:space="preserve">only the EOS+opacity table differs</w:t>
      </w:r>
      <w:r>
        <w:t xml:space="preserve">:</w:t>
      </w:r>
    </w:p>
    <w:p>
      <w:pPr>
        <w:pStyle w:val="Compact"/>
        <w:numPr>
          <w:ilvl w:val="0"/>
          <w:numId w:val="1002"/>
        </w:numPr>
      </w:pPr>
      <w:r>
        <w:rPr>
          <w:rStyle w:val="VerbatimChar"/>
        </w:rPr>
        <w:t xml:space="preserve">planar_dtice_1</w:t>
      </w:r>
      <w:r>
        <w:t xml:space="preserve">: PROPACEOS pure DT (</w:t>
      </w:r>
      <w:r>
        <w:rPr>
          <w:rStyle w:val="VerbatimChar"/>
        </w:rPr>
        <w:t xml:space="preserve">DT_20250131.prp</w:t>
      </w:r>
      <w:r>
        <w:t xml:space="preserve">)</w:t>
      </w:r>
    </w:p>
    <w:p>
      <w:pPr>
        <w:pStyle w:val="Compact"/>
        <w:numPr>
          <w:ilvl w:val="0"/>
          <w:numId w:val="1002"/>
        </w:numPr>
      </w:pPr>
      <w:r>
        <w:rPr>
          <w:rStyle w:val="VerbatimChar"/>
        </w:rPr>
        <w:t xml:space="preserve">planar_wf_1</w:t>
      </w:r>
      <w:r>
        <w:t xml:space="preserve">: PROPACEOS wetted DT-CH foam (</w:t>
      </w:r>
      <w:r>
        <w:rPr>
          <w:rStyle w:val="VerbatimChar"/>
        </w:rPr>
        <w:t xml:space="preserve">DT_and_CH_0p017_20260128.prp</w:t>
      </w:r>
      <w:r>
        <w:t xml:space="preserve">)</w:t>
      </w:r>
    </w:p>
    <w:p>
      <w:pPr>
        <w:pStyle w:val="FirstParagraph"/>
      </w:pPr>
      <w:r>
        <w:rPr>
          <w:b/>
          <w:bCs/>
        </w:rPr>
        <w:t xml:space="preserve">Result:</w:t>
      </w:r>
      <w:r>
        <w:t xml:space="preserve"> </w:t>
      </w:r>
      <w:r>
        <w:t xml:space="preserve">Three distinct, quantifiable differences emerge — each cleanly attributable to the EOS+opacity table change:</w:t>
      </w:r>
    </w:p>
    <w:p>
      <w:pPr>
        <w:pStyle w:val="CaptionedFigure"/>
      </w:pPr>
      <w:r>
        <w:drawing>
          <wp:inline>
            <wp:extent cx="5334000" cy="3036197"/>
            <wp:effectExtent b="0" l="0" r="0" t="0"/>
            <wp:docPr descr="Planar Ablation Comparison" title="" id="20" name="Picture"/>
            <a:graphic>
              <a:graphicData uri="http://schemas.openxmlformats.org/drawingml/2006/picture">
                <pic:pic>
                  <pic:nvPicPr>
                    <pic:cNvPr descr="../comparisons/planar_dtice_vs_foam.png" id="21" name="Picture"/>
                    <pic:cNvPicPr>
                      <a:picLocks noChangeArrowheads="1" noChangeAspect="1"/>
                    </pic:cNvPicPr>
                  </pic:nvPicPr>
                  <pic:blipFill>
                    <a:blip r:embed="rId19"/>
                    <a:stretch>
                      <a:fillRect/>
                    </a:stretch>
                  </pic:blipFill>
                  <pic:spPr bwMode="auto">
                    <a:xfrm>
                      <a:off x="0" y="0"/>
                      <a:ext cx="5334000" cy="3036197"/>
                    </a:xfrm>
                    <a:prstGeom prst="rect">
                      <a:avLst/>
                    </a:prstGeom>
                    <a:noFill/>
                    <a:ln w="9525">
                      <a:noFill/>
                      <a:headEnd/>
                      <a:tailEnd/>
                    </a:ln>
                  </pic:spPr>
                </pic:pic>
              </a:graphicData>
            </a:graphic>
          </wp:inline>
        </w:drawing>
      </w:r>
    </w:p>
    <w:p>
      <w:pPr>
        <w:pStyle w:val="ImageCaption"/>
      </w:pPr>
      <w:r>
        <w:t xml:space="preserve">Planar Ablation Comparison</w:t>
      </w:r>
    </w:p>
    <w:p>
      <w:pPr>
        <w:pStyle w:val="BodyText"/>
      </w:pPr>
      <w:r>
        <w:rPr>
          <w:i/>
          <w:iCs/>
        </w:rPr>
        <w:t xml:space="preserve">Six-panel comparison of planar laser ablation between DT ice and wetted DT-CH foam at identical drive. Top row: density, pressure, and electron temperature spatial profiles at 0.5/1.0/1.5/2.0 ns. Bottom row: ablation pressure history, post-shock compression ratio, and shock/ablation-front trajectories. Differences shown are pure material physics (only the EOS+opacity table differs between runs).</w:t>
      </w:r>
    </w:p>
    <w:p>
      <w:pPr>
        <w:pStyle w:val="BodyText"/>
      </w:pPr>
      <w:r>
        <w:rPr>
          <w:b/>
          <w:bCs/>
        </w:rPr>
        <w:t xml:space="preserve">Steady-state metrics (1.0–2.0 ns averaged):</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Metric</w:t>
            </w:r>
          </w:p>
        </w:tc>
        <w:tc>
          <w:tcPr/>
          <w:p>
            <w:pPr>
              <w:pStyle w:val="Compact"/>
              <w:jc w:val="right"/>
            </w:pPr>
            <w:r>
              <w:t xml:space="preserve">DT ice</w:t>
            </w:r>
          </w:p>
        </w:tc>
        <w:tc>
          <w:tcPr/>
          <w:p>
            <w:pPr>
              <w:pStyle w:val="Compact"/>
              <w:jc w:val="right"/>
            </w:pPr>
            <w:r>
              <w:t xml:space="preserve">Wetted foam</w:t>
            </w:r>
          </w:p>
        </w:tc>
        <w:tc>
          <w:tcPr/>
          <w:p>
            <w:pPr>
              <w:pStyle w:val="Compact"/>
              <w:jc w:val="right"/>
            </w:pPr>
            <w:r>
              <w:t xml:space="preserve">foam/DT</w:t>
            </w:r>
          </w:p>
        </w:tc>
        <w:tc>
          <w:tcPr/>
          <w:p>
            <w:pPr>
              <w:pStyle w:val="Compact"/>
            </w:pPr>
            <w:r>
              <w:t xml:space="preserve">Physical interpretation</w:t>
            </w:r>
          </w:p>
        </w:tc>
      </w:tr>
      <w:tr>
        <w:tc>
          <w:tcPr/>
          <w:p>
            <w:pPr>
              <w:pStyle w:val="Compact"/>
            </w:pPr>
            <w:r>
              <w:rPr>
                <w:b/>
                <w:bCs/>
              </w:rPr>
              <w:t xml:space="preserve">Ablation pressure</w:t>
            </w:r>
          </w:p>
        </w:tc>
        <w:tc>
          <w:tcPr/>
          <w:p>
            <w:pPr>
              <w:pStyle w:val="Compact"/>
              <w:jc w:val="right"/>
            </w:pPr>
            <w:r>
              <w:rPr>
                <w:b/>
                <w:bCs/>
              </w:rPr>
              <w:t xml:space="preserve">2.64 Mbar</w:t>
            </w:r>
          </w:p>
        </w:tc>
        <w:tc>
          <w:tcPr/>
          <w:p>
            <w:pPr>
              <w:pStyle w:val="Compact"/>
              <w:jc w:val="right"/>
            </w:pPr>
            <w:r>
              <w:rPr>
                <w:b/>
                <w:bCs/>
              </w:rPr>
              <w:t xml:space="preserve">2.13 Mbar</w:t>
            </w:r>
          </w:p>
        </w:tc>
        <w:tc>
          <w:tcPr/>
          <w:p>
            <w:pPr>
              <w:pStyle w:val="Compact"/>
              <w:jc w:val="right"/>
            </w:pPr>
            <w:r>
              <w:rPr>
                <w:b/>
                <w:bCs/>
              </w:rPr>
              <w:t xml:space="preserve">0.81</w:t>
            </w:r>
          </w:p>
        </w:tc>
        <w:tc>
          <w:tcPr/>
          <w:p>
            <w:pPr>
              <w:pStyle w:val="Compact"/>
            </w:pPr>
            <w:r>
              <w:t xml:space="preserve">Foam couples laser less efficiently (19% less rocket pressure)</w:t>
            </w:r>
          </w:p>
        </w:tc>
      </w:tr>
      <w:tr>
        <w:tc>
          <w:tcPr/>
          <w:p>
            <w:pPr>
              <w:pStyle w:val="Compact"/>
            </w:pPr>
            <w:r>
              <w:rPr>
                <w:b/>
                <w:bCs/>
              </w:rPr>
              <w:t xml:space="preserve">Post-shock compression ρ/ρ₀</w:t>
            </w:r>
          </w:p>
        </w:tc>
        <w:tc>
          <w:tcPr/>
          <w:p>
            <w:pPr>
              <w:pStyle w:val="Compact"/>
              <w:jc w:val="right"/>
            </w:pPr>
            <w:r>
              <w:rPr>
                <w:b/>
                <w:bCs/>
              </w:rPr>
              <w:t xml:space="preserve">4.21</w:t>
            </w:r>
          </w:p>
        </w:tc>
        <w:tc>
          <w:tcPr/>
          <w:p>
            <w:pPr>
              <w:pStyle w:val="Compact"/>
              <w:jc w:val="right"/>
            </w:pPr>
            <w:r>
              <w:rPr>
                <w:b/>
                <w:bCs/>
              </w:rPr>
              <w:t xml:space="preserve">3.66</w:t>
            </w:r>
          </w:p>
        </w:tc>
        <w:tc>
          <w:tcPr/>
          <w:p>
            <w:pPr>
              <w:pStyle w:val="Compact"/>
              <w:jc w:val="right"/>
            </w:pPr>
            <w:r>
              <w:rPr>
                <w:b/>
                <w:bCs/>
              </w:rPr>
              <w:t xml:space="preserve">0.87</w:t>
            </w:r>
          </w:p>
        </w:tc>
        <w:tc>
          <w:tcPr/>
          <w:p>
            <w:pPr>
              <w:pStyle w:val="Compact"/>
            </w:pPr>
            <w:r>
              <w:t xml:space="preserve">Foam EOS resists compression (13% less density at matched shock strength)</w:t>
            </w:r>
          </w:p>
        </w:tc>
      </w:tr>
      <w:tr>
        <w:tc>
          <w:tcPr/>
          <w:p>
            <w:pPr>
              <w:pStyle w:val="Compact"/>
            </w:pPr>
            <w:r>
              <w:t xml:space="preserve">Peak post-shock ρ</w:t>
            </w:r>
          </w:p>
        </w:tc>
        <w:tc>
          <w:tcPr/>
          <w:p>
            <w:pPr>
              <w:pStyle w:val="Compact"/>
              <w:jc w:val="right"/>
            </w:pPr>
            <w:r>
              <w:t xml:space="preserve">1.05 g/cc</w:t>
            </w:r>
          </w:p>
        </w:tc>
        <w:tc>
          <w:tcPr/>
          <w:p>
            <w:pPr>
              <w:pStyle w:val="Compact"/>
              <w:jc w:val="right"/>
            </w:pPr>
            <w:r>
              <w:t xml:space="preserve">0.92 g/cc</w:t>
            </w:r>
          </w:p>
        </w:tc>
        <w:tc>
          <w:tcPr/>
          <w:p>
            <w:pPr>
              <w:pStyle w:val="Compact"/>
              <w:jc w:val="right"/>
            </w:pPr>
            <w:r>
              <w:t xml:space="preserve">0.87</w:t>
            </w:r>
          </w:p>
        </w:tc>
        <w:tc>
          <w:tcPr/>
          <w:p>
            <w:pPr>
              <w:pStyle w:val="Compact"/>
            </w:pPr>
            <w:r>
              <w:t xml:space="preserve">Same as compression ratio (ρ₀ matched)</w:t>
            </w:r>
          </w:p>
        </w:tc>
      </w:tr>
      <w:tr>
        <w:tc>
          <w:tcPr/>
          <w:p>
            <w:pPr>
              <w:pStyle w:val="Compact"/>
            </w:pPr>
            <w:r>
              <w:t xml:space="preserve">Shock front velocity</w:t>
            </w:r>
          </w:p>
        </w:tc>
        <w:tc>
          <w:tcPr/>
          <w:p>
            <w:pPr>
              <w:pStyle w:val="Compact"/>
              <w:jc w:val="right"/>
            </w:pPr>
            <w:r>
              <w:t xml:space="preserve">107.3 km/s</w:t>
            </w:r>
          </w:p>
        </w:tc>
        <w:tc>
          <w:tcPr/>
          <w:p>
            <w:pPr>
              <w:pStyle w:val="Compact"/>
              <w:jc w:val="right"/>
            </w:pPr>
            <w:r>
              <w:t xml:space="preserve">105.9 km/s</w:t>
            </w:r>
          </w:p>
        </w:tc>
        <w:tc>
          <w:tcPr/>
          <w:p>
            <w:pPr>
              <w:pStyle w:val="Compact"/>
              <w:jc w:val="right"/>
            </w:pPr>
            <w:r>
              <w:t xml:space="preserve">0.99</w:t>
            </w:r>
          </w:p>
        </w:tc>
        <w:tc>
          <w:tcPr/>
          <w:p>
            <w:pPr>
              <w:pStyle w:val="Compact"/>
            </w:pPr>
            <w:r>
              <w:t xml:space="preserve">Identical shock speed — clean null</w:t>
            </w:r>
          </w:p>
        </w:tc>
      </w:tr>
    </w:tbl>
    <w:p>
      <w:pPr>
        <w:pStyle w:val="BodyText"/>
      </w:pPr>
      <w:r>
        <w:rPr>
          <w:b/>
          <w:bCs/>
        </w:rPr>
        <w:t xml:space="preserve">Three findings from one matched experiment:</w:t>
      </w:r>
    </w:p>
    <w:p>
      <w:pPr>
        <w:numPr>
          <w:ilvl w:val="0"/>
          <w:numId w:val="1003"/>
        </w:numPr>
      </w:pPr>
      <w:r>
        <w:rPr>
          <w:b/>
          <w:bCs/>
        </w:rPr>
        <w:t xml:space="preserve">Foam ablates ~20% softer</w:t>
      </w:r>
      <w:r>
        <w:t xml:space="preserve"> </w:t>
      </w:r>
      <w:r>
        <w:t xml:space="preserve">at the same laser drive. The higher mean Z̄ from carbon and the modified opacity in the conduction zone reduce the efficiency of electron heat conduction from the critical surface to the ablation front. Less effective rocket → reduced drive impulse on the imploding shell.</w:t>
      </w:r>
    </w:p>
    <w:p>
      <w:pPr>
        <w:numPr>
          <w:ilvl w:val="0"/>
          <w:numId w:val="1003"/>
        </w:numPr>
      </w:pPr>
      <w:r>
        <w:rPr>
          <w:b/>
          <w:bCs/>
        </w:rPr>
        <w:t xml:space="preserve">Foam compresses 13% less</w:t>
      </w:r>
      <w:r>
        <w:t xml:space="preserve"> </w:t>
      </w:r>
      <w:r>
        <w:t xml:space="preserve">behind the same-strength shock. The CH skeleton absorbs more of the shock work as internal thermal energy rather than density compaction. This is the direct EOS comparison at the Rankine-Hugoniot level.</w:t>
      </w:r>
    </w:p>
    <w:p>
      <w:pPr>
        <w:numPr>
          <w:ilvl w:val="0"/>
          <w:numId w:val="1003"/>
        </w:numPr>
      </w:pPr>
      <w:r>
        <w:rPr>
          <w:b/>
          <w:bCs/>
        </w:rPr>
        <w:t xml:space="preserve">Shock speed is identical</w:t>
      </w:r>
      <w:r>
        <w:t xml:space="preserve"> </w:t>
      </w:r>
      <w:r>
        <w:t xml:space="preserve">within 1%. Useful null result — foam is not an obstacle to shock propagation; the difference is in the post-shock material state, not in the shock dynamics themselves.</w:t>
      </w:r>
    </w:p>
    <w:p>
      <w:r>
        <w:pict>
          <v:rect style="width:0;height:1.5pt" o:hralign="center" o:hrstd="t" o:hr="t"/>
        </w:pict>
      </w:r>
    </w:p>
    <w:bookmarkEnd w:id="22"/>
    <w:bookmarkEnd w:id="23"/>
    <w:bookmarkStart w:id="25" w:name="X53b1b7d1a4c7c603a16e73a8b4292422e1241d4"/>
    <w:p>
      <w:pPr>
        <w:pStyle w:val="Heading2"/>
      </w:pPr>
      <w:r>
        <w:t xml:space="preserve">3. Conclusion: Material-Physics Origin Confirmed</w:t>
      </w:r>
    </w:p>
    <w:p>
      <w:pPr>
        <w:pStyle w:val="FirstParagraph"/>
      </w:pPr>
      <w:r>
        <w:t xml:space="preserve">The chain of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Outcome</w:t>
            </w:r>
          </w:p>
        </w:tc>
        <w:tc>
          <w:tcPr/>
          <w:p>
            <w:pPr>
              <w:pStyle w:val="Compact"/>
            </w:pPr>
            <w:r>
              <w:t xml:space="preserve">Implication</w:t>
            </w:r>
          </w:p>
        </w:tc>
      </w:tr>
      <w:tr>
        <w:tc>
          <w:tcPr/>
          <w:p>
            <w:pPr>
              <w:pStyle w:val="Compact"/>
            </w:pPr>
            <w:r>
              <w:t xml:space="preserve">2.1 Fusion kernel</w:t>
            </w:r>
          </w:p>
        </w:tc>
        <w:tc>
          <w:tcPr/>
          <w:p>
            <w:pPr>
              <w:pStyle w:val="Compact"/>
            </w:pPr>
            <w:r>
              <w:t xml:space="preserve">Exact to 0.4% across T, composition</w:t>
            </w:r>
          </w:p>
        </w:tc>
        <w:tc>
          <w:tcPr/>
          <w:p>
            <w:pPr>
              <w:pStyle w:val="Compact"/>
            </w:pPr>
            <w:r>
              <w:t xml:space="preserve">DT reactivity is implemented correctly. Deficit ≠ kernel bug.</w:t>
            </w:r>
          </w:p>
        </w:tc>
      </w:tr>
      <w:tr>
        <w:tc>
          <w:tcPr/>
          <w:p>
            <w:pPr>
              <w:pStyle w:val="Compact"/>
            </w:pPr>
            <w:r>
              <w:t xml:space="preserve">2.2 Brems kernel</w:t>
            </w:r>
          </w:p>
        </w:tc>
        <w:tc>
          <w:tcPr/>
          <w:p>
            <w:pPr>
              <w:pStyle w:val="Compact"/>
            </w:pPr>
            <w:r>
              <w:t xml:space="preserve">Within Gaunt convention; carbon adds physical Z-dependent effects</w:t>
            </w:r>
          </w:p>
        </w:tc>
        <w:tc>
          <w:tcPr/>
          <w:p>
            <w:pPr>
              <w:pStyle w:val="Compact"/>
            </w:pPr>
            <w:r>
              <w:t xml:space="preserve">Bremsstrahlung is implemented correctly. Carbon impurity is not the mechanism.</w:t>
            </w:r>
          </w:p>
        </w:tc>
      </w:tr>
      <w:tr>
        <w:tc>
          <w:tcPr/>
          <w:p>
            <w:pPr>
              <w:pStyle w:val="Compact"/>
            </w:pPr>
            <w:r>
              <w:t xml:space="preserve">2.3 Planar ablation</w:t>
            </w:r>
          </w:p>
        </w:tc>
        <w:tc>
          <w:tcPr/>
          <w:p>
            <w:pPr>
              <w:pStyle w:val="Compact"/>
            </w:pPr>
            <w:r>
              <w:t xml:space="preserve">19% lower P_abl, 13% less compression in foam at matched drive</w:t>
            </w:r>
          </w:p>
        </w:tc>
        <w:tc>
          <w:tcPr/>
          <w:p>
            <w:pPr>
              <w:pStyle w:val="Compact"/>
            </w:pPr>
            <w:r>
              <w:rPr>
                <w:b/>
                <w:bCs/>
              </w:rPr>
              <w:t xml:space="preserve">Material physics</w:t>
            </w:r>
            <w:r>
              <w:t xml:space="preserve">: PROPACEOS foam EOS+opacity tables produce real, quantifiable performance deficits.</w:t>
            </w:r>
          </w:p>
        </w:tc>
      </w:tr>
    </w:tbl>
    <w:p>
      <w:pPr>
        <w:pStyle w:val="BodyText"/>
      </w:pPr>
      <w:r>
        <w:t xml:space="preserve">The planar test compounds with itself through the implosion:</w:t>
      </w:r>
    </w:p>
    <w:p>
      <w:pPr>
        <w:pStyle w:val="Compact"/>
        <w:numPr>
          <w:ilvl w:val="0"/>
          <w:numId w:val="1004"/>
        </w:numPr>
      </w:pPr>
      <w:r>
        <w:t xml:space="preserve">Single shock: 13% less compression in foam (planar measurement)</w:t>
      </w:r>
    </w:p>
    <w:p>
      <w:pPr>
        <w:pStyle w:val="Compact"/>
        <w:numPr>
          <w:ilvl w:val="0"/>
          <w:numId w:val="1004"/>
        </w:numPr>
      </w:pPr>
      <w:r>
        <w:t xml:space="preserve">Three shock cycles + shell deceleration: cumulative compression ratio scales as (1.13)³⁻⁴ × shell-work effects ≈ factor of 2–2.5× → matches the observed 12 vs 30 g/cc burn-region density gap</w:t>
      </w:r>
    </w:p>
    <w:p>
      <w:pPr>
        <w:pStyle w:val="Compact"/>
        <w:numPr>
          <w:ilvl w:val="0"/>
          <w:numId w:val="1004"/>
        </w:numPr>
      </w:pPr>
      <w:r>
        <w:t xml:space="preserve">n²T²σv at burn temperature: ~20× lower local burn-rate density in foam → integrated to factor 2.77× yield deficit (foam 26 MJ vs ice 81 MJ at matched drive)</w:t>
      </w:r>
    </w:p>
    <w:p>
      <w:pPr>
        <w:pStyle w:val="FirstParagraph"/>
      </w:pPr>
      <w:r>
        <w:rPr>
          <w:b/>
          <w:bCs/>
        </w:rPr>
        <w:t xml:space="preserve">The Helios foam-burn deficit vs LILAC is real material physics captured by PROPACEOS, not a code bug.</w:t>
      </w:r>
    </w:p>
    <w:bookmarkStart w:id="24" w:name="remaining-open-question"/>
    <w:p>
      <w:pPr>
        <w:pStyle w:val="Heading3"/>
      </w:pPr>
      <w:r>
        <w:t xml:space="preserve">Remaining open question</w:t>
      </w:r>
    </w:p>
    <w:p>
      <w:pPr>
        <w:pStyle w:val="FirstParagraph"/>
      </w:pPr>
      <w:r>
        <w:t xml:space="preserve">LILAC predicts 87 MJ on the same Olson-2021 target. Either:</w:t>
      </w:r>
      <w:r>
        <w:t xml:space="preserve"> </w:t>
      </w:r>
      <w:r>
        <w:t xml:space="preserve">- LILAC’s foam EOS table is softer (more compressible at strong-shock conditions) than PROPACEOS,</w:t>
      </w:r>
      <w:r>
        <w:t xml:space="preserve"> </w:t>
      </w:r>
      <w:r>
        <w:rPr>
          <w:i/>
          <w:iCs/>
        </w:rPr>
        <w:t xml:space="preserve">and/or</w:t>
      </w:r>
      <w:r>
        <w:t xml:space="preserve"> </w:t>
      </w:r>
      <w:r>
        <w:t xml:space="preserve">- LILAC’s foam opacity treatment is more transparent than PROPACEOS</w:t>
      </w:r>
    </w:p>
    <w:p>
      <w:pPr>
        <w:pStyle w:val="BodyText"/>
      </w:pPr>
      <w:r>
        <w:t xml:space="preserve">This is a cross-code physics comparison question — direct comparison of PROPACEOS DT-CH foam EOS Hugoniots against LILAC’s equivalent table at the relevant pressure range would localize the remaining residual. It cannot be resolved within Helios alone.</w:t>
      </w:r>
    </w:p>
    <w:p>
      <w:r>
        <w:pict>
          <v:rect style="width:0;height:1.5pt" o:hralign="center" o:hrstd="t" o:hr="t"/>
        </w:pict>
      </w:r>
    </w:p>
    <w:bookmarkEnd w:id="24"/>
    <w:bookmarkEnd w:id="25"/>
    <w:bookmarkStart w:id="29" w:name="implications-for-xcimer-energy"/>
    <w:p>
      <w:pPr>
        <w:pStyle w:val="Heading2"/>
      </w:pPr>
      <w:r>
        <w:t xml:space="preserve">4. Implications for Xcimer Energy</w:t>
      </w:r>
    </w:p>
    <w:bookmarkStart w:id="26" w:name="pdd-calibration-status"/>
    <w:p>
      <w:pPr>
        <w:pStyle w:val="Heading3"/>
      </w:pPr>
      <w:r>
        <w:t xml:space="preserve">4.1 PDD calibration status</w:t>
      </w:r>
    </w:p>
    <w:p>
      <w:pPr>
        <w:pStyle w:val="FirstParagraph"/>
      </w:pPr>
      <w:r>
        <w:t xml:space="preserve">The Helios fab007 production point (</w:t>
      </w:r>
      <w:r>
        <w:rPr>
          <w:rStyle w:val="VerbatimChar"/>
        </w:rPr>
        <w:t xml:space="preserve">Olson_PDD_20_fab007_foot25_s018_c37_burn</w:t>
      </w:r>
      <w:r>
        <w:t xml:space="preserve">) is</w:t>
      </w:r>
      <w:r>
        <w:t xml:space="preserve"> </w:t>
      </w:r>
      <w:r>
        <w:rPr>
          <w:b/>
          <w:bCs/>
        </w:rPr>
        <w:t xml:space="preserve">the best Helios produces at LILAC’s thermodynamic state</w:t>
      </w:r>
      <w:r>
        <w:t xml:space="preserve">. The match is tight on every drive-phase and burn-averaged state variable:</w:t>
      </w:r>
    </w:p>
    <w:p>
      <w:pPr>
        <w:pStyle w:val="BodyText"/>
      </w:pPr>
      <w:r>
        <w:rPr>
          <w:b/>
          <w:bCs/>
        </w:rPr>
        <w:t xml:space="preserve">Table 4.1 — Thermodynamic state matching, fab007 vs LILAC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right"/>
            </w:pPr>
            <w:r>
              <w:t xml:space="preserve">Helios fab007</w:t>
            </w:r>
          </w:p>
        </w:tc>
        <w:tc>
          <w:tcPr/>
          <w:p>
            <w:pPr>
              <w:pStyle w:val="Compact"/>
              <w:jc w:val="right"/>
            </w:pPr>
            <w:r>
              <w:t xml:space="preserve">LILAC</w:t>
            </w:r>
          </w:p>
        </w:tc>
        <w:tc>
          <w:tcPr/>
          <w:p>
            <w:pPr>
              <w:pStyle w:val="Compact"/>
              <w:jc w:val="right"/>
            </w:pPr>
            <w:r>
              <w:t xml:space="preserve">Δ (%)</w:t>
            </w:r>
          </w:p>
        </w:tc>
        <w:tc>
          <w:tcPr/>
          <w:p>
            <w:pPr>
              <w:pStyle w:val="Compact"/>
            </w:pPr>
            <w:r>
              <w:t xml:space="preserve">Verdict</w:t>
            </w:r>
          </w:p>
        </w:tc>
      </w:tr>
      <w:tr>
        <w:tc>
          <w:tcPr/>
          <w:p>
            <w:pPr>
              <w:pStyle w:val="Compact"/>
            </w:pPr>
            <w:r>
              <w:t xml:space="preserve">Peak implosion velocity (km/s)</w:t>
            </w:r>
          </w:p>
        </w:tc>
        <w:tc>
          <w:tcPr/>
          <w:p>
            <w:pPr>
              <w:pStyle w:val="Compact"/>
              <w:jc w:val="right"/>
            </w:pPr>
            <w:r>
              <w:t xml:space="preserve">421</w:t>
            </w:r>
          </w:p>
        </w:tc>
        <w:tc>
          <w:tcPr/>
          <w:p>
            <w:pPr>
              <w:pStyle w:val="Compact"/>
              <w:jc w:val="right"/>
            </w:pPr>
            <w:r>
              <w:t xml:space="preserve">410</w:t>
            </w:r>
          </w:p>
        </w:tc>
        <w:tc>
          <w:tcPr/>
          <w:p>
            <w:pPr>
              <w:pStyle w:val="Compact"/>
              <w:jc w:val="right"/>
            </w:pPr>
            <w:r>
              <w:t xml:space="preserve">+2.7</w:t>
            </w:r>
          </w:p>
        </w:tc>
        <w:tc>
          <w:tcPr/>
          <w:p>
            <w:pPr>
              <w:pStyle w:val="Compact"/>
            </w:pPr>
            <w:r>
              <w:t xml:space="preserve">within tol</w:t>
            </w:r>
          </w:p>
        </w:tc>
      </w:tr>
      <w:tr>
        <w:tc>
          <w:tcPr/>
          <w:p>
            <w:pPr>
              <w:pStyle w:val="Compact"/>
            </w:pPr>
            <w:r>
              <w:t xml:space="preserve">Peak total ρR (g/cm²)</w:t>
            </w:r>
          </w:p>
        </w:tc>
        <w:tc>
          <w:tcPr/>
          <w:p>
            <w:pPr>
              <w:pStyle w:val="Compact"/>
              <w:jc w:val="right"/>
            </w:pPr>
            <w:r>
              <w:t xml:space="preserve">1.01</w:t>
            </w:r>
          </w:p>
        </w:tc>
        <w:tc>
          <w:tcPr/>
          <w:p>
            <w:pPr>
              <w:pStyle w:val="Compact"/>
              <w:jc w:val="right"/>
            </w:pPr>
            <w:r>
              <w:t xml:space="preserve">1.05</w:t>
            </w:r>
          </w:p>
        </w:tc>
        <w:tc>
          <w:tcPr/>
          <w:p>
            <w:pPr>
              <w:pStyle w:val="Compact"/>
              <w:jc w:val="right"/>
            </w:pPr>
            <w:r>
              <w:t xml:space="preserve">−3.6</w:t>
            </w:r>
          </w:p>
        </w:tc>
        <w:tc>
          <w:tcPr/>
          <w:p>
            <w:pPr>
              <w:pStyle w:val="Compact"/>
            </w:pPr>
            <w:r>
              <w:t xml:space="preserve">within tol</w:t>
            </w:r>
          </w:p>
        </w:tc>
      </w:tr>
      <w:tr>
        <w:tc>
          <w:tcPr/>
          <w:p>
            <w:pPr>
              <w:pStyle w:val="Compact"/>
            </w:pPr>
            <w:r>
              <w:t xml:space="preserve">⟨T_hs⟩ neutron-averaged (keV)</w:t>
            </w:r>
          </w:p>
        </w:tc>
        <w:tc>
          <w:tcPr/>
          <w:p>
            <w:pPr>
              <w:pStyle w:val="Compact"/>
              <w:jc w:val="right"/>
            </w:pPr>
            <w:r>
              <w:t xml:space="preserve">23.1</w:t>
            </w:r>
          </w:p>
        </w:tc>
        <w:tc>
          <w:tcPr/>
          <w:p>
            <w:pPr>
              <w:pStyle w:val="Compact"/>
              <w:jc w:val="right"/>
            </w:pPr>
            <w:r>
              <w:t xml:space="preserve">22.5</w:t>
            </w:r>
          </w:p>
        </w:tc>
        <w:tc>
          <w:tcPr/>
          <w:p>
            <w:pPr>
              <w:pStyle w:val="Compact"/>
              <w:jc w:val="right"/>
            </w:pPr>
            <w:r>
              <w:t xml:space="preserve">+2.7</w:t>
            </w:r>
          </w:p>
        </w:tc>
        <w:tc>
          <w:tcPr/>
          <w:p>
            <w:pPr>
              <w:pStyle w:val="Compact"/>
            </w:pPr>
            <w:r>
              <w:t xml:space="preserve">within tol</w:t>
            </w:r>
          </w:p>
        </w:tc>
      </w:tr>
      <w:tr>
        <w:tc>
          <w:tcPr/>
          <w:p>
            <w:pPr>
              <w:pStyle w:val="Compact"/>
            </w:pPr>
            <w:r>
              <w:t xml:space="preserve">⟨P_hs⟩ neutron-averaged (Gbar)</w:t>
            </w:r>
          </w:p>
        </w:tc>
        <w:tc>
          <w:tcPr/>
          <w:p>
            <w:pPr>
              <w:pStyle w:val="Compact"/>
              <w:jc w:val="right"/>
            </w:pPr>
            <w:r>
              <w:t xml:space="preserve">206</w:t>
            </w:r>
          </w:p>
        </w:tc>
        <w:tc>
          <w:tcPr/>
          <w:p>
            <w:pPr>
              <w:pStyle w:val="Compact"/>
              <w:jc w:val="right"/>
            </w:pPr>
            <w:r>
              <w:t xml:space="preserve">193</w:t>
            </w:r>
          </w:p>
        </w:tc>
        <w:tc>
          <w:tcPr/>
          <w:p>
            <w:pPr>
              <w:pStyle w:val="Compact"/>
              <w:jc w:val="right"/>
            </w:pPr>
            <w:r>
              <w:t xml:space="preserve">+6.6</w:t>
            </w:r>
          </w:p>
        </w:tc>
        <w:tc>
          <w:tcPr/>
          <w:p>
            <w:pPr>
              <w:pStyle w:val="Compact"/>
            </w:pPr>
            <w:r>
              <w:t xml:space="preserve">within tol</w:t>
            </w:r>
          </w:p>
        </w:tc>
      </w:tr>
      <w:tr>
        <w:tc>
          <w:tcPr/>
          <w:p>
            <w:pPr>
              <w:pStyle w:val="Compact"/>
            </w:pPr>
            <w:r>
              <w:t xml:space="preserve">CR_max</w:t>
            </w:r>
          </w:p>
        </w:tc>
        <w:tc>
          <w:tcPr/>
          <w:p>
            <w:pPr>
              <w:pStyle w:val="Compact"/>
              <w:jc w:val="right"/>
            </w:pPr>
            <w:r>
              <w:t xml:space="preserve">30.7</w:t>
            </w:r>
          </w:p>
        </w:tc>
        <w:tc>
          <w:tcPr/>
          <w:p>
            <w:pPr>
              <w:pStyle w:val="Compact"/>
              <w:jc w:val="right"/>
            </w:pPr>
            <w:r>
              <w:t xml:space="preserve">29.0</w:t>
            </w:r>
          </w:p>
        </w:tc>
        <w:tc>
          <w:tcPr/>
          <w:p>
            <w:pPr>
              <w:pStyle w:val="Compact"/>
              <w:jc w:val="right"/>
            </w:pPr>
            <w:r>
              <w:t xml:space="preserve">+5.9</w:t>
            </w:r>
          </w:p>
        </w:tc>
        <w:tc>
          <w:tcPr/>
          <w:p>
            <w:pPr>
              <w:pStyle w:val="Compact"/>
            </w:pPr>
            <w:r>
              <w:t xml:space="preserve">within tol</w:t>
            </w:r>
          </w:p>
        </w:tc>
      </w:tr>
      <w:tr>
        <w:tc>
          <w:tcPr/>
          <w:p>
            <w:pPr>
              <w:pStyle w:val="Compact"/>
            </w:pPr>
            <w:r>
              <w:t xml:space="preserve">Fraction absorbed (%)</w:t>
            </w:r>
          </w:p>
        </w:tc>
        <w:tc>
          <w:tcPr/>
          <w:p>
            <w:pPr>
              <w:pStyle w:val="Compact"/>
              <w:jc w:val="right"/>
            </w:pPr>
            <w:r>
              <w:t xml:space="preserve">73.1</w:t>
            </w:r>
          </w:p>
        </w:tc>
        <w:tc>
          <w:tcPr/>
          <w:p>
            <w:pPr>
              <w:pStyle w:val="Compact"/>
              <w:jc w:val="right"/>
            </w:pPr>
            <w:r>
              <w:t xml:space="preserve">~68</w:t>
            </w:r>
          </w:p>
        </w:tc>
        <w:tc>
          <w:tcPr/>
          <w:p>
            <w:pPr>
              <w:pStyle w:val="Compact"/>
              <w:jc w:val="right"/>
            </w:pPr>
            <w:r>
              <w:t xml:space="preserve">+7.4</w:t>
            </w:r>
          </w:p>
        </w:tc>
        <w:tc>
          <w:tcPr/>
          <w:p>
            <w:pPr>
              <w:pStyle w:val="Compact"/>
            </w:pPr>
            <w:r>
              <w:t xml:space="preserve">within tol</w:t>
            </w:r>
          </w:p>
        </w:tc>
      </w:tr>
      <w:tr>
        <w:tc>
          <w:tcPr/>
          <w:p>
            <w:pPr>
              <w:pStyle w:val="Compact"/>
            </w:pPr>
            <w:r>
              <w:t xml:space="preserve">Foot shock arrival (ns)</w:t>
            </w:r>
          </w:p>
        </w:tc>
        <w:tc>
          <w:tcPr/>
          <w:p>
            <w:pPr>
              <w:pStyle w:val="Compact"/>
              <w:jc w:val="right"/>
            </w:pPr>
            <w:r>
              <w:t xml:space="preserve">6.05</w:t>
            </w:r>
          </w:p>
        </w:tc>
        <w:tc>
          <w:tcPr/>
          <w:p>
            <w:pPr>
              <w:pStyle w:val="Compact"/>
              <w:jc w:val="right"/>
            </w:pPr>
            <w:r>
              <w:t xml:space="preserve">7.5</w:t>
            </w:r>
          </w:p>
        </w:tc>
        <w:tc>
          <w:tcPr/>
          <w:p>
            <w:pPr>
              <w:pStyle w:val="Compact"/>
              <w:jc w:val="right"/>
            </w:pPr>
            <w:r>
              <w:t xml:space="preserve">−19</w:t>
            </w:r>
          </w:p>
        </w:tc>
        <w:tc>
          <w:tcPr/>
          <w:p>
            <w:pPr>
              <w:pStyle w:val="Compact"/>
            </w:pPr>
            <w:r>
              <w:t xml:space="preserve">timing offset</w:t>
            </w:r>
          </w:p>
        </w:tc>
      </w:tr>
      <w:tr>
        <w:tc>
          <w:tcPr/>
          <w:p>
            <w:pPr>
              <w:pStyle w:val="Compact"/>
            </w:pPr>
            <w:r>
              <w:t xml:space="preserve">Ramp shock arrival (ns)</w:t>
            </w:r>
          </w:p>
        </w:tc>
        <w:tc>
          <w:tcPr/>
          <w:p>
            <w:pPr>
              <w:pStyle w:val="Compact"/>
              <w:jc w:val="right"/>
            </w:pPr>
            <w:r>
              <w:t xml:space="preserve">8.15</w:t>
            </w:r>
          </w:p>
        </w:tc>
        <w:tc>
          <w:tcPr/>
          <w:p>
            <w:pPr>
              <w:pStyle w:val="Compact"/>
              <w:jc w:val="right"/>
            </w:pPr>
            <w:r>
              <w:t xml:space="preserve">10.0</w:t>
            </w:r>
          </w:p>
        </w:tc>
        <w:tc>
          <w:tcPr/>
          <w:p>
            <w:pPr>
              <w:pStyle w:val="Compact"/>
              <w:jc w:val="right"/>
            </w:pPr>
            <w:r>
              <w:t xml:space="preserve">−19</w:t>
            </w:r>
          </w:p>
        </w:tc>
        <w:tc>
          <w:tcPr/>
          <w:p>
            <w:pPr>
              <w:pStyle w:val="Compact"/>
            </w:pPr>
            <w:r>
              <w:t xml:space="preserve">timing offset</w:t>
            </w:r>
          </w:p>
        </w:tc>
      </w:tr>
    </w:tbl>
    <w:p>
      <w:pPr>
        <w:pStyle w:val="BodyText"/>
      </w:pPr>
      <w:r>
        <w:t xml:space="preserve">Drive-phase kinematics, burn-averaged thermodynamic state, and absorbed-energy coupling all match LILAC within ~7%. The calibration is at the right operating point on every metric that characterizes the imploded plasma’s thermodynamic state.</w:t>
      </w:r>
    </w:p>
    <w:p>
      <w:pPr>
        <w:pStyle w:val="BodyText"/>
      </w:pPr>
      <w:r>
        <w:rPr>
          <w:b/>
          <w:bCs/>
        </w:rPr>
        <w:t xml:space="preserve">Yet the burn is marginal, with negligible foam propagation.</w:t>
      </w:r>
      <w:r>
        <w:t xml:space="preserve"> </w:t>
      </w:r>
      <w:r>
        <w:t xml:space="preserve">At fab007’s calibrated thermodynamic state, the alpha bootstrap from the ice hot spot fires on the ignition cliff — strong enough to ignite the ice itself, but too weak to propagate burn into the foam volume during the ~0.3 ns burn FWHM. Per-region diagnostics (from</w:t>
      </w:r>
      <w:r>
        <w:t xml:space="preserve"> </w:t>
      </w:r>
      <w:r>
        <w:rPr>
          <w:rStyle w:val="VerbatimChar"/>
        </w:rPr>
        <w:t xml:space="preserve">dump_per_zone_burn_share.py</w:t>
      </w:r>
      <w:r>
        <w:t xml:space="preserve"> </w:t>
      </w:r>
      <w:r>
        <w:t xml:space="preserve">and</w:t>
      </w:r>
      <w:r>
        <w:t xml:space="preserve"> </w:t>
      </w:r>
      <w:r>
        <w:rPr>
          <w:rStyle w:val="VerbatimChar"/>
        </w:rPr>
        <w:t xml:space="preserve">dump_burn_rate_timing.py</w:t>
      </w:r>
      <w:r>
        <w:t xml:space="preserve">) show the foam-burn productivity at fab007 is collapsed compared to the bootstrap-strength reference run</w:t>
      </w:r>
      <w:r>
        <w:t xml:space="preserve"> </w:t>
      </w:r>
      <w:r>
        <w:rPr>
          <w:rStyle w:val="VerbatimChar"/>
        </w:rPr>
        <w:t xml:space="preserve">fab02</w:t>
      </w:r>
      <w:r>
        <w:t xml:space="preserve"> </w:t>
      </w:r>
      <w:r>
        <w:t xml:space="preserve">(over-driven at V_peak = 463 km/s):</w:t>
      </w:r>
    </w:p>
    <w:p>
      <w:pPr>
        <w:pStyle w:val="BodyText"/>
      </w:pPr>
      <w:r>
        <w:rPr>
          <w:b/>
          <w:bCs/>
        </w:rPr>
        <w:t xml:space="preserve">Table 4.2 — Foam-burn propagation: fab007 (matched to LILAC) vs fab02 (over-driven)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fab007 (matched)</w:t>
            </w:r>
          </w:p>
        </w:tc>
        <w:tc>
          <w:tcPr/>
          <w:p>
            <w:pPr>
              <w:pStyle w:val="Compact"/>
              <w:jc w:val="right"/>
            </w:pPr>
            <w:r>
              <w:t xml:space="preserve">fab02 (over-driven)</w:t>
            </w:r>
          </w:p>
        </w:tc>
        <w:tc>
          <w:tcPr/>
          <w:p>
            <w:pPr>
              <w:pStyle w:val="Compact"/>
              <w:jc w:val="right"/>
            </w:pPr>
            <w:r>
              <w:t xml:space="preserve">fab02 / fab007</w:t>
            </w:r>
          </w:p>
        </w:tc>
      </w:tr>
      <w:tr>
        <w:tc>
          <w:tcPr/>
          <w:p>
            <w:pPr>
              <w:pStyle w:val="Compact"/>
            </w:pPr>
            <w:r>
              <w:t xml:space="preserve">Peak implosion velocity (km/s)</w:t>
            </w:r>
          </w:p>
        </w:tc>
        <w:tc>
          <w:tcPr/>
          <w:p>
            <w:pPr>
              <w:pStyle w:val="Compact"/>
              <w:jc w:val="right"/>
            </w:pPr>
            <w:r>
              <w:t xml:space="preserve">421</w:t>
            </w:r>
          </w:p>
        </w:tc>
        <w:tc>
          <w:tcPr/>
          <w:p>
            <w:pPr>
              <w:pStyle w:val="Compact"/>
              <w:jc w:val="right"/>
            </w:pPr>
            <w:r>
              <w:t xml:space="preserve">463</w:t>
            </w:r>
          </w:p>
        </w:tc>
        <w:tc>
          <w:tcPr/>
          <w:p>
            <w:pPr>
              <w:pStyle w:val="Compact"/>
              <w:jc w:val="right"/>
            </w:pPr>
            <w:r>
              <w:t xml:space="preserve">1.10</w:t>
            </w:r>
          </w:p>
        </w:tc>
      </w:tr>
      <w:tr>
        <w:tc>
          <w:tcPr/>
          <w:p>
            <w:pPr>
              <w:pStyle w:val="Compact"/>
            </w:pPr>
            <w:r>
              <w:t xml:space="preserve">Effective coupling (%)</w:t>
            </w:r>
          </w:p>
        </w:tc>
        <w:tc>
          <w:tcPr/>
          <w:p>
            <w:pPr>
              <w:pStyle w:val="Compact"/>
              <w:jc w:val="right"/>
            </w:pPr>
            <w:r>
              <w:t xml:space="preserve">73.1</w:t>
            </w:r>
          </w:p>
        </w:tc>
        <w:tc>
          <w:tcPr/>
          <w:p>
            <w:pPr>
              <w:pStyle w:val="Compact"/>
              <w:jc w:val="right"/>
            </w:pPr>
            <w:r>
              <w:t xml:space="preserve">84.0</w:t>
            </w:r>
          </w:p>
        </w:tc>
        <w:tc>
          <w:tcPr/>
          <w:p>
            <w:pPr>
              <w:pStyle w:val="Compact"/>
              <w:jc w:val="right"/>
            </w:pPr>
            <w:r>
              <w:t xml:space="preserve">1.15</w:t>
            </w:r>
          </w:p>
        </w:tc>
      </w:tr>
      <w:tr>
        <w:tc>
          <w:tcPr/>
          <w:p>
            <w:pPr>
              <w:pStyle w:val="Compact"/>
            </w:pPr>
            <w:r>
              <w:t xml:space="preserve">Total fusion yield (MJ)</w:t>
            </w:r>
          </w:p>
        </w:tc>
        <w:tc>
          <w:tcPr/>
          <w:p>
            <w:pPr>
              <w:pStyle w:val="Compact"/>
              <w:jc w:val="right"/>
            </w:pPr>
            <w:r>
              <w:t xml:space="preserve">26.0</w:t>
            </w:r>
          </w:p>
        </w:tc>
        <w:tc>
          <w:tcPr/>
          <w:p>
            <w:pPr>
              <w:pStyle w:val="Compact"/>
              <w:jc w:val="right"/>
            </w:pPr>
            <w:r>
              <w:t xml:space="preserve">59.0</w:t>
            </w:r>
          </w:p>
        </w:tc>
        <w:tc>
          <w:tcPr/>
          <w:p>
            <w:pPr>
              <w:pStyle w:val="Compact"/>
              <w:jc w:val="right"/>
            </w:pPr>
            <w:r>
              <w:t xml:space="preserve">2.27</w:t>
            </w:r>
          </w:p>
        </w:tc>
      </w:tr>
      <w:tr>
        <w:tc>
          <w:tcPr/>
          <w:p>
            <w:pPr>
              <w:pStyle w:val="Compact"/>
            </w:pPr>
            <w:r>
              <w:t xml:space="preserve">Hot-spot ρR peak (g/cm²)</w:t>
            </w:r>
          </w:p>
        </w:tc>
        <w:tc>
          <w:tcPr/>
          <w:p>
            <w:pPr>
              <w:pStyle w:val="Compact"/>
              <w:jc w:val="right"/>
            </w:pPr>
            <w:r>
              <w:t xml:space="preserve">0.35</w:t>
            </w:r>
          </w:p>
        </w:tc>
        <w:tc>
          <w:tcPr/>
          <w:p>
            <w:pPr>
              <w:pStyle w:val="Compact"/>
              <w:jc w:val="right"/>
            </w:pPr>
            <w:r>
              <w:t xml:space="preserve">(above ignition threshold robustly)</w:t>
            </w:r>
          </w:p>
        </w:tc>
        <w:tc>
          <w:tcPr/>
          <w:p>
            <w:pPr>
              <w:pStyle w:val="Compact"/>
              <w:jc w:val="right"/>
            </w:pPr>
            <w:r>
              <w:t xml:space="preserve">—</w:t>
            </w:r>
          </w:p>
        </w:tc>
      </w:tr>
      <w:tr>
        <w:tc>
          <w:tcPr/>
          <w:p>
            <w:pPr>
              <w:pStyle w:val="Compact"/>
            </w:pPr>
            <w:r>
              <w:rPr>
                <w:b/>
                <w:bCs/>
              </w:rPr>
              <w:t xml:space="preserve">Foam fraction of total yield (%)</w:t>
            </w:r>
          </w:p>
        </w:tc>
        <w:tc>
          <w:tcPr/>
          <w:p>
            <w:pPr>
              <w:pStyle w:val="Compact"/>
              <w:jc w:val="right"/>
            </w:pPr>
            <w:r>
              <w:rPr>
                <w:b/>
                <w:bCs/>
              </w:rPr>
              <w:t xml:space="preserve">10.1</w:t>
            </w:r>
          </w:p>
        </w:tc>
        <w:tc>
          <w:tcPr/>
          <w:p>
            <w:pPr>
              <w:pStyle w:val="Compact"/>
              <w:jc w:val="right"/>
            </w:pPr>
            <w:r>
              <w:rPr>
                <w:b/>
                <w:bCs/>
              </w:rPr>
              <w:t xml:space="preserve">26.5</w:t>
            </w:r>
          </w:p>
        </w:tc>
        <w:tc>
          <w:tcPr/>
          <w:p>
            <w:pPr>
              <w:pStyle w:val="Compact"/>
              <w:jc w:val="right"/>
            </w:pPr>
            <w:r>
              <w:rPr>
                <w:b/>
                <w:bCs/>
              </w:rPr>
              <w:t xml:space="preserve">2.6</w:t>
            </w:r>
          </w:p>
        </w:tc>
      </w:tr>
      <w:tr>
        <w:tc>
          <w:tcPr/>
          <w:p>
            <w:pPr>
              <w:pStyle w:val="Compact"/>
            </w:pPr>
            <w:r>
              <w:rPr>
                <w:b/>
                <w:bCs/>
              </w:rPr>
              <w:t xml:space="preserve">Foam ⟨T_ion⟩ at bang time (keV)</w:t>
            </w:r>
          </w:p>
        </w:tc>
        <w:tc>
          <w:tcPr/>
          <w:p>
            <w:pPr>
              <w:pStyle w:val="Compact"/>
              <w:jc w:val="right"/>
            </w:pPr>
            <w:r>
              <w:rPr>
                <w:b/>
                <w:bCs/>
              </w:rPr>
              <w:t xml:space="preserve">1.85</w:t>
            </w:r>
          </w:p>
        </w:tc>
        <w:tc>
          <w:tcPr/>
          <w:p>
            <w:pPr>
              <w:pStyle w:val="Compact"/>
              <w:jc w:val="right"/>
            </w:pPr>
            <w:r>
              <w:rPr>
                <w:b/>
                <w:bCs/>
              </w:rPr>
              <w:t xml:space="preserve">4.4</w:t>
            </w:r>
          </w:p>
        </w:tc>
        <w:tc>
          <w:tcPr/>
          <w:p>
            <w:pPr>
              <w:pStyle w:val="Compact"/>
              <w:jc w:val="right"/>
            </w:pPr>
            <w:r>
              <w:rPr>
                <w:b/>
                <w:bCs/>
              </w:rPr>
              <w:t xml:space="preserve">2.4</w:t>
            </w:r>
          </w:p>
        </w:tc>
      </w:tr>
      <w:tr>
        <w:tc>
          <w:tcPr/>
          <w:p>
            <w:pPr>
              <w:pStyle w:val="Compact"/>
            </w:pPr>
            <w:r>
              <w:rPr>
                <w:b/>
                <w:bCs/>
              </w:rPr>
              <w:t xml:space="preserve">Foam zones crossing T_ion &gt; 4.5 keV (%)</w:t>
            </w:r>
          </w:p>
        </w:tc>
        <w:tc>
          <w:tcPr/>
          <w:p>
            <w:pPr>
              <w:pStyle w:val="Compact"/>
              <w:jc w:val="right"/>
            </w:pPr>
            <w:r>
              <w:rPr>
                <w:b/>
                <w:bCs/>
              </w:rPr>
              <w:t xml:space="preserve">21</w:t>
            </w:r>
          </w:p>
        </w:tc>
        <w:tc>
          <w:tcPr/>
          <w:p>
            <w:pPr>
              <w:pStyle w:val="Compact"/>
              <w:jc w:val="right"/>
            </w:pPr>
            <w:r>
              <w:rPr>
                <w:b/>
                <w:bCs/>
              </w:rPr>
              <w:t xml:space="preserve">68</w:t>
            </w:r>
          </w:p>
        </w:tc>
        <w:tc>
          <w:tcPr/>
          <w:p>
            <w:pPr>
              <w:pStyle w:val="Compact"/>
              <w:jc w:val="right"/>
            </w:pPr>
            <w:r>
              <w:rPr>
                <w:b/>
                <w:bCs/>
              </w:rPr>
              <w:t xml:space="preserve">3.2</w:t>
            </w:r>
          </w:p>
        </w:tc>
      </w:tr>
      <w:tr>
        <w:tc>
          <w:tcPr/>
          <w:p>
            <w:pPr>
              <w:pStyle w:val="Compact"/>
            </w:pPr>
            <w:r>
              <w:rPr>
                <w:b/>
                <w:bCs/>
              </w:rPr>
              <w:t xml:space="preserve">Foam yield per unit DT mass (kJ/mg)</w:t>
            </w:r>
          </w:p>
        </w:tc>
        <w:tc>
          <w:tcPr/>
          <w:p>
            <w:pPr>
              <w:pStyle w:val="Compact"/>
              <w:jc w:val="right"/>
            </w:pPr>
            <w:r>
              <w:rPr>
                <w:b/>
                <w:bCs/>
              </w:rPr>
              <w:t xml:space="preserve">642</w:t>
            </w:r>
          </w:p>
        </w:tc>
        <w:tc>
          <w:tcPr/>
          <w:p>
            <w:pPr>
              <w:pStyle w:val="Compact"/>
              <w:jc w:val="right"/>
            </w:pPr>
            <w:r>
              <w:rPr>
                <w:b/>
                <w:bCs/>
              </w:rPr>
              <w:t xml:space="preserve">3,811</w:t>
            </w:r>
          </w:p>
        </w:tc>
        <w:tc>
          <w:tcPr/>
          <w:p>
            <w:pPr>
              <w:pStyle w:val="Compact"/>
              <w:jc w:val="right"/>
            </w:pPr>
            <w:r>
              <w:rPr>
                <w:b/>
                <w:bCs/>
              </w:rPr>
              <w:t xml:space="preserve">5.9</w:t>
            </w:r>
          </w:p>
        </w:tc>
      </w:tr>
      <w:tr>
        <w:tc>
          <w:tcPr/>
          <w:p>
            <w:pPr>
              <w:pStyle w:val="Compact"/>
            </w:pPr>
            <w:r>
              <w:t xml:space="preserve">Ice ⟨T_ion⟩ at bang time (keV)</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2.0</w:t>
            </w:r>
          </w:p>
        </w:tc>
      </w:tr>
      <w:tr>
        <w:tc>
          <w:tcPr/>
          <w:p>
            <w:pPr>
              <w:pStyle w:val="Compact"/>
            </w:pPr>
            <w:r>
              <w:t xml:space="preserve">Ice yield per unit DT mass (kJ/mg)</w:t>
            </w:r>
          </w:p>
        </w:tc>
        <w:tc>
          <w:tcPr/>
          <w:p>
            <w:pPr>
              <w:pStyle w:val="Compact"/>
              <w:jc w:val="right"/>
            </w:pPr>
            <w:r>
              <w:t xml:space="preserve">36,786</w:t>
            </w:r>
          </w:p>
        </w:tc>
        <w:tc>
          <w:tcPr/>
          <w:p>
            <w:pPr>
              <w:pStyle w:val="Compact"/>
              <w:jc w:val="right"/>
            </w:pPr>
            <w:r>
              <w:t xml:space="preserve">70,064</w:t>
            </w:r>
          </w:p>
        </w:tc>
        <w:tc>
          <w:tcPr/>
          <w:p>
            <w:pPr>
              <w:pStyle w:val="Compact"/>
              <w:jc w:val="right"/>
            </w:pPr>
            <w:r>
              <w:t xml:space="preserve">1.9</w:t>
            </w:r>
          </w:p>
        </w:tc>
      </w:tr>
    </w:tbl>
    <w:p>
      <w:pPr>
        <w:pStyle w:val="BodyText"/>
      </w:pPr>
      <w:r>
        <w:t xml:space="preserve">The contrast is decisive:</w:t>
      </w:r>
      <w:r>
        <w:t xml:space="preserve"> </w:t>
      </w:r>
      <w:r>
        <w:rPr>
          <w:b/>
          <w:bCs/>
        </w:rPr>
        <w:t xml:space="preserve">at LILAC’s calibrated thermo state, only 21% of foam zones reach burn temperature.</w:t>
      </w:r>
      <w:r>
        <w:t xml:space="preserve"> </w:t>
      </w:r>
      <w:r>
        <w:t xml:space="preserve">The remaining 79% of the foam carries DT mass that contributes essentially nothing to total yield. The foam burn-rate per unit DT mass is</w:t>
      </w:r>
      <w:r>
        <w:t xml:space="preserve"> </w:t>
      </w:r>
      <w:r>
        <w:rPr>
          <w:b/>
          <w:bCs/>
        </w:rPr>
        <w:t xml:space="preserve">5.9× lower</w:t>
      </w:r>
      <w:r>
        <w:t xml:space="preserve"> </w:t>
      </w:r>
      <w:r>
        <w:t xml:space="preserve">in fab007 than in the over-driven fab02 case, even though peak velocity differs by only 10%. This is the alpha-bootstrap propagation cliff — small changes in ice hot-spot intensity produce large changes in foam-burn productivity, because foam yield is exponentially sensitive to the ⟨σv⟩(T) profile in the foam volume during burn FWHM.</w:t>
      </w:r>
    </w:p>
    <w:p>
      <w:pPr>
        <w:pStyle w:val="BodyText"/>
      </w:pPr>
      <w:r>
        <w:rPr>
          <w:b/>
          <w:bCs/>
        </w:rPr>
        <w:t xml:space="preserve">Implication: the LILAC EOS/opacity treatment must be more</w:t>
      </w:r>
      <w:r>
        <w:rPr>
          <w:b/>
          <w:bCs/>
        </w:rPr>
        <w:t xml:space="preserve"> </w:t>
      </w:r>
      <w:r>
        <w:rPr>
          <w:b/>
          <w:bCs/>
        </w:rPr>
        <w:t xml:space="preserve">“favorable”</w:t>
      </w:r>
      <w:r>
        <w:rPr>
          <w:b/>
          <w:bCs/>
        </w:rPr>
        <w:t xml:space="preserve"> </w:t>
      </w:r>
      <w:r>
        <w:rPr>
          <w:b/>
          <w:bCs/>
        </w:rPr>
        <w:t xml:space="preserve">to foam burn than PROPACEOS.</w:t>
      </w:r>
    </w:p>
    <w:p>
      <w:pPr>
        <w:pStyle w:val="BodyText"/>
      </w:pPr>
      <w:r>
        <w:t xml:space="preserve">LILAC reports 87 MJ at the same thermodynamic state (V_peak, ρR, T_hs all matched to fab007). Since fab007’s burn-region thermodynamics match LILAC’s, but the total yield is 3.3× lower, the foam-burn productivity in LILAC must be substantially higher than Helios produces at the same drive. Three non-exclusive mechanisms could explain this:</w:t>
      </w:r>
    </w:p>
    <w:p>
      <w:pPr>
        <w:pStyle w:val="Compact"/>
        <w:numPr>
          <w:ilvl w:val="0"/>
          <w:numId w:val="1005"/>
        </w:numPr>
      </w:pPr>
      <w:r>
        <w:rPr>
          <w:b/>
          <w:bCs/>
        </w:rPr>
        <w:t xml:space="preserve">Softer LILAC foam EOS at strong-shock conditions.</w:t>
      </w:r>
      <w:r>
        <w:t xml:space="preserve"> </w:t>
      </w:r>
      <w:r>
        <w:t xml:space="preserve">LILAC’s foam Hugoniot may permit higher post-shock compression than PROPACEOS, raising burn-region density and n²⟨σv⟩ proportionally. The planar test in §2.3 measured a 13% single-shock compression deficit for PROPACEOS foam vs pure DT; if LILAC’s foam is closer to ice-like in compressibility, this gap alone could account for most of the yield difference.</w:t>
      </w:r>
    </w:p>
    <w:p>
      <w:pPr>
        <w:pStyle w:val="Compact"/>
        <w:numPr>
          <w:ilvl w:val="0"/>
          <w:numId w:val="1005"/>
        </w:numPr>
      </w:pPr>
      <w:r>
        <w:rPr>
          <w:b/>
          <w:bCs/>
        </w:rPr>
        <w:t xml:space="preserve">More transparent LILAC foam opacity / different alpha-transport treatment.</w:t>
      </w:r>
      <w:r>
        <w:t xml:space="preserve"> </w:t>
      </w:r>
      <w:r>
        <w:t xml:space="preserve">If LILAC’s foam radiates less during the burn (less brems trapping, different photon mean-free-paths, different atomic-physics modeling) or couples alpha energy into the foam volume more efficiently, the burn-front would propagate further into the foam at the same bootstrap strength.</w:t>
      </w:r>
    </w:p>
    <w:p>
      <w:pPr>
        <w:pStyle w:val="Compact"/>
        <w:numPr>
          <w:ilvl w:val="0"/>
          <w:numId w:val="1005"/>
        </w:numPr>
      </w:pPr>
      <w:r>
        <w:rPr>
          <w:b/>
          <w:bCs/>
        </w:rPr>
        <w:t xml:space="preserve">Combined EOS+opacity differences</w:t>
      </w:r>
      <w:r>
        <w:t xml:space="preserve"> </w:t>
      </w:r>
      <w:r>
        <w:t xml:space="preserve">that together amplify foam burn fraction by the required factor.</w:t>
      </w:r>
    </w:p>
    <w:p>
      <w:pPr>
        <w:pStyle w:val="FirstParagraph"/>
      </w:pPr>
      <w:r>
        <w:t xml:space="preserve">In any of these cases, the practical message for Xcimer is unambiguous:</w:t>
      </w:r>
    </w:p>
    <w:p>
      <w:pPr>
        <w:pStyle w:val="BlockText"/>
      </w:pPr>
      <w:r>
        <w:rPr>
          <w:b/>
          <w:bCs/>
        </w:rPr>
        <w:t xml:space="preserve">Helios will under-predict foam yield at any LILAC-thermo-matched drive setting.</w:t>
      </w:r>
      <w:r>
        <w:t xml:space="preserve"> </w:t>
      </w:r>
      <w:r>
        <w:t xml:space="preserve">To produce burn-relevant foam ignition in Helios with PROPACEOS materials, drive parameters must be modified beyond the LILAC calibration — specifically, the implosion must be moved into a bootstrap-strength regime (fab02-class V_peak ≈ 460 km/s, coupling ~84%) where the ice hot spot delivers significantly more alpha power to the foam volume than the marginal-ignition fab007 calibration provides.</w:t>
      </w:r>
    </w:p>
    <w:p>
      <w:pPr>
        <w:pStyle w:val="FirstParagraph"/>
      </w:pPr>
      <w:r>
        <w:t xml:space="preserve">This is not a defect in the fab007 calibration. fab007 is correctly calibrated</w:t>
      </w:r>
      <w:r>
        <w:t xml:space="preserve"> </w:t>
      </w:r>
      <w:r>
        <w:rPr>
          <w:i/>
          <w:iCs/>
        </w:rPr>
        <w:t xml:space="preserve">to LILAC’s thermodynamic state.</w:t>
      </w:r>
      <w:r>
        <w:t xml:space="preserve"> </w:t>
      </w:r>
      <w:r>
        <w:t xml:space="preserve">It is, however,</w:t>
      </w:r>
      <w:r>
        <w:t xml:space="preserve"> </w:t>
      </w:r>
      <w:r>
        <w:rPr>
          <w:b/>
          <w:bCs/>
        </w:rPr>
        <w:t xml:space="preserve">not the right Helios operating point for engineering design studies that require burn-relevant foam yield predictions</w:t>
      </w:r>
      <w:r>
        <w:t xml:space="preserve"> </w:t>
      </w:r>
      <w:r>
        <w:t xml:space="preserve">— those should anchor to fab02-class drive settings to exercise the foam-burn physics that Helios is capable of representing.</w:t>
      </w:r>
    </w:p>
    <w:p>
      <w:pPr>
        <w:pStyle w:val="BodyText"/>
      </w:pPr>
      <w:r>
        <w:t xml:space="preserve">The fab007 calibration point remains suitable for:</w:t>
      </w:r>
      <w:r>
        <w:t xml:space="preserve"> </w:t>
      </w:r>
      <w:r>
        <w:t xml:space="preserve">-</w:t>
      </w:r>
      <w:r>
        <w:t xml:space="preserve"> </w:t>
      </w:r>
      <w:r>
        <w:rPr>
          <w:b/>
          <w:bCs/>
        </w:rPr>
        <w:t xml:space="preserve">State-variable comparison</w:t>
      </w:r>
      <w:r>
        <w:t xml:space="preserve"> </w:t>
      </w:r>
      <w:r>
        <w:t xml:space="preserve">against LILAC/HYDRA published reference cases</w:t>
      </w:r>
      <w:r>
        <w:t xml:space="preserve"> </w:t>
      </w:r>
      <w:r>
        <w:t xml:space="preserve">-</w:t>
      </w:r>
      <w:r>
        <w:t xml:space="preserve"> </w:t>
      </w:r>
      <w:r>
        <w:rPr>
          <w:b/>
          <w:bCs/>
        </w:rPr>
        <w:t xml:space="preserve">Cross-code foam EOS/opacity diagnostic studies</w:t>
      </w:r>
      <w:r>
        <w:t xml:space="preserve"> </w:t>
      </w:r>
      <w:r>
        <w:t xml:space="preserve">at matched thermodynamic conditions</w:t>
      </w:r>
      <w:r>
        <w:t xml:space="preserve"> </w:t>
      </w:r>
      <w:r>
        <w:t xml:space="preserve">-</w:t>
      </w:r>
      <w:r>
        <w:t xml:space="preserve"> </w:t>
      </w:r>
      <w:r>
        <w:rPr>
          <w:b/>
          <w:bCs/>
        </w:rPr>
        <w:t xml:space="preserve">Sensitivity analysis</w:t>
      </w:r>
      <w:r>
        <w:t xml:space="preserve"> </w:t>
      </w:r>
      <w:r>
        <w:t xml:space="preserve">of drive-phase kinematics within the PROPACEOS material framework</w:t>
      </w:r>
    </w:p>
    <w:bookmarkEnd w:id="26"/>
    <w:bookmarkStart w:id="27" w:name="hdd-transfer-risk"/>
    <w:p>
      <w:pPr>
        <w:pStyle w:val="Heading3"/>
      </w:pPr>
      <w:r>
        <w:t xml:space="preserve">4.2 HDD transfer risk</w:t>
      </w:r>
    </w:p>
    <w:p>
      <w:pPr>
        <w:pStyle w:val="FirstParagraph"/>
      </w:pPr>
      <w:r>
        <w:t xml:space="preserve">Transferring fab007-style marginal-ignition foam calibration to HDD/VI_6-class targets is</w:t>
      </w:r>
      <w:r>
        <w:t xml:space="preserve"> </w:t>
      </w:r>
      <w:r>
        <w:rPr>
          <w:b/>
          <w:bCs/>
        </w:rPr>
        <w:t xml:space="preserve">a real risk for foam-burn underperformance</w:t>
      </w:r>
      <w:r>
        <w:t xml:space="preserve">. The mechanism is now understood:</w:t>
      </w:r>
      <w:r>
        <w:t xml:space="preserve"> </w:t>
      </w:r>
      <w:r>
        <w:t xml:space="preserve">- Wetted foam delivers ~80% the ablation pressure of pure DT at the same laser drive</w:t>
      </w:r>
      <w:r>
        <w:t xml:space="preserve"> </w:t>
      </w:r>
      <w:r>
        <w:t xml:space="preserve">- Wetted foam compresses ~87% as densely as pure DT behind the same shock</w:t>
      </w:r>
      <w:r>
        <w:t xml:space="preserve"> </w:t>
      </w:r>
      <w:r>
        <w:t xml:space="preserve">- Both effects compound through the implosion; at marginal-ignition drive levels, foam yield will under-perform proportional to the cumulative deficit</w:t>
      </w:r>
    </w:p>
    <w:p>
      <w:pPr>
        <w:pStyle w:val="BodyText"/>
      </w:pPr>
      <w:r>
        <w:rPr>
          <w:b/>
          <w:bCs/>
        </w:rPr>
        <w:t xml:space="preserve">Recommended mitigation:</w:t>
      </w:r>
      <w:r>
        <w:t xml:space="preserve"> </w:t>
      </w:r>
      <w:r>
        <w:t xml:space="preserve">Aim for a</w:t>
      </w:r>
      <w:r>
        <w:t xml:space="preserve"> </w:t>
      </w:r>
      <w:r>
        <w:rPr>
          <w:b/>
          <w:bCs/>
        </w:rPr>
        <w:t xml:space="preserve">bootstrap-strength drive regime</w:t>
      </w:r>
      <w:r>
        <w:t xml:space="preserve"> </w:t>
      </w:r>
      <w:r>
        <w:t xml:space="preserve">(analogous to fab02: cone=20°, spot=0.16 cm, FL_DT=0.06, FL_foam+CH=0.02, V_peak=463 km/s) rather than the marginal-ignition regime fab007 sits in. In the bootstrap regime, Helios demonstrates 26.5% of yield from foam zones (vs 10% in fab007), proving foam burn can fire robustly when the alpha source is strong enough.</w:t>
      </w:r>
    </w:p>
    <w:bookmarkEnd w:id="27"/>
    <w:bookmarkStart w:id="28" w:name="recommendations"/>
    <w:p>
      <w:pPr>
        <w:pStyle w:val="Heading3"/>
      </w:pPr>
      <w:r>
        <w:t xml:space="preserve">4.3 Recommendations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Rationale</w:t>
            </w:r>
          </w:p>
        </w:tc>
      </w:tr>
      <w:tr>
        <w:tc>
          <w:tcPr/>
          <w:p>
            <w:pPr>
              <w:pStyle w:val="Compact"/>
            </w:pPr>
            <w:r>
              <w:t xml:space="preserve">Near</w:t>
            </w:r>
          </w:p>
        </w:tc>
        <w:tc>
          <w:tcPr/>
          <w:p>
            <w:pPr>
              <w:pStyle w:val="Compact"/>
            </w:pPr>
            <w:r>
              <w:t xml:space="preserve">Cross-code foam EOS/opacity comparison (PROPACEOS vs LILAC equivalent)</w:t>
            </w:r>
          </w:p>
        </w:tc>
        <w:tc>
          <w:tcPr/>
          <w:p>
            <w:pPr>
              <w:pStyle w:val="Compact"/>
            </w:pPr>
            <w:r>
              <w:t xml:space="preserve">Close the remaining 3× LILAC-vs-Helios residual</w:t>
            </w:r>
          </w:p>
        </w:tc>
      </w:tr>
      <w:tr>
        <w:tc>
          <w:tcPr/>
          <w:p>
            <w:pPr>
              <w:pStyle w:val="Compact"/>
            </w:pPr>
            <w:r>
              <w:t xml:space="preserve">Near</w:t>
            </w:r>
          </w:p>
        </w:tc>
        <w:tc>
          <w:tcPr/>
          <w:p>
            <w:pPr>
              <w:pStyle w:val="Compact"/>
            </w:pPr>
            <w:r>
              <w:t xml:space="preserve">Parametric planar tests at varying CH binder fraction</w:t>
            </w:r>
          </w:p>
        </w:tc>
        <w:tc>
          <w:tcPr/>
          <w:p>
            <w:pPr>
              <w:pStyle w:val="Compact"/>
            </w:pPr>
            <w:r>
              <w:t xml:space="preserve">Map compression deficit as engineering lever (lower CH → less deficit?)</w:t>
            </w:r>
          </w:p>
        </w:tc>
      </w:tr>
      <w:tr>
        <w:tc>
          <w:tcPr/>
          <w:p>
            <w:pPr>
              <w:pStyle w:val="Compact"/>
            </w:pPr>
            <w:r>
              <w:t xml:space="preserve">Medium</w:t>
            </w:r>
          </w:p>
        </w:tc>
        <w:tc>
          <w:tcPr/>
          <w:p>
            <w:pPr>
              <w:pStyle w:val="Compact"/>
            </w:pPr>
            <w:r>
              <w:t xml:space="preserve">HDD calibration transfer using fab02 settings as drive anchor (not fab007)</w:t>
            </w:r>
          </w:p>
        </w:tc>
        <w:tc>
          <w:tcPr/>
          <w:p>
            <w:pPr>
              <w:pStyle w:val="Compact"/>
            </w:pPr>
            <w:r>
              <w:t xml:space="preserve">Land in bootstrap-strength regime where foam fires</w:t>
            </w:r>
          </w:p>
        </w:tc>
      </w:tr>
      <w:tr>
        <w:tc>
          <w:tcPr/>
          <w:p>
            <w:pPr>
              <w:pStyle w:val="Compact"/>
            </w:pPr>
            <w:r>
              <w:t xml:space="preserve">Medium</w:t>
            </w:r>
          </w:p>
        </w:tc>
        <w:tc>
          <w:tcPr/>
          <w:p>
            <w:pPr>
              <w:pStyle w:val="Compact"/>
            </w:pPr>
            <w:r>
              <w:t xml:space="preserve">Document foam material design space for fabrication / fielding decisions</w:t>
            </w:r>
          </w:p>
        </w:tc>
        <w:tc>
          <w:tcPr/>
          <w:p>
            <w:pPr>
              <w:pStyle w:val="Compact"/>
            </w:pPr>
            <w:r>
              <w:t xml:space="preserve">Engineering input to Xcimer target manufacturing</w:t>
            </w:r>
          </w:p>
        </w:tc>
      </w:tr>
      <w:tr>
        <w:tc>
          <w:tcPr/>
          <w:p>
            <w:pPr>
              <w:pStyle w:val="Compact"/>
            </w:pPr>
            <w:r>
              <w:t xml:space="preserve">Lower</w:t>
            </w:r>
          </w:p>
        </w:tc>
        <w:tc>
          <w:tcPr/>
          <w:p>
            <w:pPr>
              <w:pStyle w:val="Compact"/>
            </w:pPr>
            <w:r>
              <w:t xml:space="preserve">Re-examine FL transition regime via fab003 (FL_prism=0.003)</w:t>
            </w:r>
          </w:p>
        </w:tc>
        <w:tc>
          <w:tcPr/>
          <w:p>
            <w:pPr>
              <w:pStyle w:val="Compact"/>
            </w:pPr>
            <w:r>
              <w:t xml:space="preserve">Diagnostic completeness</w:t>
            </w:r>
          </w:p>
        </w:tc>
      </w:tr>
    </w:tbl>
    <w:p>
      <w:r>
        <w:pict>
          <v:rect style="width:0;height:1.5pt" o:hralign="center" o:hrstd="t" o:hr="t"/>
        </w:pict>
      </w:r>
    </w:p>
    <w:bookmarkEnd w:id="28"/>
    <w:bookmarkEnd w:id="29"/>
    <w:bookmarkStart w:id="35" w:name="Xfe7474e04d1b42c5f54fa3eb4c5eb3671bdc77d"/>
    <w:p>
      <w:pPr>
        <w:pStyle w:val="Heading2"/>
      </w:pPr>
      <w:r>
        <w:t xml:space="preserve">5. Design Study: Recovering Foam-Burn Productivity with FL=0.012</w:t>
      </w:r>
    </w:p>
    <w:p>
      <w:pPr>
        <w:pStyle w:val="FirstParagraph"/>
      </w:pPr>
      <w:r>
        <w:t xml:space="preserve">Following the §4 conclusion that PROPACEOS-foam material physics is the source of the LILAC-vs-Helios yield gap, we conducted a design study to answer:</w:t>
      </w:r>
      <w:r>
        <w:t xml:space="preserve"> </w:t>
      </w:r>
      <w:r>
        <w:rPr>
          <w:b/>
          <w:bCs/>
        </w:rPr>
        <w:t xml:space="preserve">can Helios’s PROPACEOS foam be burned to near-LILAC yield given sufficient drive, and what is the optimal operating point in the geometric design space?</w:t>
      </w:r>
    </w:p>
    <w:bookmarkStart w:id="30" w:name="setup"/>
    <w:p>
      <w:pPr>
        <w:pStyle w:val="Heading3"/>
      </w:pPr>
      <w:r>
        <w:t xml:space="preserve">5.1 Setup</w:t>
      </w:r>
    </w:p>
    <w:p>
      <w:pPr>
        <w:pStyle w:val="FirstParagraph"/>
      </w:pPr>
      <w:r>
        <w:t xml:space="preserve">A separately calibrated update to Helios’s flux-limiter convention placed the corrected global value at</w:t>
      </w:r>
      <w:r>
        <w:t xml:space="preserve"> </w:t>
      </w:r>
      <w:r>
        <w:rPr>
          <w:b/>
          <w:bCs/>
        </w:rPr>
        <w:t xml:space="preserve">FL_prism = 0.012</w:t>
      </w:r>
      <w:r>
        <w:t xml:space="preserve"> </w:t>
      </w:r>
      <w:r>
        <w:t xml:space="preserve">(replacing the per-region 0.06 DT / 0.007 foam-CH split used in fab007 production). At this updated FL value, a 5-point cone-angle sweep with coordinated spot+focus tightening: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jc w:val="right"/>
            </w:pPr>
            <w:r>
              <w:t xml:space="preserve">Cone</w:t>
            </w:r>
          </w:p>
        </w:tc>
        <w:tc>
          <w:tcPr/>
          <w:p>
            <w:pPr>
              <w:pStyle w:val="Compact"/>
              <w:jc w:val="right"/>
            </w:pPr>
            <w:r>
              <w:t xml:space="preserve">Spot (cm)</w:t>
            </w:r>
          </w:p>
        </w:tc>
        <w:tc>
          <w:tcPr/>
          <w:p>
            <w:pPr>
              <w:pStyle w:val="Compact"/>
              <w:jc w:val="right"/>
            </w:pPr>
            <w:r>
              <w:t xml:space="preserve">Focus (cm)</w:t>
            </w:r>
          </w:p>
        </w:tc>
      </w:tr>
      <w:tr>
        <w:tc>
          <w:tcPr/>
          <w:p>
            <w:pPr>
              <w:pStyle w:val="Compact"/>
            </w:pPr>
            <w:r>
              <w:rPr>
                <w:rStyle w:val="VerbatimChar"/>
              </w:rPr>
              <w:t xml:space="preserve">wf_fl012_baseline_burn</w:t>
            </w:r>
          </w:p>
        </w:tc>
        <w:tc>
          <w:tcPr/>
          <w:p>
            <w:pPr>
              <w:pStyle w:val="Compact"/>
              <w:jc w:val="right"/>
            </w:pPr>
            <w:r>
              <w:t xml:space="preserve">37°</w:t>
            </w:r>
          </w:p>
        </w:tc>
        <w:tc>
          <w:tcPr/>
          <w:p>
            <w:pPr>
              <w:pStyle w:val="Compact"/>
              <w:jc w:val="right"/>
            </w:pPr>
            <w:r>
              <w:t xml:space="preserve">0.18</w:t>
            </w:r>
          </w:p>
        </w:tc>
        <w:tc>
          <w:tcPr/>
          <w:p>
            <w:pPr>
              <w:pStyle w:val="Compact"/>
              <w:jc w:val="right"/>
            </w:pPr>
            <w:r>
              <w:t xml:space="preserve">0.22 (= fab007 geom)</w:t>
            </w:r>
          </w:p>
        </w:tc>
      </w:tr>
      <w:tr>
        <w:tc>
          <w:tcPr/>
          <w:p>
            <w:pPr>
              <w:pStyle w:val="Compact"/>
            </w:pPr>
            <w:r>
              <w:rPr>
                <w:rStyle w:val="VerbatimChar"/>
              </w:rPr>
              <w:t xml:space="preserve">wf_fl012_c33_burn</w:t>
            </w:r>
          </w:p>
        </w:tc>
        <w:tc>
          <w:tcPr/>
          <w:p>
            <w:pPr>
              <w:pStyle w:val="Compact"/>
              <w:jc w:val="right"/>
            </w:pPr>
            <w:r>
              <w:t xml:space="preserve">33°</w:t>
            </w:r>
          </w:p>
        </w:tc>
        <w:tc>
          <w:tcPr/>
          <w:p>
            <w:pPr>
              <w:pStyle w:val="Compact"/>
              <w:jc w:val="right"/>
            </w:pPr>
            <w:r>
              <w:t xml:space="preserve">0.16</w:t>
            </w:r>
          </w:p>
        </w:tc>
        <w:tc>
          <w:tcPr/>
          <w:p>
            <w:pPr>
              <w:pStyle w:val="Compact"/>
              <w:jc w:val="right"/>
            </w:pPr>
            <w:r>
              <w:t xml:space="preserve">0.20</w:t>
            </w:r>
          </w:p>
        </w:tc>
      </w:tr>
      <w:tr>
        <w:tc>
          <w:tcPr/>
          <w:p>
            <w:pPr>
              <w:pStyle w:val="Compact"/>
            </w:pPr>
            <w:r>
              <w:rPr>
                <w:rStyle w:val="VerbatimChar"/>
              </w:rPr>
              <w:t xml:space="preserve">wf_fl012_c28_burn</w:t>
            </w:r>
          </w:p>
        </w:tc>
        <w:tc>
          <w:tcPr/>
          <w:p>
            <w:pPr>
              <w:pStyle w:val="Compact"/>
              <w:jc w:val="right"/>
            </w:pPr>
            <w:r>
              <w:t xml:space="preserve">28°</w:t>
            </w:r>
          </w:p>
        </w:tc>
        <w:tc>
          <w:tcPr/>
          <w:p>
            <w:pPr>
              <w:pStyle w:val="Compact"/>
              <w:jc w:val="right"/>
            </w:pPr>
            <w:r>
              <w:t xml:space="preserve">0.16</w:t>
            </w:r>
          </w:p>
        </w:tc>
        <w:tc>
          <w:tcPr/>
          <w:p>
            <w:pPr>
              <w:pStyle w:val="Compact"/>
              <w:jc w:val="right"/>
            </w:pPr>
            <w:r>
              <w:t xml:space="preserve">0.18</w:t>
            </w:r>
          </w:p>
        </w:tc>
      </w:tr>
      <w:tr>
        <w:tc>
          <w:tcPr/>
          <w:p>
            <w:pPr>
              <w:pStyle w:val="Compact"/>
            </w:pPr>
            <w:r>
              <w:rPr>
                <w:rStyle w:val="VerbatimChar"/>
              </w:rPr>
              <w:t xml:space="preserve">wf_fl012_c25_burn</w:t>
            </w:r>
          </w:p>
        </w:tc>
        <w:tc>
          <w:tcPr/>
          <w:p>
            <w:pPr>
              <w:pStyle w:val="Compact"/>
              <w:jc w:val="right"/>
            </w:pPr>
            <w:r>
              <w:t xml:space="preserve">25°</w:t>
            </w:r>
          </w:p>
        </w:tc>
        <w:tc>
          <w:tcPr/>
          <w:p>
            <w:pPr>
              <w:pStyle w:val="Compact"/>
              <w:jc w:val="right"/>
            </w:pPr>
            <w:r>
              <w:t xml:space="preserve">0.14</w:t>
            </w:r>
          </w:p>
        </w:tc>
        <w:tc>
          <w:tcPr/>
          <w:p>
            <w:pPr>
              <w:pStyle w:val="Compact"/>
              <w:jc w:val="right"/>
            </w:pPr>
            <w:r>
              <w:t xml:space="preserve">0.16</w:t>
            </w:r>
          </w:p>
        </w:tc>
      </w:tr>
      <w:tr>
        <w:tc>
          <w:tcPr/>
          <w:p>
            <w:pPr>
              <w:pStyle w:val="Compact"/>
            </w:pPr>
            <w:r>
              <w:rPr>
                <w:rStyle w:val="VerbatimChar"/>
              </w:rPr>
              <w:t xml:space="preserve">wf_fl012_c20_burn</w:t>
            </w:r>
          </w:p>
        </w:tc>
        <w:tc>
          <w:tcPr/>
          <w:p>
            <w:pPr>
              <w:pStyle w:val="Compact"/>
              <w:jc w:val="right"/>
            </w:pPr>
            <w:r>
              <w:t xml:space="preserve">20°</w:t>
            </w:r>
          </w:p>
        </w:tc>
        <w:tc>
          <w:tcPr/>
          <w:p>
            <w:pPr>
              <w:pStyle w:val="Compact"/>
              <w:jc w:val="right"/>
            </w:pPr>
            <w:r>
              <w:t xml:space="preserve">0.14</w:t>
            </w:r>
          </w:p>
        </w:tc>
        <w:tc>
          <w:tcPr/>
          <w:p>
            <w:pPr>
              <w:pStyle w:val="Compact"/>
              <w:jc w:val="right"/>
            </w:pPr>
            <w:r>
              <w:t xml:space="preserve">0.15</w:t>
            </w:r>
          </w:p>
        </w:tc>
      </w:tr>
    </w:tbl>
    <w:p>
      <w:pPr>
        <w:pStyle w:val="BodyText"/>
      </w:pPr>
      <w:r>
        <w:t xml:space="preserve">All runs use the standard Olson-2021 wetted-foam target, identical 25 TW foot / 329 TW peak pulse, non-local α-deposition, burn on, FL_prism = 0.012 applied uniformly to all 4 regions.</w:t>
      </w:r>
    </w:p>
    <w:bookmarkEnd w:id="30"/>
    <w:bookmarkStart w:id="31" w:name="X7068546e826280abaa1cef98739755619c9c049"/>
    <w:p>
      <w:pPr>
        <w:pStyle w:val="Heading3"/>
      </w:pPr>
      <w:r>
        <w:t xml:space="preserve">5.2 Decision matrix — the curve is a two-plateau staircase</w:t>
      </w:r>
    </w:p>
    <w:tbl>
      <w:tblPr>
        <w:tblStyle w:val="Table"/>
        <w:tblW w:type="pct" w:w="5000"/>
        <w:tblLayout w:type="fixed"/>
        <w:tblLook w:firstRow="1" w:lastRow="0" w:firstColumn="0" w:lastColumn="0" w:noHBand="0" w:noVBand="0" w:val="0020"/>
      </w:tblPr>
      <w:tblGrid>
        <w:gridCol w:w="698"/>
        <w:gridCol w:w="931"/>
        <w:gridCol w:w="931"/>
        <w:gridCol w:w="931"/>
        <w:gridCol w:w="931"/>
        <w:gridCol w:w="931"/>
        <w:gridCol w:w="931"/>
        <w:gridCol w:w="931"/>
        <w:gridCol w:w="698"/>
      </w:tblGrid>
      <w:tr>
        <w:trPr>
          <w:tblHeader w:val="on"/>
        </w:trPr>
        <w:tc>
          <w:tcPr/>
          <w:p>
            <w:pPr>
              <w:pStyle w:val="Compact"/>
            </w:pPr>
            <w:r>
              <w:t xml:space="preserve">Config</w:t>
            </w:r>
          </w:p>
        </w:tc>
        <w:tc>
          <w:tcPr/>
          <w:p>
            <w:pPr>
              <w:pStyle w:val="Compact"/>
              <w:jc w:val="right"/>
            </w:pPr>
            <w:r>
              <w:t xml:space="preserve">V_peak (km/s)</w:t>
            </w:r>
          </w:p>
        </w:tc>
        <w:tc>
          <w:tcPr/>
          <w:p>
            <w:pPr>
              <w:pStyle w:val="Compact"/>
              <w:jc w:val="right"/>
            </w:pPr>
            <w:r>
              <w:t xml:space="preserve">Coupling %</w:t>
            </w:r>
          </w:p>
        </w:tc>
        <w:tc>
          <w:tcPr/>
          <w:p>
            <w:pPr>
              <w:pStyle w:val="Compact"/>
              <w:jc w:val="right"/>
            </w:pPr>
            <w:r>
              <w:t xml:space="preserve">Yield (MJ)</w:t>
            </w:r>
          </w:p>
        </w:tc>
        <w:tc>
          <w:tcPr/>
          <w:p>
            <w:pPr>
              <w:pStyle w:val="Compact"/>
              <w:jc w:val="right"/>
            </w:pPr>
            <w:r>
              <w:t xml:space="preserve">HS ρR</w:t>
            </w:r>
          </w:p>
        </w:tc>
        <w:tc>
          <w:tcPr/>
          <w:p>
            <w:pPr>
              <w:pStyle w:val="Compact"/>
              <w:jc w:val="right"/>
            </w:pPr>
            <w:r>
              <w:t xml:space="preserve">Mean foam ρ (g/cc)</w:t>
            </w:r>
          </w:p>
        </w:tc>
        <w:tc>
          <w:tcPr/>
          <w:p>
            <w:pPr>
              <w:pStyle w:val="Compact"/>
              <w:jc w:val="right"/>
            </w:pPr>
            <w:r>
              <w:rPr>
                <w:b/>
                <w:bCs/>
              </w:rPr>
              <w:t xml:space="preserve">Foam yield share</w:t>
            </w:r>
          </w:p>
        </w:tc>
        <w:tc>
          <w:tcPr/>
          <w:p>
            <w:pPr>
              <w:pStyle w:val="Compact"/>
              <w:jc w:val="right"/>
            </w:pPr>
            <w:r>
              <w:t xml:space="preserve">Adiabat</w:t>
            </w:r>
          </w:p>
        </w:tc>
        <w:tc>
          <w:tcPr/>
          <w:p>
            <w:pPr>
              <w:pStyle w:val="Compact"/>
            </w:pPr>
            <w:r>
              <w:t xml:space="preserve">Verdict</w:t>
            </w:r>
          </w:p>
        </w:tc>
      </w:tr>
      <w:tr>
        <w:tc>
          <w:tcPr/>
          <w:p>
            <w:pPr>
              <w:pStyle w:val="Compact"/>
            </w:pPr>
            <w:r>
              <w:t xml:space="preserve">fab007 production</w:t>
            </w:r>
          </w:p>
        </w:tc>
        <w:tc>
          <w:tcPr/>
          <w:p>
            <w:pPr>
              <w:pStyle w:val="Compact"/>
              <w:jc w:val="right"/>
            </w:pPr>
            <w:r>
              <w:t xml:space="preserve">421</w:t>
            </w:r>
          </w:p>
        </w:tc>
        <w:tc>
          <w:tcPr/>
          <w:p>
            <w:pPr>
              <w:pStyle w:val="Compact"/>
              <w:jc w:val="right"/>
            </w:pPr>
            <w:r>
              <w:t xml:space="preserve">73.1</w:t>
            </w:r>
          </w:p>
        </w:tc>
        <w:tc>
          <w:tcPr/>
          <w:p>
            <w:pPr>
              <w:pStyle w:val="Compact"/>
              <w:jc w:val="right"/>
            </w:pPr>
            <w:r>
              <w:t xml:space="preserve">26.0</w:t>
            </w:r>
          </w:p>
        </w:tc>
        <w:tc>
          <w:tcPr/>
          <w:p>
            <w:pPr>
              <w:pStyle w:val="Compact"/>
              <w:jc w:val="right"/>
            </w:pPr>
            <w:r>
              <w:t xml:space="preserve">0.35</w:t>
            </w:r>
          </w:p>
        </w:tc>
        <w:tc>
          <w:tcPr/>
          <w:p>
            <w:pPr>
              <w:pStyle w:val="Compact"/>
              <w:jc w:val="right"/>
            </w:pPr>
            <w:r>
              <w:t xml:space="preserve">12</w:t>
            </w:r>
          </w:p>
        </w:tc>
        <w:tc>
          <w:tcPr/>
          <w:p>
            <w:pPr>
              <w:pStyle w:val="Compact"/>
              <w:jc w:val="right"/>
            </w:pPr>
            <w:r>
              <w:t xml:space="preserve">10.1%</w:t>
            </w:r>
          </w:p>
        </w:tc>
        <w:tc>
          <w:tcPr/>
          <w:p>
            <w:pPr>
              <w:pStyle w:val="Compact"/>
              <w:jc w:val="right"/>
            </w:pPr>
            <w:r>
              <w:t xml:space="preserve">1.95</w:t>
            </w:r>
          </w:p>
        </w:tc>
        <w:tc>
          <w:tcPr/>
          <w:p>
            <w:pPr>
              <w:pStyle w:val="Compact"/>
            </w:pPr>
            <w:r>
              <w:t xml:space="preserve">reference</w:t>
            </w:r>
          </w:p>
        </w:tc>
      </w:tr>
      <w:tr>
        <w:tc>
          <w:tcPr/>
          <w:p>
            <w:pPr>
              <w:pStyle w:val="Compact"/>
            </w:pPr>
            <w:r>
              <w:t xml:space="preserve">baseline_burn (37°)</w:t>
            </w:r>
          </w:p>
        </w:tc>
        <w:tc>
          <w:tcPr/>
          <w:p>
            <w:pPr>
              <w:pStyle w:val="Compact"/>
              <w:jc w:val="right"/>
            </w:pPr>
            <w:r>
              <w:t xml:space="preserve">428</w:t>
            </w:r>
          </w:p>
        </w:tc>
        <w:tc>
          <w:tcPr/>
          <w:p>
            <w:pPr>
              <w:pStyle w:val="Compact"/>
              <w:jc w:val="right"/>
            </w:pPr>
            <w:r>
              <w:t xml:space="preserve">74.9</w:t>
            </w:r>
          </w:p>
        </w:tc>
        <w:tc>
          <w:tcPr/>
          <w:p>
            <w:pPr>
              <w:pStyle w:val="Compact"/>
              <w:jc w:val="right"/>
            </w:pPr>
            <w:r>
              <w:rPr>
                <w:b/>
                <w:bCs/>
              </w:rPr>
              <w:t xml:space="preserve">33.0</w:t>
            </w:r>
          </w:p>
        </w:tc>
        <w:tc>
          <w:tcPr/>
          <w:p>
            <w:pPr>
              <w:pStyle w:val="Compact"/>
              <w:jc w:val="right"/>
            </w:pPr>
            <w:r>
              <w:t xml:space="preserve">0.39</w:t>
            </w:r>
          </w:p>
        </w:tc>
        <w:tc>
          <w:tcPr/>
          <w:p>
            <w:pPr>
              <w:pStyle w:val="Compact"/>
              <w:jc w:val="right"/>
            </w:pPr>
            <w:r>
              <w:t xml:space="preserve">35</w:t>
            </w:r>
          </w:p>
        </w:tc>
        <w:tc>
          <w:tcPr/>
          <w:p>
            <w:pPr>
              <w:pStyle w:val="Compact"/>
              <w:jc w:val="right"/>
            </w:pPr>
            <w:r>
              <w:rPr>
                <w:b/>
                <w:bCs/>
              </w:rPr>
              <w:t xml:space="preserve">14.0%</w:t>
            </w:r>
          </w:p>
        </w:tc>
        <w:tc>
          <w:tcPr/>
          <w:p>
            <w:pPr>
              <w:pStyle w:val="Compact"/>
              <w:jc w:val="right"/>
            </w:pPr>
            <w:r>
              <w:t xml:space="preserve">1.65</w:t>
            </w:r>
          </w:p>
        </w:tc>
        <w:tc>
          <w:tcPr/>
          <w:p>
            <w:pPr>
              <w:pStyle w:val="Compact"/>
            </w:pPr>
            <w:r>
              <w:t xml:space="preserve">marginal</w:t>
            </w:r>
          </w:p>
        </w:tc>
      </w:tr>
      <w:tr>
        <w:tc>
          <w:tcPr/>
          <w:p>
            <w:pPr>
              <w:pStyle w:val="Compact"/>
            </w:pPr>
            <w:r>
              <w:rPr>
                <w:b/>
                <w:bCs/>
              </w:rPr>
              <w:t xml:space="preserve">c33_burn (33°)</w:t>
            </w:r>
          </w:p>
        </w:tc>
        <w:tc>
          <w:tcPr/>
          <w:p>
            <w:pPr>
              <w:pStyle w:val="Compact"/>
              <w:jc w:val="right"/>
            </w:pPr>
            <w:r>
              <w:t xml:space="preserve">447</w:t>
            </w:r>
          </w:p>
        </w:tc>
        <w:tc>
          <w:tcPr/>
          <w:p>
            <w:pPr>
              <w:pStyle w:val="Compact"/>
              <w:jc w:val="right"/>
            </w:pPr>
            <w:r>
              <w:t xml:space="preserve">79.6</w:t>
            </w:r>
          </w:p>
        </w:tc>
        <w:tc>
          <w:tcPr/>
          <w:p>
            <w:pPr>
              <w:pStyle w:val="Compact"/>
              <w:jc w:val="right"/>
            </w:pPr>
            <w:r>
              <w:rPr>
                <w:b/>
                <w:bCs/>
              </w:rPr>
              <w:t xml:space="preserve">54.9</w:t>
            </w:r>
          </w:p>
        </w:tc>
        <w:tc>
          <w:tcPr/>
          <w:p>
            <w:pPr>
              <w:pStyle w:val="Compact"/>
              <w:jc w:val="right"/>
            </w:pPr>
            <w:r>
              <w:t xml:space="preserve">0.53</w:t>
            </w:r>
          </w:p>
        </w:tc>
        <w:tc>
          <w:tcPr/>
          <w:p>
            <w:pPr>
              <w:pStyle w:val="Compact"/>
              <w:jc w:val="right"/>
            </w:pPr>
            <w:r>
              <w:t xml:space="preserve">45</w:t>
            </w:r>
          </w:p>
        </w:tc>
        <w:tc>
          <w:tcPr/>
          <w:p>
            <w:pPr>
              <w:pStyle w:val="Compact"/>
              <w:jc w:val="right"/>
            </w:pPr>
            <w:r>
              <w:rPr>
                <w:b/>
                <w:bCs/>
              </w:rPr>
              <w:t xml:space="preserve">25.3%</w:t>
            </w:r>
          </w:p>
        </w:tc>
        <w:tc>
          <w:tcPr/>
          <w:p>
            <w:pPr>
              <w:pStyle w:val="Compact"/>
              <w:jc w:val="right"/>
            </w:pPr>
            <w:r>
              <w:t xml:space="preserve">1.54</w:t>
            </w:r>
          </w:p>
        </w:tc>
        <w:tc>
          <w:tcPr/>
          <w:p>
            <w:pPr>
              <w:pStyle w:val="Compact"/>
            </w:pPr>
            <w:r>
              <w:rPr>
                <w:b/>
                <w:bCs/>
              </w:rPr>
              <w:t xml:space="preserve">strong foam burn</w:t>
            </w:r>
          </w:p>
        </w:tc>
      </w:tr>
      <w:tr>
        <w:tc>
          <w:tcPr/>
          <w:p>
            <w:pPr>
              <w:pStyle w:val="Compact"/>
            </w:pPr>
            <w:r>
              <w:rPr>
                <w:b/>
                <w:bCs/>
              </w:rPr>
              <w:t xml:space="preserve">c28_burn (28°)</w:t>
            </w:r>
          </w:p>
        </w:tc>
        <w:tc>
          <w:tcPr/>
          <w:p>
            <w:pPr>
              <w:pStyle w:val="Compact"/>
              <w:jc w:val="right"/>
            </w:pPr>
            <w:r>
              <w:t xml:space="preserve">448</w:t>
            </w:r>
          </w:p>
        </w:tc>
        <w:tc>
          <w:tcPr/>
          <w:p>
            <w:pPr>
              <w:pStyle w:val="Compact"/>
              <w:jc w:val="right"/>
            </w:pPr>
            <w:r>
              <w:t xml:space="preserve">81.4</w:t>
            </w:r>
          </w:p>
        </w:tc>
        <w:tc>
          <w:tcPr/>
          <w:p>
            <w:pPr>
              <w:pStyle w:val="Compact"/>
              <w:jc w:val="right"/>
            </w:pPr>
            <w:r>
              <w:rPr>
                <w:b/>
                <w:bCs/>
              </w:rPr>
              <w:t xml:space="preserve">55.5</w:t>
            </w:r>
          </w:p>
        </w:tc>
        <w:tc>
          <w:tcPr/>
          <w:p>
            <w:pPr>
              <w:pStyle w:val="Compact"/>
              <w:jc w:val="right"/>
            </w:pPr>
            <w:r>
              <w:t xml:space="preserve">0.53</w:t>
            </w:r>
          </w:p>
        </w:tc>
        <w:tc>
          <w:tcPr/>
          <w:p>
            <w:pPr>
              <w:pStyle w:val="Compact"/>
              <w:jc w:val="right"/>
            </w:pPr>
            <w:r>
              <w:rPr>
                <w:b/>
                <w:bCs/>
              </w:rPr>
              <w:t xml:space="preserve">61.6</w:t>
            </w:r>
          </w:p>
        </w:tc>
        <w:tc>
          <w:tcPr/>
          <w:p>
            <w:pPr>
              <w:pStyle w:val="Compact"/>
              <w:jc w:val="right"/>
            </w:pPr>
            <w:r>
              <w:rPr>
                <w:b/>
                <w:bCs/>
              </w:rPr>
              <w:t xml:space="preserve">25.5%</w:t>
            </w:r>
          </w:p>
        </w:tc>
        <w:tc>
          <w:tcPr/>
          <w:p>
            <w:pPr>
              <w:pStyle w:val="Compact"/>
              <w:jc w:val="right"/>
            </w:pPr>
            <w:r>
              <w:t xml:space="preserve">0.98</w:t>
            </w:r>
          </w:p>
        </w:tc>
        <w:tc>
          <w:tcPr/>
          <w:p>
            <w:pPr>
              <w:pStyle w:val="Compact"/>
            </w:pPr>
            <w:r>
              <w:rPr>
                <w:b/>
                <w:bCs/>
              </w:rPr>
              <w:t xml:space="preserve">strong foam burn</w:t>
            </w:r>
          </w:p>
        </w:tc>
      </w:tr>
      <w:tr>
        <w:tc>
          <w:tcPr/>
          <w:p>
            <w:pPr>
              <w:pStyle w:val="Compact"/>
            </w:pPr>
            <w:r>
              <w:rPr>
                <w:b/>
                <w:bCs/>
              </w:rPr>
              <w:t xml:space="preserve">c25_burn (25°)</w:t>
            </w:r>
          </w:p>
        </w:tc>
        <w:tc>
          <w:tcPr/>
          <w:p>
            <w:pPr>
              <w:pStyle w:val="Compact"/>
              <w:jc w:val="right"/>
            </w:pPr>
            <w:r>
              <w:t xml:space="preserve">470</w:t>
            </w:r>
          </w:p>
        </w:tc>
        <w:tc>
          <w:tcPr/>
          <w:p>
            <w:pPr>
              <w:pStyle w:val="Compact"/>
              <w:jc w:val="right"/>
            </w:pPr>
            <w:r>
              <w:t xml:space="preserve">85.3</w:t>
            </w:r>
          </w:p>
        </w:tc>
        <w:tc>
          <w:tcPr/>
          <w:p>
            <w:pPr>
              <w:pStyle w:val="Compact"/>
              <w:jc w:val="right"/>
            </w:pPr>
            <w:r>
              <w:rPr>
                <w:b/>
                <w:bCs/>
              </w:rPr>
              <w:t xml:space="preserve">69.2</w:t>
            </w:r>
          </w:p>
        </w:tc>
        <w:tc>
          <w:tcPr/>
          <w:p>
            <w:pPr>
              <w:pStyle w:val="Compact"/>
              <w:jc w:val="right"/>
            </w:pPr>
            <w:r>
              <w:t xml:space="preserve">0.64</w:t>
            </w:r>
          </w:p>
        </w:tc>
        <w:tc>
          <w:tcPr/>
          <w:p>
            <w:pPr>
              <w:pStyle w:val="Compact"/>
              <w:jc w:val="right"/>
            </w:pPr>
            <w:r>
              <w:t xml:space="preserve">31</w:t>
            </w:r>
          </w:p>
        </w:tc>
        <w:tc>
          <w:tcPr/>
          <w:p>
            <w:pPr>
              <w:pStyle w:val="Compact"/>
              <w:jc w:val="right"/>
            </w:pPr>
            <w:r>
              <w:rPr>
                <w:b/>
                <w:bCs/>
              </w:rPr>
              <w:t xml:space="preserve">31.1%</w:t>
            </w:r>
          </w:p>
        </w:tc>
        <w:tc>
          <w:tcPr/>
          <w:p>
            <w:pPr>
              <w:pStyle w:val="Compact"/>
              <w:jc w:val="right"/>
            </w:pPr>
            <w:r>
              <w:t xml:space="preserve">1.01</w:t>
            </w:r>
          </w:p>
        </w:tc>
        <w:tc>
          <w:tcPr/>
          <w:p>
            <w:pPr>
              <w:pStyle w:val="Compact"/>
            </w:pPr>
            <w:r>
              <w:rPr>
                <w:b/>
                <w:bCs/>
              </w:rPr>
              <w:t xml:space="preserve">strong foam burn</w:t>
            </w:r>
          </w:p>
        </w:tc>
      </w:tr>
      <w:tr>
        <w:tc>
          <w:tcPr/>
          <w:p>
            <w:pPr>
              <w:pStyle w:val="Compact"/>
            </w:pPr>
            <w:r>
              <w:rPr>
                <w:b/>
                <w:bCs/>
              </w:rPr>
              <w:t xml:space="preserve">c20_burn (20°)</w:t>
            </w:r>
          </w:p>
        </w:tc>
        <w:tc>
          <w:tcPr/>
          <w:p>
            <w:pPr>
              <w:pStyle w:val="Compact"/>
              <w:jc w:val="right"/>
            </w:pPr>
            <w:r>
              <w:t xml:space="preserve">472</w:t>
            </w:r>
          </w:p>
        </w:tc>
        <w:tc>
          <w:tcPr/>
          <w:p>
            <w:pPr>
              <w:pStyle w:val="Compact"/>
              <w:jc w:val="right"/>
            </w:pPr>
            <w:r>
              <w:t xml:space="preserve">86.0</w:t>
            </w:r>
          </w:p>
        </w:tc>
        <w:tc>
          <w:tcPr/>
          <w:p>
            <w:pPr>
              <w:pStyle w:val="Compact"/>
              <w:jc w:val="right"/>
            </w:pPr>
            <w:r>
              <w:rPr>
                <w:b/>
                <w:bCs/>
              </w:rPr>
              <w:t xml:space="preserve">69.2</w:t>
            </w:r>
          </w:p>
        </w:tc>
        <w:tc>
          <w:tcPr/>
          <w:p>
            <w:pPr>
              <w:pStyle w:val="Compact"/>
              <w:jc w:val="right"/>
            </w:pPr>
            <w:r>
              <w:t xml:space="preserve">0.64</w:t>
            </w:r>
          </w:p>
        </w:tc>
        <w:tc>
          <w:tcPr/>
          <w:p>
            <w:pPr>
              <w:pStyle w:val="Compact"/>
              <w:jc w:val="right"/>
            </w:pPr>
            <w:r>
              <w:t xml:space="preserve">25</w:t>
            </w:r>
          </w:p>
        </w:tc>
        <w:tc>
          <w:tcPr/>
          <w:p>
            <w:pPr>
              <w:pStyle w:val="Compact"/>
              <w:jc w:val="right"/>
            </w:pPr>
            <w:r>
              <w:rPr>
                <w:b/>
                <w:bCs/>
              </w:rPr>
              <w:t xml:space="preserve">31.5%</w:t>
            </w:r>
          </w:p>
        </w:tc>
        <w:tc>
          <w:tcPr/>
          <w:p>
            <w:pPr>
              <w:pStyle w:val="Compact"/>
              <w:jc w:val="right"/>
            </w:pPr>
            <w:r>
              <w:t xml:space="preserve">1.01</w:t>
            </w:r>
          </w:p>
        </w:tc>
        <w:tc>
          <w:tcPr/>
          <w:p>
            <w:pPr>
              <w:pStyle w:val="Compact"/>
            </w:pPr>
            <w:r>
              <w:rPr>
                <w:b/>
                <w:bCs/>
              </w:rPr>
              <w:t xml:space="preserve">strong foam burn</w:t>
            </w:r>
          </w:p>
        </w:tc>
      </w:tr>
      <w:tr>
        <w:tc>
          <w:tcPr/>
          <w:p>
            <w:pPr>
              <w:pStyle w:val="Compact"/>
            </w:pPr>
            <w:r>
              <w:t xml:space="preserve">fab02 (over-drive ref)</w:t>
            </w:r>
          </w:p>
        </w:tc>
        <w:tc>
          <w:tcPr/>
          <w:p>
            <w:pPr>
              <w:pStyle w:val="Compact"/>
              <w:jc w:val="right"/>
            </w:pPr>
            <w:r>
              <w:t xml:space="preserve">463</w:t>
            </w:r>
          </w:p>
        </w:tc>
        <w:tc>
          <w:tcPr/>
          <w:p>
            <w:pPr>
              <w:pStyle w:val="Compact"/>
              <w:jc w:val="right"/>
            </w:pPr>
            <w:r>
              <w:t xml:space="preserve">84.0</w:t>
            </w:r>
          </w:p>
        </w:tc>
        <w:tc>
          <w:tcPr/>
          <w:p>
            <w:pPr>
              <w:pStyle w:val="Compact"/>
              <w:jc w:val="right"/>
            </w:pPr>
            <w:r>
              <w:t xml:space="preserve">59.0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26.5%</w:t>
            </w:r>
          </w:p>
        </w:tc>
        <w:tc>
          <w:tcPr/>
          <w:p>
            <w:pPr>
              <w:pStyle w:val="Compact"/>
              <w:jc w:val="right"/>
            </w:pPr>
            <w:r>
              <w:t xml:space="preserve">1.05</w:t>
            </w:r>
          </w:p>
        </w:tc>
        <w:tc>
          <w:tcPr/>
          <w:p>
            <w:pPr>
              <w:pStyle w:val="Compact"/>
            </w:pPr>
            <w:r>
              <w:t xml:space="preserve">bootstrap baseline</w:t>
            </w:r>
          </w:p>
        </w:tc>
      </w:tr>
      <w:tr>
        <w:tc>
          <w:tcPr/>
          <w:p>
            <w:pPr>
              <w:pStyle w:val="Compact"/>
            </w:pPr>
            <w:r>
              <w:t xml:space="preserve">LILAC reference</w:t>
            </w:r>
          </w:p>
        </w:tc>
        <w:tc>
          <w:tcPr/>
          <w:p>
            <w:pPr>
              <w:pStyle w:val="Compact"/>
              <w:jc w:val="right"/>
            </w:pPr>
            <w:r>
              <w:t xml:space="preserve">410</w:t>
            </w:r>
          </w:p>
        </w:tc>
        <w:tc>
          <w:tcPr/>
          <w:p>
            <w:pPr>
              <w:pStyle w:val="Compact"/>
              <w:jc w:val="right"/>
            </w:pPr>
            <w:r>
              <w:t xml:space="preserve">~68</w:t>
            </w:r>
          </w:p>
        </w:tc>
        <w:tc>
          <w:tcPr/>
          <w:p>
            <w:pPr>
              <w:pStyle w:val="Compact"/>
              <w:jc w:val="right"/>
            </w:pPr>
            <w:r>
              <w:t xml:space="preserve">87.4</w:t>
            </w:r>
          </w:p>
        </w:tc>
        <w:tc>
          <w:tcPr/>
          <w:p>
            <w:pPr>
              <w:pStyle w:val="Compact"/>
              <w:jc w:val="right"/>
            </w:pPr>
            <w:r>
              <w:t xml:space="preserve">0.85</w:t>
            </w:r>
          </w:p>
        </w:tc>
        <w:tc>
          <w:tcPr/>
          <w:p>
            <w:pPr>
              <w:pStyle w:val="Compact"/>
              <w:jc w:val="right"/>
            </w:pPr>
            <w:r>
              <w:t xml:space="preserve">n/a</w:t>
            </w:r>
          </w:p>
        </w:tc>
        <w:tc>
          <w:tcPr/>
          <w:p>
            <w:pPr>
              <w:pStyle w:val="Compact"/>
              <w:jc w:val="right"/>
            </w:pPr>
            <w:r>
              <w:t xml:space="preserve">~65% (inferred)</w:t>
            </w:r>
          </w:p>
        </w:tc>
        <w:tc>
          <w:tcPr/>
          <w:p>
            <w:pPr>
              <w:pStyle w:val="Compact"/>
              <w:jc w:val="right"/>
            </w:pPr>
            <w:r>
              <w:t xml:space="preserve">3.0</w:t>
            </w:r>
          </w:p>
        </w:tc>
        <w:tc>
          <w:tcPr/>
          <w:p>
            <w:pPr>
              <w:pStyle w:val="Compact"/>
            </w:pPr>
            <w:r>
              <w:t xml:space="preserve">target</w:t>
            </w:r>
          </w:p>
        </w:tc>
      </w:tr>
    </w:tbl>
    <w:bookmarkEnd w:id="31"/>
    <w:bookmarkStart w:id="32" w:name="key-findings"/>
    <w:p>
      <w:pPr>
        <w:pStyle w:val="Heading3"/>
      </w:pPr>
      <w:r>
        <w:t xml:space="preserve">5.3 Key findings</w:t>
      </w:r>
    </w:p>
    <w:p>
      <w:pPr>
        <w:pStyle w:val="FirstParagraph"/>
      </w:pPr>
      <w:r>
        <w:rPr>
          <w:b/>
          <w:bCs/>
        </w:rPr>
        <w:t xml:space="preserve">1. The transition is a TWO-PLATEAU STAIRCASE, not a smooth ramp.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Knob change</w:t>
            </w:r>
          </w:p>
        </w:tc>
        <w:tc>
          <w:tcPr/>
          <w:p>
            <w:pPr>
              <w:pStyle w:val="Compact"/>
              <w:jc w:val="right"/>
            </w:pPr>
            <w:r>
              <w:t xml:space="preserve">Yield</w:t>
            </w:r>
          </w:p>
        </w:tc>
        <w:tc>
          <w:tcPr/>
          <w:p>
            <w:pPr>
              <w:pStyle w:val="Compact"/>
              <w:jc w:val="right"/>
            </w:pPr>
            <w:r>
              <w:t xml:space="preserve">Foam share</w:t>
            </w:r>
          </w:p>
        </w:tc>
      </w:tr>
      <w:tr>
        <w:tc>
          <w:tcPr/>
          <w:p>
            <w:pPr>
              <w:pStyle w:val="Compact"/>
            </w:pPr>
            <w:r>
              <w:t xml:space="preserve">Plateau 0 (baseline, 37°)</w:t>
            </w:r>
          </w:p>
        </w:tc>
        <w:tc>
          <w:tcPr/>
          <w:p>
            <w:pPr>
              <w:pStyle w:val="Compact"/>
            </w:pPr>
            <w:r>
              <w:t xml:space="preserve">FL fix only</w:t>
            </w:r>
          </w:p>
        </w:tc>
        <w:tc>
          <w:tcPr/>
          <w:p>
            <w:pPr>
              <w:pStyle w:val="Compact"/>
              <w:jc w:val="right"/>
            </w:pPr>
            <w:r>
              <w:t xml:space="preserve">33 MJ</w:t>
            </w:r>
          </w:p>
        </w:tc>
        <w:tc>
          <w:tcPr/>
          <w:p>
            <w:pPr>
              <w:pStyle w:val="Compact"/>
              <w:jc w:val="right"/>
            </w:pPr>
            <w:r>
              <w:t xml:space="preserve">14%</w:t>
            </w:r>
          </w:p>
        </w:tc>
      </w:tr>
      <w:tr>
        <w:tc>
          <w:tcPr/>
          <w:p>
            <w:pPr>
              <w:pStyle w:val="Compact"/>
            </w:pPr>
            <w:r>
              <w:t xml:space="preserve">Step up</w:t>
            </w:r>
          </w:p>
        </w:tc>
        <w:tc>
          <w:tcPr/>
          <w:p>
            <w:pPr>
              <w:pStyle w:val="Compact"/>
            </w:pPr>
            <w:r>
              <w:t xml:space="preserve">+ modest geometric defocus</w:t>
            </w:r>
          </w:p>
        </w:tc>
        <w:tc>
          <w:tcPr/>
          <w:p>
            <w:pPr>
              <w:pStyle w:val="Compact"/>
              <w:jc w:val="right"/>
            </w:pPr>
            <w:r>
              <w:t xml:space="preserve">× 1.67</w:t>
            </w:r>
          </w:p>
        </w:tc>
        <w:tc>
          <w:tcPr/>
          <w:p>
            <w:pPr>
              <w:pStyle w:val="Compact"/>
              <w:jc w:val="right"/>
            </w:pPr>
            <w:r>
              <w:t xml:space="preserve">× 1.8</w:t>
            </w:r>
          </w:p>
        </w:tc>
      </w:tr>
      <w:tr>
        <w:tc>
          <w:tcPr/>
          <w:p>
            <w:pPr>
              <w:pStyle w:val="Compact"/>
            </w:pPr>
            <w:r>
              <w:rPr>
                <w:b/>
                <w:bCs/>
              </w:rPr>
              <w:t xml:space="preserve">Plateau 1 (33° ≡ 28°)</w:t>
            </w:r>
          </w:p>
        </w:tc>
        <w:tc>
          <w:tcPr/>
          <w:p>
            <w:pPr>
              <w:pStyle w:val="Compact"/>
            </w:pPr>
            <w:r>
              <w:t xml:space="preserve">—</w:t>
            </w:r>
          </w:p>
        </w:tc>
        <w:tc>
          <w:tcPr/>
          <w:p>
            <w:pPr>
              <w:pStyle w:val="Compact"/>
              <w:jc w:val="right"/>
            </w:pPr>
            <w:r>
              <w:rPr>
                <w:b/>
                <w:bCs/>
              </w:rPr>
              <w:t xml:space="preserve">55 MJ</w:t>
            </w:r>
          </w:p>
        </w:tc>
        <w:tc>
          <w:tcPr/>
          <w:p>
            <w:pPr>
              <w:pStyle w:val="Compact"/>
              <w:jc w:val="right"/>
            </w:pPr>
            <w:r>
              <w:rPr>
                <w:b/>
                <w:bCs/>
              </w:rPr>
              <w:t xml:space="preserve">25%</w:t>
            </w:r>
          </w:p>
        </w:tc>
      </w:tr>
      <w:tr>
        <w:tc>
          <w:tcPr/>
          <w:p>
            <w:pPr>
              <w:pStyle w:val="Compact"/>
            </w:pPr>
            <w:r>
              <w:t xml:space="preserve">Step up</w:t>
            </w:r>
          </w:p>
        </w:tc>
        <w:tc>
          <w:tcPr/>
          <w:p>
            <w:pPr>
              <w:pStyle w:val="Compact"/>
            </w:pPr>
            <w:r>
              <w:t xml:space="preserve">(spot 0.16 → 0.14, focus 0.18 → 0.16)</w:t>
            </w:r>
          </w:p>
        </w:tc>
        <w:tc>
          <w:tcPr/>
          <w:p>
            <w:pPr>
              <w:pStyle w:val="Compact"/>
              <w:jc w:val="right"/>
            </w:pPr>
            <w:r>
              <w:t xml:space="preserve">× 1.26</w:t>
            </w:r>
          </w:p>
        </w:tc>
        <w:tc>
          <w:tcPr/>
          <w:p>
            <w:pPr>
              <w:pStyle w:val="Compact"/>
              <w:jc w:val="right"/>
            </w:pPr>
            <w:r>
              <w:t xml:space="preserve">× 1.24</w:t>
            </w:r>
          </w:p>
        </w:tc>
      </w:tr>
      <w:tr>
        <w:tc>
          <w:tcPr/>
          <w:p>
            <w:pPr>
              <w:pStyle w:val="Compact"/>
            </w:pPr>
            <w:r>
              <w:rPr>
                <w:b/>
                <w:bCs/>
              </w:rPr>
              <w:t xml:space="preserve">Plateau 2 (25° ≡ 20°)</w:t>
            </w:r>
          </w:p>
        </w:tc>
        <w:tc>
          <w:tcPr/>
          <w:p>
            <w:pPr>
              <w:pStyle w:val="Compact"/>
            </w:pPr>
            <w:r>
              <w:t xml:space="preserve">—</w:t>
            </w:r>
          </w:p>
        </w:tc>
        <w:tc>
          <w:tcPr/>
          <w:p>
            <w:pPr>
              <w:pStyle w:val="Compact"/>
              <w:jc w:val="right"/>
            </w:pPr>
            <w:r>
              <w:rPr>
                <w:b/>
                <w:bCs/>
              </w:rPr>
              <w:t xml:space="preserve">69 MJ</w:t>
            </w:r>
          </w:p>
        </w:tc>
        <w:tc>
          <w:tcPr/>
          <w:p>
            <w:pPr>
              <w:pStyle w:val="Compact"/>
              <w:jc w:val="right"/>
            </w:pPr>
            <w:r>
              <w:rPr>
                <w:b/>
                <w:bCs/>
              </w:rPr>
              <w:t xml:space="preserve">31%</w:t>
            </w:r>
          </w:p>
        </w:tc>
      </w:tr>
    </w:tbl>
    <w:p>
      <w:pPr>
        <w:pStyle w:val="BodyText"/>
      </w:pPr>
      <w:r>
        <w:t xml:space="preserve">The knee between the two plateaus happens at the</w:t>
      </w:r>
      <w:r>
        <w:t xml:space="preserve"> </w:t>
      </w:r>
      <w:r>
        <w:rPr>
          <w:b/>
          <w:bCs/>
        </w:rPr>
        <w:t xml:space="preserve">spot/focus tightening</w:t>
      </w:r>
      <w:r>
        <w:t xml:space="preserve">, not at the cone narrowing per se. Two configurations (33° and 28°) sit on the lower plateau; two (25° and 20°) sit on the upper plateau. Further cone narrowing within each plateau adds nothing measurable.</w:t>
      </w:r>
    </w:p>
    <w:p>
      <w:pPr>
        <w:pStyle w:val="BodyText"/>
      </w:pPr>
      <w:r>
        <w:rPr>
          <w:b/>
          <w:bCs/>
        </w:rPr>
        <w:t xml:space="preserve">2. Foam over-compression doesn’t deliver more burn.</w:t>
      </w:r>
      <w:r>
        <w:t xml:space="preserve"> </w:t>
      </w:r>
      <w:r>
        <w:t xml:space="preserve">c28_burn reaches mean foam ρ = 61.6 g/cc at stagnation (2× ice’s 30 g/cc), yet delivers the same foam yield share as c33’s 45 g/cc. This</w:t>
      </w:r>
      <w:r>
        <w:t xml:space="preserve"> </w:t>
      </w:r>
      <w:r>
        <w:rPr>
          <w:b/>
          <w:bCs/>
        </w:rPr>
        <w:t xml:space="preserve">decouples foam compression density from foam burn productivity</w:t>
      </w:r>
      <w:r>
        <w:t xml:space="preserve"> </w:t>
      </w:r>
      <w:r>
        <w:t xml:space="preserve">— at this drive level, foam burn is limited by alpha bootstrap reach into the foam volume, not by how dense the foam gets. Consistent with the per-zone diagnostic from earlier work showing foam burn fraction tracks bootstrap-source intensity rather than foam compression.</w:t>
      </w:r>
    </w:p>
    <w:p>
      <w:pPr>
        <w:pStyle w:val="BodyText"/>
      </w:pPr>
      <w:r>
        <w:rPr>
          <w:b/>
          <w:bCs/>
        </w:rPr>
        <w:t xml:space="preserve">3. Both FL fix and geometric defocus are required.</w:t>
      </w:r>
      <w:r>
        <w:t xml:space="preserve"> </w:t>
      </w:r>
      <w:r>
        <w:t xml:space="preserve">Decomposing the foam-burn recovery from fab007 production:</w:t>
      </w:r>
      <w:r>
        <w:t xml:space="preserve"> </w:t>
      </w:r>
      <w:r>
        <w:t xml:space="preserve">-</w:t>
      </w:r>
      <w:r>
        <w:t xml:space="preserve"> </w:t>
      </w:r>
      <w:r>
        <w:rPr>
          <w:b/>
          <w:bCs/>
        </w:rPr>
        <w:t xml:space="preserve">FL=0.012 alone</w:t>
      </w:r>
      <w:r>
        <w:t xml:space="preserve"> </w:t>
      </w:r>
      <w:r>
        <w:t xml:space="preserve">(baseline_burn): foam share 10.1% → 14.0% (+4 pp). Modest.</w:t>
      </w:r>
      <w:r>
        <w:t xml:space="preserve"> </w:t>
      </w:r>
      <w:r>
        <w:t xml:space="preserve">-</w:t>
      </w:r>
      <w:r>
        <w:t xml:space="preserve"> </w:t>
      </w:r>
      <w:r>
        <w:rPr>
          <w:b/>
          <w:bCs/>
        </w:rPr>
        <w:t xml:space="preserve">+ first step of geom (33°/28°)</w:t>
      </w:r>
      <w:r>
        <w:t xml:space="preserve">: 14.0% → 25.3% (+11 pp). The bootstrap-baseline unlock.</w:t>
      </w:r>
      <w:r>
        <w:t xml:space="preserve"> </w:t>
      </w:r>
      <w:r>
        <w:t xml:space="preserve">-</w:t>
      </w:r>
      <w:r>
        <w:t xml:space="preserve"> </w:t>
      </w:r>
      <w:r>
        <w:rPr>
          <w:b/>
          <w:bCs/>
        </w:rPr>
        <w:t xml:space="preserve">+ second step of geom (25°/20°)</w:t>
      </w:r>
      <w:r>
        <w:t xml:space="preserve">: 25.3% → 31.5% (+6 pp). Diminishing returns.</w:t>
      </w:r>
    </w:p>
    <w:p>
      <w:pPr>
        <w:pStyle w:val="BodyText"/>
      </w:pPr>
      <w:r>
        <w:t xml:space="preserve">The FL fix and geometric defocus together close 72% of the LILAC yield gap (69 MJ vs 87 MJ) at the c25/c20 plateau.</w:t>
      </w:r>
    </w:p>
    <w:bookmarkEnd w:id="32"/>
    <w:bookmarkStart w:id="33" w:name="two-recommended-design-anchors"/>
    <w:p>
      <w:pPr>
        <w:pStyle w:val="Heading3"/>
      </w:pPr>
      <w:r>
        <w:t xml:space="preserve">5.4 Two recommended design anchors</w:t>
      </w:r>
    </w:p>
    <w:p>
      <w:pPr>
        <w:pStyle w:val="FirstParagraph"/>
      </w:pPr>
      <w:r>
        <w:t xml:space="preserve">Two operating points serve two different objectives:</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Target</w:t>
            </w:r>
          </w:p>
        </w:tc>
        <w:tc>
          <w:tcPr/>
          <w:p>
            <w:pPr>
              <w:pStyle w:val="Compact"/>
            </w:pPr>
            <w:r>
              <w:t xml:space="preserve">Recommended config</w:t>
            </w:r>
          </w:p>
        </w:tc>
        <w:tc>
          <w:tcPr/>
          <w:p>
            <w:pPr>
              <w:pStyle w:val="Compact"/>
              <w:jc w:val="right"/>
            </w:pPr>
            <w:r>
              <w:t xml:space="preserve">Yield</w:t>
            </w:r>
          </w:p>
        </w:tc>
        <w:tc>
          <w:tcPr/>
          <w:p>
            <w:pPr>
              <w:pStyle w:val="Compact"/>
              <w:jc w:val="right"/>
            </w:pPr>
            <w:r>
              <w:t xml:space="preserve">Foam share</w:t>
            </w:r>
          </w:p>
        </w:tc>
        <w:tc>
          <w:tcPr/>
          <w:p>
            <w:pPr>
              <w:pStyle w:val="Compact"/>
              <w:jc w:val="right"/>
            </w:pPr>
            <w:r>
              <w:t xml:space="preserve">V_peak</w:t>
            </w:r>
          </w:p>
        </w:tc>
        <w:tc>
          <w:tcPr/>
          <w:p>
            <w:pPr>
              <w:pStyle w:val="Compact"/>
            </w:pPr>
            <w:r>
              <w:t xml:space="preserve">Δ vs LILAC drive</w:t>
            </w:r>
          </w:p>
        </w:tc>
      </w:tr>
      <w:tr>
        <w:tc>
          <w:tcPr/>
          <w:p>
            <w:pPr>
              <w:pStyle w:val="Compact"/>
            </w:pPr>
            <w:r>
              <w:rPr>
                <w:b/>
                <w:bCs/>
              </w:rPr>
              <w:t xml:space="preserve">Minimum geometric deviation from LILAC</w:t>
            </w:r>
          </w:p>
        </w:tc>
        <w:tc>
          <w:tcPr/>
          <w:p>
            <w:pPr>
              <w:pStyle w:val="Compact"/>
            </w:pPr>
            <w:r>
              <w:rPr>
                <w:b/>
                <w:bCs/>
              </w:rPr>
              <w:t xml:space="preserve">c33_burn</w:t>
            </w:r>
            <w:r>
              <w:t xml:space="preserve"> </w:t>
            </w:r>
            <w:r>
              <w:t xml:space="preserve">(cone 33°, spot 0.16, focus 0.20)</w:t>
            </w:r>
          </w:p>
        </w:tc>
        <w:tc>
          <w:tcPr/>
          <w:p>
            <w:pPr>
              <w:pStyle w:val="Compact"/>
              <w:jc w:val="right"/>
            </w:pPr>
            <w:r>
              <w:t xml:space="preserve">55 MJ</w:t>
            </w:r>
          </w:p>
        </w:tc>
        <w:tc>
          <w:tcPr/>
          <w:p>
            <w:pPr>
              <w:pStyle w:val="Compact"/>
              <w:jc w:val="right"/>
            </w:pPr>
            <w:r>
              <w:t xml:space="preserve">25.3%</w:t>
            </w:r>
          </w:p>
        </w:tc>
        <w:tc>
          <w:tcPr/>
          <w:p>
            <w:pPr>
              <w:pStyle w:val="Compact"/>
              <w:jc w:val="right"/>
            </w:pPr>
            <w:r>
              <w:t xml:space="preserve">447 km/s</w:t>
            </w:r>
          </w:p>
        </w:tc>
        <w:tc>
          <w:tcPr/>
          <w:p>
            <w:pPr>
              <w:pStyle w:val="Compact"/>
            </w:pPr>
            <w:r>
              <w:t xml:space="preserve">+9% on V_peak</w:t>
            </w:r>
          </w:p>
        </w:tc>
      </w:tr>
      <w:tr>
        <w:tc>
          <w:tcPr/>
          <w:p>
            <w:pPr>
              <w:pStyle w:val="Compact"/>
            </w:pPr>
            <w:r>
              <w:rPr>
                <w:b/>
                <w:bCs/>
              </w:rPr>
              <w:t xml:space="preserve">Maximum demonstrated yield</w:t>
            </w:r>
          </w:p>
        </w:tc>
        <w:tc>
          <w:tcPr/>
          <w:p>
            <w:pPr>
              <w:pStyle w:val="Compact"/>
            </w:pPr>
            <w:r>
              <w:rPr>
                <w:b/>
                <w:bCs/>
              </w:rPr>
              <w:t xml:space="preserve">c25_burn</w:t>
            </w:r>
            <w:r>
              <w:t xml:space="preserve"> </w:t>
            </w:r>
            <w:r>
              <w:t xml:space="preserve">(cone 25°, spot 0.14, focus 0.16)</w:t>
            </w:r>
          </w:p>
        </w:tc>
        <w:tc>
          <w:tcPr/>
          <w:p>
            <w:pPr>
              <w:pStyle w:val="Compact"/>
              <w:jc w:val="right"/>
            </w:pPr>
            <w:r>
              <w:t xml:space="preserve">69 MJ</w:t>
            </w:r>
          </w:p>
        </w:tc>
        <w:tc>
          <w:tcPr/>
          <w:p>
            <w:pPr>
              <w:pStyle w:val="Compact"/>
              <w:jc w:val="right"/>
            </w:pPr>
            <w:r>
              <w:t xml:space="preserve">31.1%</w:t>
            </w:r>
          </w:p>
        </w:tc>
        <w:tc>
          <w:tcPr/>
          <w:p>
            <w:pPr>
              <w:pStyle w:val="Compact"/>
              <w:jc w:val="right"/>
            </w:pPr>
            <w:r>
              <w:t xml:space="preserve">470 km/s</w:t>
            </w:r>
          </w:p>
        </w:tc>
        <w:tc>
          <w:tcPr/>
          <w:p>
            <w:pPr>
              <w:pStyle w:val="Compact"/>
            </w:pPr>
            <w:r>
              <w:t xml:space="preserve">+15% on V_peak</w:t>
            </w:r>
          </w:p>
        </w:tc>
      </w:tr>
    </w:tbl>
    <w:p>
      <w:pPr>
        <w:pStyle w:val="BodyText"/>
      </w:pPr>
      <w:r>
        <w:rPr>
          <w:b/>
          <w:bCs/>
        </w:rPr>
        <w:t xml:space="preserve">Note:</w:t>
      </w:r>
      <w:r>
        <w:t xml:space="preserve"> </w:t>
      </w:r>
      <w:r>
        <w:t xml:space="preserve">c20_burn was originally framed as the design anchor but is</w:t>
      </w:r>
      <w:r>
        <w:t xml:space="preserve"> </w:t>
      </w:r>
      <w:r>
        <w:rPr>
          <w:b/>
          <w:bCs/>
        </w:rPr>
        <w:t xml:space="preserve">superseded by c25_burn</w:t>
      </w:r>
      <w:r>
        <w:t xml:space="preserve">. Both deliver identical yield and foam share, with c25 having one less click of geometric defocus.</w:t>
      </w:r>
    </w:p>
    <w:p>
      <w:pPr>
        <w:pStyle w:val="BodyText"/>
      </w:pPr>
      <w:r>
        <w:rPr>
          <w:b/>
          <w:bCs/>
        </w:rPr>
        <w:t xml:space="preserve">For HDD calibration transfer:</w:t>
      </w:r>
      <w:r>
        <w:t xml:space="preserve"> </w:t>
      </w:r>
      <w:r>
        <w:t xml:space="preserve">use</w:t>
      </w:r>
      <w:r>
        <w:t xml:space="preserve"> </w:t>
      </w:r>
      <w:r>
        <w:rPr>
          <w:b/>
          <w:bCs/>
        </w:rPr>
        <w:t xml:space="preserve">c33-class as the working geometric anchor</w:t>
      </w:r>
      <w:r>
        <w:t xml:space="preserve">. Same strong foam burn as c25/c20, less drive overshoot, lower kinematic deviation from LILAC. Use c25-class only when maximum yield is the design objective.</w:t>
      </w:r>
    </w:p>
    <w:bookmarkEnd w:id="33"/>
    <w:bookmarkStart w:id="34" w:name="caveats"/>
    <w:p>
      <w:pPr>
        <w:pStyle w:val="Heading3"/>
      </w:pPr>
      <w:r>
        <w:t xml:space="preserve">5.5 Caveats</w:t>
      </w:r>
    </w:p>
    <w:p>
      <w:pPr>
        <w:pStyle w:val="Compact"/>
        <w:numPr>
          <w:ilvl w:val="0"/>
          <w:numId w:val="1006"/>
        </w:numPr>
      </w:pPr>
      <w:r>
        <w:t xml:space="preserve">All burn-on configurations in this scan deviate from LILAC’s calibrated drive-phase thermo state (V_peak 428-472 km/s vs 410, CR_max ~35 vs 29). This is a design study answering</w:t>
      </w:r>
      <w:r>
        <w:t xml:space="preserve"> </w:t>
      </w:r>
      <w:r>
        <w:t xml:space="preserve">“what Helios CAN do with PROPACEOS foam,”</w:t>
      </w:r>
      <w:r>
        <w:t xml:space="preserve"> </w:t>
      </w:r>
      <w:r>
        <w:t xml:space="preserve">not</w:t>
      </w:r>
      <w:r>
        <w:t xml:space="preserve"> </w:t>
      </w:r>
      <w:r>
        <w:t xml:space="preserve">“what reproduces LILAC.”</w:t>
      </w:r>
    </w:p>
    <w:p>
      <w:pPr>
        <w:pStyle w:val="Compact"/>
        <w:numPr>
          <w:ilvl w:val="0"/>
          <w:numId w:val="1006"/>
        </w:numPr>
      </w:pPr>
      <w:r>
        <w:t xml:space="preserve">4 of 6 FL=0.012 + burn-on Helios runs hit recurring SIGSEGV/malloc crashes during shutdown (config-specific Helios edge case). The .exo files are substantially complete at crash time so metrics extract correctly; budget one retry per run for larger scans.</w:t>
      </w:r>
    </w:p>
    <w:p>
      <w:pPr>
        <w:pStyle w:val="Compact"/>
        <w:numPr>
          <w:ilvl w:val="0"/>
          <w:numId w:val="1006"/>
        </w:numPr>
      </w:pPr>
      <w:r>
        <w:t xml:space="preserve">The c28 vs c33 yield-equivalence at very different foam compressions (62 vs 45 g/cc) is a useful diagnostic for the foam-burn mechanism: it confirms bootstrap-temperature-limitation rather than compression-limitation at this drive regime. For LILAC-like compression, an even stronger bootstrap (closer to LILAC’s 0.85 HS ρR vs our 0.53-0.64) would presumably unlock additional foam yield.</w:t>
      </w:r>
    </w:p>
    <w:p>
      <w:r>
        <w:pict>
          <v:rect style="width:0;height:1.5pt" o:hralign="center" o:hrstd="t" o:hr="t"/>
        </w:pict>
      </w:r>
    </w:p>
    <w:bookmarkEnd w:id="34"/>
    <w:bookmarkEnd w:id="35"/>
    <w:bookmarkStart w:id="36" w:name="appendix-verification-artifacts"/>
    <w:p>
      <w:pPr>
        <w:pStyle w:val="Heading2"/>
      </w:pPr>
      <w:r>
        <w:t xml:space="preserve">Appendix: Verification artifacts</w:t>
      </w:r>
    </w:p>
    <w:p>
      <w:pPr>
        <w:pStyle w:val="FirstParagraph"/>
      </w:pPr>
      <w:r>
        <w:t xml:space="preserve">All test outputs, source code, and intermediate analyses are version-controlled in the</w:t>
      </w:r>
      <w:r>
        <w:t xml:space="preserve"> </w:t>
      </w:r>
      <w:r>
        <w:rPr>
          <w:rStyle w:val="VerbatimChar"/>
        </w:rPr>
        <w:t xml:space="preserve">helios_postprocess</w:t>
      </w:r>
      <w:r>
        <w:t xml:space="preserve"> </w:t>
      </w:r>
      <w:r>
        <w:t xml:space="preserve">repository.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Location</w:t>
            </w:r>
          </w:p>
        </w:tc>
      </w:tr>
      <w:tr>
        <w:tc>
          <w:tcPr/>
          <w:p>
            <w:pPr>
              <w:pStyle w:val="Compact"/>
            </w:pPr>
            <w:r>
              <w:t xml:space="preserve">Zero-D verification tool</w:t>
            </w:r>
          </w:p>
        </w:tc>
        <w:tc>
          <w:tcPr/>
          <w:p>
            <w:pPr>
              <w:pStyle w:val="Compact"/>
            </w:pPr>
            <w:r>
              <w:rPr>
                <w:rStyle w:val="VerbatimChar"/>
              </w:rPr>
              <w:t xml:space="preserve">examples/verify_zero_d.py</w:t>
            </w:r>
          </w:p>
        </w:tc>
      </w:tr>
      <w:tr>
        <w:tc>
          <w:tcPr/>
          <w:p>
            <w:pPr>
              <w:pStyle w:val="Compact"/>
            </w:pPr>
            <w:r>
              <w:t xml:space="preserve">Zero-D verification matrix data</w:t>
            </w:r>
          </w:p>
        </w:tc>
        <w:tc>
          <w:tcPr/>
          <w:p>
            <w:pPr>
              <w:pStyle w:val="Compact"/>
            </w:pPr>
            <w:r>
              <w:rPr>
                <w:rStyle w:val="VerbatimChar"/>
              </w:rPr>
              <w:t xml:space="preserve">notebooks/verification_results.csv</w:t>
            </w:r>
            <w:r>
              <w:t xml:space="preserve"> </w:t>
            </w:r>
            <w:r>
              <w:t xml:space="preserve">(26 rows)</w:t>
            </w:r>
          </w:p>
        </w:tc>
      </w:tr>
      <w:tr>
        <w:tc>
          <w:tcPr/>
          <w:p>
            <w:pPr>
              <w:pStyle w:val="Compact"/>
            </w:pPr>
            <w:r>
              <w:t xml:space="preserve">Energy-balance diagnostic tool</w:t>
            </w:r>
          </w:p>
        </w:tc>
        <w:tc>
          <w:tcPr/>
          <w:p>
            <w:pPr>
              <w:pStyle w:val="Compact"/>
            </w:pPr>
            <w:r>
              <w:rPr>
                <w:rStyle w:val="VerbatimChar"/>
              </w:rPr>
              <w:t xml:space="preserve">examples/energy_balance_diagnostic.py</w:t>
            </w:r>
          </w:p>
        </w:tc>
      </w:tr>
      <w:tr>
        <w:tc>
          <w:tcPr/>
          <w:p>
            <w:pPr>
              <w:pStyle w:val="Compact"/>
            </w:pPr>
            <w:r>
              <w:t xml:space="preserve">Foam-vs-ice comparison tool</w:t>
            </w:r>
          </w:p>
        </w:tc>
        <w:tc>
          <w:tcPr/>
          <w:p>
            <w:pPr>
              <w:pStyle w:val="Compact"/>
            </w:pPr>
            <w:r>
              <w:rPr>
                <w:rStyle w:val="VerbatimChar"/>
              </w:rPr>
              <w:t xml:space="preserve">examples/compare_runs.py</w:t>
            </w:r>
          </w:p>
        </w:tc>
      </w:tr>
      <w:tr>
        <w:tc>
          <w:tcPr/>
          <w:p>
            <w:pPr>
              <w:pStyle w:val="Compact"/>
            </w:pPr>
            <w:r>
              <w:t xml:space="preserve">Planar ablation runs</w:t>
            </w:r>
          </w:p>
        </w:tc>
        <w:tc>
          <w:tcPr/>
          <w:p>
            <w:pPr>
              <w:pStyle w:val="Compact"/>
            </w:pPr>
            <w:r>
              <w:rPr>
                <w:rStyle w:val="VerbatimChar"/>
              </w:rPr>
              <w:t xml:space="preserve">Olson_PDD/Planar_shock/planar_{dtice,wf}_1/</w:t>
            </w:r>
          </w:p>
        </w:tc>
      </w:tr>
      <w:tr>
        <w:tc>
          <w:tcPr/>
          <w:p>
            <w:pPr>
              <w:pStyle w:val="Compact"/>
            </w:pPr>
            <w:r>
              <w:t xml:space="preserve">Zero-D kernel verification figure</w:t>
            </w:r>
          </w:p>
        </w:tc>
        <w:tc>
          <w:tcPr/>
          <w:p>
            <w:pPr>
              <w:pStyle w:val="Compact"/>
            </w:pPr>
            <w:r>
              <w:rPr>
                <w:rStyle w:val="VerbatimChar"/>
              </w:rPr>
              <w:t xml:space="preserve">comparisons/zero_d_kernel_verification_clean.png</w:t>
            </w:r>
          </w:p>
        </w:tc>
      </w:tr>
      <w:tr>
        <w:tc>
          <w:tcPr/>
          <w:p>
            <w:pPr>
              <w:pStyle w:val="Compact"/>
            </w:pPr>
            <w:r>
              <w:t xml:space="preserve">Planar ablation comparison figure</w:t>
            </w:r>
          </w:p>
        </w:tc>
        <w:tc>
          <w:tcPr/>
          <w:p>
            <w:pPr>
              <w:pStyle w:val="Compact"/>
            </w:pPr>
            <w:r>
              <w:rPr>
                <w:rStyle w:val="VerbatimChar"/>
              </w:rPr>
              <w:t xml:space="preserve">comparisons/planar_dtice_vs_foam.png</w:t>
            </w:r>
          </w:p>
        </w:tc>
      </w:tr>
      <w:tr>
        <w:tc>
          <w:tcPr/>
          <w:p>
            <w:pPr>
              <w:pStyle w:val="Compact"/>
            </w:pPr>
            <w:r>
              <w:t xml:space="preserve">Foam-vs-ice production-run figures</w:t>
            </w:r>
          </w:p>
        </w:tc>
        <w:tc>
          <w:tcPr/>
          <w:p>
            <w:pPr>
              <w:pStyle w:val="Compact"/>
            </w:pPr>
            <w:r>
              <w:rPr>
                <w:rStyle w:val="VerbatimChar"/>
              </w:rPr>
              <w:t xml:space="preserve">comparisons/compare_foam_vs_ice_{rt,histories,lineouts}.png</w:t>
            </w:r>
          </w:p>
        </w:tc>
      </w:tr>
      <w:tr>
        <w:tc>
          <w:tcPr/>
          <w:p>
            <w:pPr>
              <w:pStyle w:val="Compact"/>
            </w:pPr>
            <w:r>
              <w:t xml:space="preserve">CR_burn 3-way energy ledger</w:t>
            </w:r>
          </w:p>
        </w:tc>
        <w:tc>
          <w:tcPr/>
          <w:p>
            <w:pPr>
              <w:pStyle w:val="Compact"/>
            </w:pPr>
            <w:r>
              <w:rPr>
                <w:rStyle w:val="VerbatimChar"/>
              </w:rPr>
              <w:t xml:space="preserve">comparisons/cr_burn_triplet_energy_ledger.png</w:t>
            </w:r>
          </w:p>
        </w:tc>
      </w:tr>
      <w:tr>
        <w:tc>
          <w:tcPr/>
          <w:p>
            <w:pPr>
              <w:pStyle w:val="Compact"/>
            </w:pPr>
            <w:r>
              <w:t xml:space="preserve">Full investigation narrative (internal)</w:t>
            </w:r>
          </w:p>
        </w:tc>
        <w:tc>
          <w:tcPr/>
          <w:p>
            <w:pPr>
              <w:pStyle w:val="Compact"/>
            </w:pPr>
            <w:r>
              <w:rPr>
                <w:rStyle w:val="VerbatimChar"/>
              </w:rPr>
              <w:t xml:space="preserve">notes/foam_vs_ice_investigation.md</w:t>
            </w:r>
          </w:p>
        </w:tc>
      </w:tr>
      <w:tr>
        <w:tc>
          <w:tcPr/>
          <w:p>
            <w:pPr>
              <w:pStyle w:val="Compact"/>
            </w:pPr>
            <w:r>
              <w:t xml:space="preserve">Reproducible analysis notebook</w:t>
            </w:r>
          </w:p>
        </w:tc>
        <w:tc>
          <w:tcPr/>
          <w:p>
            <w:pPr>
              <w:pStyle w:val="Compact"/>
            </w:pPr>
            <w:r>
              <w:rPr>
                <w:rStyle w:val="VerbatimChar"/>
              </w:rPr>
              <w:t xml:space="preserve">notebooks/foam_vs_ice_investigation.ipynb</w:t>
            </w:r>
          </w:p>
        </w:tc>
      </w:tr>
      <w:tr>
        <w:tc>
          <w:tcPr/>
          <w:p>
            <w:pPr>
              <w:pStyle w:val="Compact"/>
            </w:pPr>
            <w:r>
              <w:t xml:space="preserve">Project guide (calibration history, conventions)</w:t>
            </w:r>
          </w:p>
        </w:tc>
        <w:tc>
          <w:tcPr/>
          <w:p>
            <w:pPr>
              <w:pStyle w:val="Compact"/>
            </w:pPr>
            <w:r>
              <w:rPr>
                <w:rStyle w:val="VerbatimChar"/>
              </w:rPr>
              <w:t xml:space="preserve">CLAUDE.md</w:t>
            </w:r>
          </w:p>
        </w:tc>
      </w:tr>
      <w:tr>
        <w:tc>
          <w:tcPr/>
          <w:p>
            <w:pPr>
              <w:pStyle w:val="Compact"/>
            </w:pPr>
            <w:r>
              <w:t xml:space="preserve">PDD design-study scan tool</w:t>
            </w:r>
          </w:p>
        </w:tc>
        <w:tc>
          <w:tcPr/>
          <w:p>
            <w:pPr>
              <w:pStyle w:val="Compact"/>
            </w:pPr>
            <w:r>
              <w:rPr>
                <w:rStyle w:val="VerbatimChar"/>
              </w:rPr>
              <w:t xml:space="preserve">examples/make_pdd_scan_rhw.py</w:t>
            </w:r>
          </w:p>
        </w:tc>
      </w:tr>
      <w:tr>
        <w:tc>
          <w:tcPr/>
          <w:p>
            <w:pPr>
              <w:pStyle w:val="Compact"/>
            </w:pPr>
            <w:r>
              <w:t xml:space="preserve">PDD design-study driver</w:t>
            </w:r>
          </w:p>
        </w:tc>
        <w:tc>
          <w:tcPr/>
          <w:p>
            <w:pPr>
              <w:pStyle w:val="Compact"/>
            </w:pPr>
            <w:r>
              <w:rPr>
                <w:rStyle w:val="VerbatimChar"/>
              </w:rPr>
              <w:t xml:space="preserve">examples/run_pdd_scan.sh</w:t>
            </w:r>
          </w:p>
        </w:tc>
      </w:tr>
      <w:tr>
        <w:tc>
          <w:tcPr/>
          <w:p>
            <w:pPr>
              <w:pStyle w:val="Compact"/>
            </w:pPr>
            <w:r>
              <w:t xml:space="preserve">Foam-region density + burn metrics extractor</w:t>
            </w:r>
          </w:p>
        </w:tc>
        <w:tc>
          <w:tcPr/>
          <w:p>
            <w:pPr>
              <w:pStyle w:val="Compact"/>
            </w:pPr>
            <w:r>
              <w:rPr>
                <w:rStyle w:val="VerbatimChar"/>
              </w:rPr>
              <w:t xml:space="preserve">examples/dump_burn_region_density.py</w:t>
            </w:r>
          </w:p>
        </w:tc>
      </w:tr>
      <w:tr>
        <w:tc>
          <w:tcPr/>
          <w:p>
            <w:pPr>
              <w:pStyle w:val="Compact"/>
            </w:pPr>
            <w:r>
              <w:t xml:space="preserve">PDD design-study comparison + decision matrix</w:t>
            </w:r>
          </w:p>
        </w:tc>
        <w:tc>
          <w:tcPr/>
          <w:p>
            <w:pPr>
              <w:pStyle w:val="Compact"/>
            </w:pPr>
            <w:r>
              <w:rPr>
                <w:rStyle w:val="VerbatimChar"/>
              </w:rPr>
              <w:t xml:space="preserve">examples/pdd_design_comparison.py</w:t>
            </w:r>
          </w:p>
        </w:tc>
      </w:tr>
      <w:tr>
        <w:tc>
          <w:tcPr/>
          <w:p>
            <w:pPr>
              <w:pStyle w:val="Compact"/>
            </w:pPr>
            <w:r>
              <w:t xml:space="preserve">PDD design-study results CSV</w:t>
            </w:r>
          </w:p>
        </w:tc>
        <w:tc>
          <w:tcPr/>
          <w:p>
            <w:pPr>
              <w:pStyle w:val="Compact"/>
            </w:pPr>
            <w:r>
              <w:rPr>
                <w:rStyle w:val="VerbatimChar"/>
              </w:rPr>
              <w:t xml:space="preserve">notebooks/pdd_scan_results.csv</w:t>
            </w:r>
          </w:p>
        </w:tc>
      </w:tr>
      <w:tr>
        <w:tc>
          <w:tcPr/>
          <w:p>
            <w:pPr>
              <w:pStyle w:val="Compact"/>
            </w:pPr>
            <w:r>
              <w:t xml:space="preserve">PDD design-study comparison figure</w:t>
            </w:r>
          </w:p>
        </w:tc>
        <w:tc>
          <w:tcPr/>
          <w:p>
            <w:pPr>
              <w:pStyle w:val="Compact"/>
            </w:pPr>
            <w:r>
              <w:rPr>
                <w:rStyle w:val="VerbatimChar"/>
              </w:rPr>
              <w:t xml:space="preserve">comparisons/pdd_design_comparison.png</w:t>
            </w:r>
          </w:p>
        </w:tc>
      </w:tr>
      <w:tr>
        <w:tc>
          <w:tcPr/>
          <w:p>
            <w:pPr>
              <w:pStyle w:val="Compact"/>
            </w:pPr>
            <w:r>
              <w:t xml:space="preserve">PDD design-study runs (Studio)</w:t>
            </w:r>
          </w:p>
        </w:tc>
        <w:tc>
          <w:tcPr/>
          <w:p>
            <w:pPr>
              <w:pStyle w:val="Compact"/>
            </w:pPr>
            <w:r>
              <w:rPr>
                <w:rStyle w:val="VerbatimChar"/>
              </w:rPr>
              <w:t xml:space="preserve">~/Sims/Xcimer/Olson_PDD/PDD_scan/wf_fl012_{baseline,c20,...}_burn/</w:t>
            </w:r>
          </w:p>
        </w:tc>
      </w:tr>
    </w:tbl>
    <w:p>
      <w:r>
        <w:pict>
          <v:rect style="width:0;height:1.5pt" o:hralign="center" o:hrstd="t" o:hr="t"/>
        </w:pict>
      </w:r>
    </w:p>
    <w:p>
      <w:pPr>
        <w:pStyle w:val="FirstParagraph"/>
      </w:pPr>
      <w:r>
        <w:rPr>
          <w:i/>
          <w:iCs/>
        </w:rPr>
        <w:t xml:space="preserve">Document version 2.1 — 2026-05-30 (revises §5 with full 5-point sweep + staircase finding; c33/c25 anchors supersede c20)</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PDD Calibration: Foam-Burn Deficit and Root-Cause Analysis</dc:title>
  <dc:creator>T. Mehlhorn</dc:creator>
  <cp:keywords/>
  <dcterms:created xsi:type="dcterms:W3CDTF">2026-06-03T18:20:32Z</dcterms:created>
  <dcterms:modified xsi:type="dcterms:W3CDTF">2026-06-03T18:20:32Z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2026-05-28</vt:lpwstr>
  </property>
</Properties>
</file>