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60" w:after="0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CORPORATE MERGER — NETWORK SECURITY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Network Merger &amp; Secure Design Implementation Plan</w:t>
      </w:r>
    </w:p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2C5F8A"/>
          <w:sz w:val="24"/>
          <w:szCs w:val="24"/>
        </w:rPr>
        <w:t xml:space="preserve">Vulnerability Assessment  |  Network Redesign  |  Regulatory Compliance</w:t>
      </w:r>
    </w:p>
    <w:p>
      <w:pPr>
        <w:pBdr>
          <w:bottom w:val="single" w:color="2C5F8A" w:sz="8" w:space="1"/>
        </w:pBdr>
        <w:spacing w:before="60" w:after="6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Prepared by: Tamia Williams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Assessment Date: December 2024  |  Classification: Portfolio Sample</w:t>
      </w:r>
    </w:p>
    <w:p>
      <w:pPr>
        <w:spacing w:before="40" w:after="4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Frameworks: NIST SP 800-53  |  HIPAA  |  GDPR  |  OSI/TCP-IP  |  Defense-in-Depth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Vulnerabilities</w:t>
            </w:r>
          </w:p>
        </w:tc>
        <w:tc>
          <w:tcPr>
            <w:tcW w:type="dxa" w:w="234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Findings</w:t>
            </w:r>
          </w:p>
        </w:tc>
        <w:tc>
          <w:tcPr>
            <w:tcW w:type="dxa" w:w="234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D354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 Findings</w:t>
            </w:r>
          </w:p>
        </w:tc>
        <w:tc>
          <w:tcPr>
            <w:tcW w:type="dxa" w:w="234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Budget Constraint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32"/>
                <w:szCs w:val="32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32"/>
                <w:szCs w:val="3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32"/>
                <w:szCs w:val="32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8"/>
                <w:szCs w:val="28"/>
              </w:rPr>
              <w:t xml:space="preserve">$50,000</w:t>
            </w:r>
          </w:p>
        </w:tc>
      </w:tr>
    </w:tbl>
    <w:p>
      <w:r>
        <w:br w:type="pag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1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Executive Summary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Purpose  </w:t>
      </w:r>
      <w:r>
        <w:rPr>
          <w:rFonts w:ascii="Arial" w:cs="Arial" w:eastAsia="Arial" w:hAnsi="Arial"/>
          <w:sz w:val="20"/>
          <w:szCs w:val="20"/>
        </w:rPr>
        <w:t xml:space="preserve">This report presents a comprehensive network security evaluation and merger implementation plan for two organizations undergoing consolidation. Organization A specializes in financial services (bank cards, checking accounts, investment products); Organization B provides software solutions to medical providers. The assessment identifies critical vulnerabilities across both environments, proposes a unified secure network topology, and delivers a cost-justified implementation roadmap aligned to NIST SP 800-53, HIPAA, and GDPR requirements.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Scope  </w:t>
      </w:r>
      <w:r>
        <w:rPr>
          <w:rFonts w:ascii="Arial" w:cs="Arial" w:eastAsia="Arial" w:hAnsi="Arial"/>
          <w:sz w:val="20"/>
          <w:szCs w:val="20"/>
        </w:rPr>
        <w:t xml:space="preserve">The assessment covers vulnerability analysis, infrastructure evaluation, network topology redesign, OSI/TCP-IP layer mapping, hardware lifecycle decisions, regulatory compliance, and emerging threat mitigation. Nine vulnerabilities were identified across both organizations, four rated Critical and four rated High.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Critical Issues Identified</w:t>
            </w:r>
          </w:p>
        </w:tc>
        <w:tc>
          <w:tcPr>
            <w:tcW w:type="dxa" w:w="468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Strategic Recommendations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❗  Ghostcat exploit (CVE-2020-1938) on Apache Tomcat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❗  Windows XP EOL + unencrypted legacy protocols (rlogin, rsh)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❗  Windows Server 2008 EOL — no patches since Jan 2020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❗  No MFA across Organization B accounts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Open RDP (3389) and FTP (21) ports without access controls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Local admin privileges granted to all users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dRuby exposed without encryption or authentication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Migrate all EOL servers to Microsoft Azure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Enforce MFA across all accounts, prioritize remote/privileged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Deploy Fortinet NGF + Sophos XG in tiered firewall architecture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Standardize all endpoints on Windows 11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Implement network segmentation via Aruba switches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Replace vulnerable WAPs with Cisco 9105AXI (WPA3)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 Patch or disable Ghostcat-affected Tomcat servers immediately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Budget Outcome  </w:t>
      </w:r>
      <w:r>
        <w:rPr>
          <w:rFonts w:ascii="Arial" w:cs="Arial" w:eastAsia="Arial" w:hAnsi="Arial"/>
          <w:sz w:val="20"/>
          <w:szCs w:val="20"/>
        </w:rPr>
        <w:t xml:space="preserve">The proposed implementation achieves all critical security improvements within the $50,000 budget constraint by strategically retaining functional existing hardware, repurposing Organization B’s switches and firewalls, and migrating server infrastructure to Azure rather than investing in new on-premise hardware.</w:t>
      </w:r>
    </w:p>
    <w:p>
      <w:r>
        <w:br w:type="pag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2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Vulnerability Assessment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Nine vulnerabilities were identified across both organizations. Each is rated by likelihood of exploitation and potential business impact.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"/>
        <w:gridCol w:w="2500"/>
        <w:gridCol w:w="900"/>
        <w:gridCol w:w="900"/>
        <w:gridCol w:w="3760"/>
      </w:tblGrid>
      <w:tr>
        <w:tc>
          <w:tcPr>
            <w:tcW w:type="dxa" w:w="6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7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Org</w:t>
            </w:r>
          </w:p>
        </w:tc>
        <w:tc>
          <w:tcPr>
            <w:tcW w:type="dxa" w:w="25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Finding</w:t>
            </w:r>
          </w:p>
        </w:tc>
        <w:tc>
          <w:tcPr>
            <w:tcW w:type="dxa" w:w="9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Likelihood</w:t>
            </w:r>
          </w:p>
        </w:tc>
        <w:tc>
          <w:tcPr>
            <w:tcW w:type="dxa" w:w="9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76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Remediation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Open Ports 21 (FTP) &amp; 3389 (RDP) Exposed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Medium-High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Block Port 21; restrict RDP to VPN only; enforce MFA on all remote access; implement network-level firewall rules.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Insufficient Password Policy (8-char minimum, no rotation)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Enforce 14+ character minimum; require complexity; implement 90-day rotation policy; deploy password manager.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EOL Hardware &amp; Mixed OS Environment (Win 7/10/11)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Decommission EOL hardware; standardize on Windows 11; implement centralized patch management (WSUS or equivalent).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Windows Server 2008 (EOL since Jan 2020)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Migrate to Azure cloud services; decommission on-premise legacy servers immediately.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Distributed Ruby (dRuby/DRb) Remote Code Execution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Disable DRb or restrict to localhost; implement authentication and TLS encryption; audit all Ruby network services.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No Multi-Factor Authentication (MFA)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Enforce MFA on all accounts organization-wide; prioritize privileged and remote access accounts.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Apache Tomcat — Ghostcat Exploit (CVE-2020-1938)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Patch Apache Tomcat immediately; upgrade to 9.0.31+ or 8.5.51+; restrict AJP connector access.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Windows XP EOL + Legacy Protocols (rlogin, rsh)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Upgrade all Windows XP workstations to Windows 11; disable rlogin/rsh; replace with SSH.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V-009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Org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Local Administrative Privileges Granted to All Users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Implement least privilege; revoke local admin rights; use privileged access management (PAM) for admin tasks.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2.1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Vulnerability Detail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V-001  |  Org A  |  Open Ports 21 (FTP) &amp; 3389 (RDP) Exposed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Port 3389 (RDP) exposed without MFA or access controls; Port 21 (FTP) transmits credentials in cleartext enabling interception and MITM attacks.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Medium-High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Block Port 21; restrict RDP to VPN only; enforce MFA on all remote access; implement network-level firewall rules.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V-002  |  Org A  |  Insufficient Password Policy (8-char minimum, no rotation)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8-character passwords are insufficient against modern brute-force techniques. No mandatory rotation policy further increases credential compromise risk.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Enforce 14+ character minimum; require complexity; implement 90-day rotation policy; deploy password manager.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V-003  |  Org A  |  EOL Hardware &amp; Mixed OS Environment (Win 7/10/11)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End-of-life hardware no longer receives vendor patches. Mixed OS environment increases patch management complexity and human error risk.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Decommission EOL hardware; standardize on Windows 11; implement centralized patch management (WSUS or equivalent).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V-004  |  Org A  |  Windows Server 2008 (EOL since Jan 2020)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Known vulnerabilities are publicly documented and unpatched. Legacy server lacks modern security controls and is an attractive target for attackers.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Migrate to Azure cloud services; decommission on-premise legacy servers immediately.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A6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V-005  |  Org B  |  Distributed Ruby (dRuby/DRb) Remote Code Execution Risk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DRb configured without encryption, authentication, or access restrictions. Attackers can inject malicious code and gain full control over affected systems.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01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Disable DRb or restrict to localhost; implement authentication and TLS encryption; audit all Ruby network services.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A6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V-006  |  Org B  |  No Multi-Factor Authentication (MFA)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Single-factor authentication leaves all accounts vulnerable to brute force, phishing, and credential stuffing attacks.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Enforce MFA on all accounts organization-wide; prioritize privileged and remote access accounts.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A6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V-007  |  Org B  |  Apache Tomcat — Ghostcat Exploit (CVE-2020-1938)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Ghostcat vulnerability allows attackers to read arbitrary files including credentials and configuration data, directly undermining CIA triad principles.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Patch Apache Tomcat immediately; upgrade to 9.0.31+ or 8.5.51+; restrict AJP connector access.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A6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V-008  |  Org B  |  Windows XP EOL + Legacy Protocols (rlogin, rsh)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Windows XP EOL since 2014 with no security updates. Legacy protocols rlogin and rsh transmit without encryption, exposing credentials and sessions.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Upgrade all Windows XP workstations to Windows 11; disable rlogin/rsh; replace with SSH.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A6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V-009  |  Org B  |  Local Administrative Privileges Granted to All Users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Detail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Unrestricted local admin rights allow users to install malicious software (trojans, ransomware) with full system privileges. Inconsistent settings create exploitable gaps.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Likelihood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Remediation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Implement least privilege; revoke local admin rights; use privileged access management (PAM) for admin tasks.</w:t>
            </w:r>
          </w:p>
        </w:tc>
      </w:tr>
    </w:tbl>
    <w:p>
      <w:r>
        <w:br w:type="pag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3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Proposed Network Topology &amp; Component Analysis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proposed unified network topology employs a defense-in-depth architecture with layered firewalls, network segmentation, cloud-based infrastructure, and MFA-enforced access at every entry point. The diagram below reflects the key components and their logical placement across the merged organization.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Topology Overview  </w:t>
      </w:r>
      <w:r>
        <w:rPr>
          <w:rFonts w:ascii="Arial" w:cs="Arial" w:eastAsia="Arial" w:hAnsi="Arial"/>
          <w:sz w:val="20"/>
          <w:szCs w:val="20"/>
        </w:rPr>
        <w:t xml:space="preserve">Both organizations connect through a Fortinet Next-Generation Firewall at the perimeter, with Sophos XG firewalls providing a secondary layer within each network segment. Cisco ISR 4321 routers handle internal routing. Remote access routes through VPN before reaching any internal resource. All legacy on-premise servers are replaced by Microsoft Azure cloud services. Wireless access is secured via Cisco 9105AXI access points running WPA3.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600"/>
        <w:gridCol w:w="2760"/>
        <w:gridCol w:w="1400"/>
      </w:tblGrid>
      <w:tr>
        <w:tc>
          <w:tcPr>
            <w:tcW w:type="dxa" w:w="22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4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OSI/TCP-IP Layer</w:t>
            </w:r>
          </w:p>
        </w:tc>
        <w:tc>
          <w:tcPr>
            <w:tcW w:type="dxa" w:w="276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Security Function</w:t>
            </w:r>
          </w:p>
        </w:tc>
        <w:tc>
          <w:tcPr>
            <w:tcW w:type="dxa" w:w="14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Fortinet Next-Gen Firewall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Retained from Org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Network/Transport (L3/L4)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Perimeter traffic control; advanced threat detection; IPS/IDS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$0 (existing)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Sophos XG Firewalls (x2)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Repurposed from Org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Network/Transport (L3/L4)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Secondary firewall layer; one per organization post-merger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$0 (existing)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Cisco ISR 4321 Routers (x2)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New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 Layer (L3)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Secure internal routing; replaces EOL routing equipment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$4,100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Cisco 9105AXI WAPs (x2)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New Purchase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Physical/Data Link (L1/L2)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WPA3-secured wireless; replaces vulnerable legacy 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$739.98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Aruba 2930F Switches (x3)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Redistributed from Org 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Data Link (L2)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 segmentation; 2 remain at Org B, 1 reallocated to Org 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$0 (existing)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Microsoft Azure Cloud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New —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 Layer (L7)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Replaces all EOL on-premise servers; HIPAA/GDPR compliant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$2,231/mo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VPN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Retained/Configured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Network/Data Link (L3/L2)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Secure remote access for both organizations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$0 (configured)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Windows 11 Upgrades (89 devices)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Upgrade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 Layer (L7)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14 laptops (Org A) + up to 75 workstations (Org B)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~$8,811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3.1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OSI &amp; TCP/IP Layer Mapping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3360"/>
      </w:tblGrid>
      <w:tr>
        <w:tc>
          <w:tcPr>
            <w:tcW w:type="dxa" w:w="24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OSI Layer</w:t>
            </w:r>
          </w:p>
        </w:tc>
        <w:tc>
          <w:tcPr>
            <w:tcW w:type="dxa" w:w="18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TCP/IP Layer</w:t>
            </w:r>
          </w:p>
        </w:tc>
        <w:tc>
          <w:tcPr>
            <w:tcW w:type="dxa" w:w="336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Azure Cloud Services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 (L7)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Cloud-hosted servers, file services, exchange, SharePoint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Fortinet Next-Gen Firewall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 + Transport (L3/L4)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Internet + 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Perimeter security, traffic inspection, IPS/IDS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Sophos XG Firewalls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 + Transport (L3/L4)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Internet + Transport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Secondary firewall layer, internal segmentation enforcement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VPN Connections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 + Data Link (L3/L2)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Internet + 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Encrypted remote access tunnels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Cisco ISR 4321 Routers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Network (L3)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Internet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Internal routing, traffic management between segments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Aruba 2930F Switches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Data Link (L2)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Physical network segmentation, VLAN support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Cisco 9105AXI WAPs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Physical + Data Link (L1/L2)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Link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WPA3 wireless access, isolated from core network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Windows Desktops/Laptops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 (L7)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End-user devices, MFA-enforced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Workstations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 (L7)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End-user devices, MFA-enforced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8"/>
                <w:szCs w:val="18"/>
              </w:rPr>
              <w:t xml:space="preserve">Pooled Printers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 (L7)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Application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Shared print services, firmware-maintained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4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Secure Network Design Principles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Defense-in-Depth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proposed design employs multiple independent security layers so that failure of any single control does not result in a compromise. Layers include: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Perimeter: Fortinet NGF blocks and inspects all inbound/outbound traffic at the network edge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Internal: Sophos XG firewalls provide a secondary enforcement layer within each organization’s segment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Routing: Cisco ISR 4321 routers manage internal traffic with access control list (ACL) enforcement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Cloud: Microsoft Azure provides advanced threat detection, data encryption, and secure access controls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Endpoint: MFA enforced at all workstations, laptops, and remote access points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Network Segmentation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Network segmentation limits the blast radius of any breach by isolating systems into discrete zones: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Wireless networks are isolated from core systems via Cisco 9105AXI access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Aruba 2930F switches enforce VLAN-based segmentation within physical locations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Sensitive resources (financial data, PHI) are isolated from general user traffic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Cloud resources in Azure are segmented using virtual networks and security groups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2C5F8A"/>
          <w:sz w:val="22"/>
          <w:szCs w:val="22"/>
        </w:rPr>
        <w:t xml:space="preserve">Principle of Least Privilege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Local administrative privileges are revoked from standard user accounts across both organizations. Role-based access control (RBAC) ensures users access only the systems and data required for their job function. Privileged access management (PAM) tools are recommended for all administrative tasks.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5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Regulatory Compliance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Regulation</w:t>
            </w:r>
          </w:p>
        </w:tc>
        <w:tc>
          <w:tcPr>
            <w:tcW w:type="dxa" w:w="24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Applicability</w:t>
            </w:r>
          </w:p>
        </w:tc>
        <w:tc>
          <w:tcPr>
            <w:tcW w:type="dxa" w:w="268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Requirements Addressed</w:t>
            </w:r>
          </w:p>
        </w:tc>
        <w:tc>
          <w:tcPr>
            <w:tcW w:type="dxa" w:w="268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How the Design Complies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HIPAA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Organization B provides software to medical providers — PHI handled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Confidentiality, integrity, and availability of PHI; technical safeguards; access controls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Azure HIPAA-compliant cloud; network segmentation isolates PHI systems; MFA enforced; encryption in transit and at rest; Fortinet/Sophos provide audit trails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GDPR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Organization A operates globally including EU; processes EU resident personal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Data protection by design; lawful processing; data integrity; breach notification readiness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Azure GDPR-compliant services with encryption; access controls limit unauthorized processing; audit logging supports breach notification timelines; segmentation limits data exposure 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NIST SP 800-53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Federal cybersecurity best practices applied throughout design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AC, CA, IA, RA, SI, SC control families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RBAC (AC-6); MFA (IA-2); continuous monitoring via Azure (CA-7); network segmentation (SC-7); patch management (SI-2); risk assessment methodology applied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6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Emerging Threat Analysis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Threat</w:t>
            </w:r>
          </w:p>
        </w:tc>
        <w:tc>
          <w:tcPr>
            <w:tcW w:type="dxa" w:w="24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to This Environment</w:t>
            </w:r>
          </w:p>
        </w:tc>
        <w:tc>
          <w:tcPr>
            <w:tcW w:type="dxa" w:w="268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Potential Impact</w:t>
            </w:r>
          </w:p>
        </w:tc>
        <w:tc>
          <w:tcPr>
            <w:tcW w:type="dxa" w:w="268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Mitigations Applied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19"/>
                <w:szCs w:val="19"/>
              </w:rPr>
              <w:t xml:space="preserve">Ransomware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Cloud credential compromise could allow ransomware deployment; misconfigured firewalls expand attack surface; PHI encryption risk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Encryption of critical data; operational downtime; HIPAA breach notification obligations; severe reputational damage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RBAC limits blast radius; Azure audit logging enables real-time detection; network segmentation contains spread; MFA prevents credential-based entry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35400"/>
                <w:sz w:val="19"/>
                <w:szCs w:val="19"/>
              </w:rPr>
              <w:t xml:space="preserve">Zero-Day Exploits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New integrated tools and systems increase zero-day exposure; unpatched firewall or cloud components could be exploited before vendor patches available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Unauthorized access; data breach; emergency patching causing downtime; degraded network performance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Regular Sophos vulnerability scans; robust patch management processes; threat intelligence subscriptions; vendor security advisories monitored proactively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br w:type="pag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7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  —  Implementation Budget Summary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c>
          <w:tcPr>
            <w:tcW w:type="dxa" w:w="32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36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  <w:tc>
          <w:tcPr>
            <w:tcW w:type="dxa" w:w="1800"/>
            <w:gridSpan w:val="1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Cisco ISR 4321 Routers (x2)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New hardware — secure routing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$4,100.00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Cisco 9105AXI Wireless APs (x2)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New hardware — WPA3 wireless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$739.98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Microsoft Azure Cloud (Year 1)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Cloud migration — $2,231.28/mo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$26,775.36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Windows 11 Device Upgrades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Up to 89 devices @ $99/device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$8,811.00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Fortinet Firewall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Retained — no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Sophos XG Firewalls (x2)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Repurposed — no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Aruba 2930F Switches (x3)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Redistributed — no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19"/>
                <w:szCs w:val="19"/>
              </w:rPr>
              <w:t xml:space="preserve">Pooled Printers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Retained — no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$0.00</w:t>
            </w:r>
          </w:p>
        </w:tc>
      </w:tr>
      <w:tr>
        <w:tc>
          <w:tcPr>
            <w:tcW w:type="dxa" w:w="75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YEAR 1 INVESTMENT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$40,426.34</w:t>
            </w:r>
          </w:p>
        </w:tc>
      </w:tr>
      <w:tr>
        <w:tc>
          <w:tcPr>
            <w:tcW w:type="dxa" w:w="7560"/>
            <w:gridSpan w:val="2"/>
            <w:tcBorders>
              <w:top w:val="single" w:color="2C5F8A" w:sz="2"/>
              <w:left w:val="single" w:color="2C5F8A" w:sz="2"/>
              <w:bottom w:val="single" w:color="2C5F8A" w:sz="2"/>
              <w:right w:val="single" w:color="2C5F8A" w:sz="2"/>
            </w:tcBorders>
            <w:shd w:fill="1A6B7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REMAINING BUDGET RESERVE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$9,573.66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Budget Strategy  </w:t>
      </w:r>
      <w:r>
        <w:rPr>
          <w:rFonts w:ascii="Arial" w:cs="Arial" w:eastAsia="Arial" w:hAnsi="Arial"/>
          <w:sz w:val="20"/>
          <w:szCs w:val="20"/>
        </w:rPr>
        <w:t xml:space="preserve">By retaining functional hardware (Fortinet firewall, pooled printers), repurposing existing assets (Sophos firewalls, Aruba switches), and migrating server infrastructure to Azure rather than purchasing new on-premise hardware, the implementation achieves all critical security objectives while remaining $9,573 under the $50,000 budget constraint.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C5F8A" w:sz="6" w:space="2"/>
        </w:pBdr>
        <w:spacing w:before="160" w:after="80"/>
      </w:pPr>
    </w:p>
    <w:p>
      <w:pPr>
        <w:spacing w:before="80" w:after="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References</w:t>
      </w:r>
    </w:p>
    <w:p>
      <w:p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Arthur, C. (2014). As Windows XP support ends, are ‘xpocalypse’ reports overblown? The Guardian.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Center for Internet Security. (2021). CIS Controls v8 — Critical security controls for effective cyber defense.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Coalition Inc. (2023). How to mitigate the risks of internet-exposed RDP. Coalition Security Research.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National Institute of Standards and Technology. (2021). NIST SP 800-123 — Guide to general server security.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National Institute of Standards and Technology. (2020). NIST SP 800-53 Rev. 5 — Security and privacy controls for information systems and organizations.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Scalefusion. (2024). OS vulnerability management: Types, risks, and solutions.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Zhang, C., Zhou, S., &amp; Chain, B. M. (2015). Hybrid epidemics — A case study on computer worm Conficker. PLoS ONE, 10(5).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2026-03-17T17:27:47.101Z</dcterms:created>
  <dcterms:modified xsi:type="dcterms:W3CDTF">2026-03-17T17:27:47.103Z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