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60" w:after="0"/>
        <w:jc w:val="center"/>
      </w:pPr>
      <w:r>
        <w:rPr>
          <w:rFonts w:ascii="Arial" w:cs="Arial" w:eastAsia="Arial" w:hAnsi="Arial"/>
          <w:b/>
          <w:bCs/>
          <w:color w:val="888888"/>
          <w:sz w:val="22"/>
          <w:szCs w:val="22"/>
        </w:rPr>
        <w:t xml:space="preserve">HEALTHCARE ORGANIZATION</w:t>
      </w:r>
    </w:p>
    <w:p>
      <w:pPr>
        <w:spacing w:before="120" w:after="120"/>
        <w:jc w:val="center"/>
      </w:pPr>
      <w:r>
        <w:rPr>
          <w:rFonts w:ascii="Arial" w:cs="Arial" w:eastAsia="Arial" w:hAnsi="Arial"/>
          <w:b/>
          <w:bCs/>
          <w:color w:val="1B3A5C"/>
          <w:sz w:val="44"/>
          <w:szCs w:val="44"/>
        </w:rPr>
        <w:t xml:space="preserve">Security Evaluation &amp; Remediation Report</w:t>
      </w:r>
    </w:p>
    <w:p>
      <w:pPr>
        <w:spacing w:before="60" w:after="60"/>
        <w:jc w:val="center"/>
      </w:pPr>
      <w:r>
        <w:rPr>
          <w:rFonts w:ascii="Arial" w:cs="Arial" w:eastAsia="Arial" w:hAnsi="Arial"/>
          <w:i/>
          <w:iCs/>
          <w:color w:val="2C5F8A"/>
          <w:sz w:val="26"/>
          <w:szCs w:val="26"/>
        </w:rPr>
        <w:t xml:space="preserve">Governance, Risk &amp; Compliance Assessment</w:t>
      </w:r>
    </w:p>
    <w:p>
      <w:pPr>
        <w:pBdr>
          <w:bottom w:val="single" w:color="2C5F8A" w:sz="8" w:space="1"/>
        </w:pBdr>
        <w:spacing w:before="60" w:after="60"/>
      </w:pPr>
    </w:p>
    <w:p>
      <w:pPr>
        <w:spacing w:before="120" w:after="60"/>
        <w:jc w:val="center"/>
      </w:pPr>
      <w:r>
        <w:rPr>
          <w:rFonts w:ascii="Arial" w:cs="Arial" w:eastAsia="Arial" w:hAnsi="Arial"/>
          <w:color w:val="444444"/>
          <w:sz w:val="22"/>
          <w:szCs w:val="22"/>
        </w:rPr>
        <w:t xml:space="preserve">Prepared by: Tamia Williams</w:t>
      </w:r>
    </w:p>
    <w:p>
      <w:pPr>
        <w:spacing w:before="40" w:after="40"/>
        <w:jc w:val="center"/>
      </w:pPr>
      <w:r>
        <w:rPr>
          <w:rFonts w:ascii="Arial" w:cs="Arial" w:eastAsia="Arial" w:hAnsi="Arial"/>
          <w:color w:val="666666"/>
          <w:sz w:val="20"/>
          <w:szCs w:val="20"/>
        </w:rPr>
        <w:t xml:space="preserve">Assessment Date: May 2025  |  Classification: Portfolio Sample</w:t>
      </w:r>
    </w:p>
    <w:p>
      <w:pPr>
        <w:spacing w:before="40" w:after="480"/>
        <w:jc w:val="center"/>
      </w:pPr>
      <w:r>
        <w:rPr>
          <w:rFonts w:ascii="Arial" w:cs="Arial" w:eastAsia="Arial" w:hAnsi="Arial"/>
          <w:i/>
          <w:iCs/>
          <w:color w:val="666666"/>
          <w:sz w:val="20"/>
          <w:szCs w:val="20"/>
        </w:rPr>
        <w:t xml:space="preserve">Frameworks: NIST SP 800-53 Rev. 5  |  FISMA  |  PCI DSS v4.0  |  CIS Controls v8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2C5F8A" w:sz="2"/>
              <w:left w:val="single" w:color="2C5F8A" w:sz="2"/>
              <w:bottom w:val="single" w:color="2C5F8A" w:sz="2"/>
              <w:right w:val="single" w:color="2C5F8A" w:sz="2"/>
            </w:tcBorders>
            <w:shd w:fill="2C5F8A"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Total Findings</w:t>
            </w:r>
          </w:p>
        </w:tc>
        <w:tc>
          <w:tcPr>
            <w:tcW w:type="dxa" w:w="2340"/>
            <w:gridSpan w:val="1"/>
            <w:tcBorders>
              <w:top w:val="single" w:color="2C5F8A" w:sz="2"/>
              <w:left w:val="single" w:color="2C5F8A" w:sz="2"/>
              <w:bottom w:val="single" w:color="2C5F8A" w:sz="2"/>
              <w:right w:val="single" w:color="2C5F8A" w:sz="2"/>
            </w:tcBorders>
            <w:shd w:fill="C0392B"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High / Critical</w:t>
            </w:r>
          </w:p>
        </w:tc>
        <w:tc>
          <w:tcPr>
            <w:tcW w:type="dxa" w:w="2340"/>
            <w:gridSpan w:val="1"/>
            <w:tcBorders>
              <w:top w:val="single" w:color="2C5F8A" w:sz="2"/>
              <w:left w:val="single" w:color="2C5F8A" w:sz="2"/>
              <w:bottom w:val="single" w:color="2C5F8A" w:sz="2"/>
              <w:right w:val="single" w:color="2C5F8A" w:sz="2"/>
            </w:tcBorders>
            <w:shd w:fill="D35400"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Moderate</w:t>
            </w:r>
          </w:p>
        </w:tc>
        <w:tc>
          <w:tcPr>
            <w:tcW w:type="dxa" w:w="2340"/>
            <w:gridSpan w:val="1"/>
            <w:tcBorders>
              <w:top w:val="single" w:color="2C5F8A" w:sz="2"/>
              <w:left w:val="single" w:color="2C5F8A" w:sz="2"/>
              <w:bottom w:val="single" w:color="2C5F8A" w:sz="2"/>
              <w:right w:val="single" w:color="2C5F8A"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Assessment Status</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B3A5C"/>
                <w:sz w:val="32"/>
                <w:szCs w:val="32"/>
              </w:rPr>
              <w:t xml:space="preserve">7</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C0392B"/>
                <w:sz w:val="32"/>
                <w:szCs w:val="32"/>
              </w:rPr>
              <w:t xml:space="preserve">3</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D35400"/>
                <w:sz w:val="32"/>
                <w:szCs w:val="32"/>
              </w:rPr>
              <w:t xml:space="preserve">2</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B3A5C"/>
                <w:sz w:val="19"/>
                <w:szCs w:val="19"/>
              </w:rPr>
              <w:t xml:space="preserve">Remediation Required</w:t>
            </w:r>
          </w:p>
        </w:tc>
      </w:tr>
    </w:tbl>
    <w:p>
      <w:r>
        <w:br w:type="page"/>
      </w:r>
    </w:p>
    <w:p>
      <w:pPr>
        <w:pBdr>
          <w:bottom w:val="single" w:color="2C5F8A" w:sz="6" w:space="2"/>
        </w:pBdr>
        <w:spacing w:before="160" w:after="80"/>
      </w:pPr>
    </w:p>
    <w:p>
      <w:pPr>
        <w:spacing w:before="80" w:after="60"/>
      </w:pPr>
      <w:r>
        <w:rPr>
          <w:rFonts w:ascii="Arial" w:cs="Arial" w:eastAsia="Arial" w:hAnsi="Arial"/>
          <w:b/>
          <w:bCs/>
          <w:color w:val="1B3A5C"/>
          <w:sz w:val="28"/>
          <w:szCs w:val="28"/>
        </w:rPr>
        <w:t xml:space="preserve">Section 1</w:t>
      </w:r>
      <w:r>
        <w:rPr>
          <w:rFonts w:ascii="Arial" w:cs="Arial" w:eastAsia="Arial" w:hAnsi="Arial"/>
          <w:i/>
          <w:iCs/>
          <w:color w:val="666666"/>
          <w:sz w:val="22"/>
          <w:szCs w:val="22"/>
        </w:rPr>
        <w:t xml:space="preserve">  —  Executive Summary</w:t>
      </w:r>
    </w:p>
    <w:p>
      <w:pPr>
        <w:spacing w:before="40" w:after="40"/>
      </w:pPr>
      <w:r>
        <w:rPr>
          <w:rFonts w:ascii="Arial" w:cs="Arial" w:eastAsia="Arial" w:hAnsi="Arial"/>
          <w:sz w:val="20"/>
          <w:szCs w:val="20"/>
        </w:rPr>
        <w:t xml:space="preserve"/>
      </w:r>
    </w:p>
    <w:p>
      <w:pPr>
        <w:spacing w:before="60" w:after="60"/>
      </w:pPr>
      <w:r>
        <w:rPr>
          <w:rFonts w:ascii="Arial" w:cs="Arial" w:eastAsia="Arial" w:hAnsi="Arial"/>
          <w:b/>
          <w:bCs/>
          <w:sz w:val="20"/>
          <w:szCs w:val="20"/>
        </w:rPr>
        <w:t xml:space="preserve">Purpose of This Assessment  </w:t>
      </w:r>
      <w:r>
        <w:rPr>
          <w:rFonts w:ascii="Arial" w:cs="Arial" w:eastAsia="Arial" w:hAnsi="Arial"/>
          <w:sz w:val="20"/>
          <w:szCs w:val="20"/>
        </w:rPr>
        <w:t xml:space="preserve">This report presents findings from a comprehensive cybersecurity evaluation conducted for a mid-size healthcare organization. The assessment was initiated following receipt of a third-party Security Assessment Report (SAR) from an external consulting firm. The purpose of this report is to evaluate those findings, assign risk ratings, and deliver a structured remediation roadmap aligned to NIST SP 800-53 Rev. 5 and applicable federal compliance requirements.</w:t>
      </w:r>
    </w:p>
    <w:p>
      <w:pPr>
        <w:spacing w:before="40" w:after="40"/>
      </w:pPr>
      <w:r>
        <w:rPr>
          <w:rFonts w:ascii="Arial" w:cs="Arial" w:eastAsia="Arial" w:hAnsi="Arial"/>
          <w:sz w:val="20"/>
          <w:szCs w:val="20"/>
        </w:rPr>
        <w:t xml:space="preserve"/>
      </w:r>
    </w:p>
    <w:p>
      <w:pPr>
        <w:spacing w:before="60" w:after="60"/>
      </w:pPr>
      <w:r>
        <w:rPr>
          <w:rFonts w:ascii="Arial" w:cs="Arial" w:eastAsia="Arial" w:hAnsi="Arial"/>
          <w:b/>
          <w:bCs/>
          <w:sz w:val="20"/>
          <w:szCs w:val="20"/>
        </w:rPr>
        <w:t xml:space="preserve">Scope  </w:t>
      </w:r>
      <w:r>
        <w:rPr>
          <w:rFonts w:ascii="Arial" w:cs="Arial" w:eastAsia="Arial" w:hAnsi="Arial"/>
          <w:sz w:val="20"/>
          <w:szCs w:val="20"/>
        </w:rPr>
        <w:t xml:space="preserve">The assessment covers identity and access management, risk management practices, continuous monitoring capabilities, security documentation, endpoint protection, and payment card data security. Seven findings were identified across six NIST control families.</w:t>
      </w:r>
    </w:p>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2C5F8A" w:sz="2"/>
              <w:left w:val="single" w:color="2C5F8A" w:sz="2"/>
              <w:bottom w:val="single" w:color="2C5F8A" w:sz="2"/>
              <w:right w:val="single" w:color="2C5F8A"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Key Findings</w:t>
            </w:r>
          </w:p>
        </w:tc>
        <w:tc>
          <w:tcPr>
            <w:tcW w:type="dxa" w:w="4680"/>
            <w:gridSpan w:val="1"/>
            <w:tcBorders>
              <w:top w:val="single" w:color="2C5F8A" w:sz="2"/>
              <w:left w:val="single" w:color="2C5F8A" w:sz="2"/>
              <w:bottom w:val="single" w:color="2C5F8A" w:sz="2"/>
              <w:right w:val="single" w:color="2C5F8A" w:sz="2"/>
            </w:tcBorders>
            <w:shd w:fill="C0392B"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Immediate Priorities</w:t>
            </w:r>
          </w:p>
        </w:tc>
      </w:tr>
      <w:tr>
        <w:tc>
          <w:tcPr>
            <w:tcBorders>
              <w:top w:val="single" w:color="CCCCCC" w:sz="1"/>
              <w:left w:val="single" w:color="CCCCCC" w:sz="1"/>
              <w:bottom w:val="single" w:color="CCCCCC" w:sz="1"/>
              <w:right w:val="single" w:color="CCCCCC" w:sz="1"/>
            </w:tcBorders>
            <w:shd w:fill="F4F6F9" w:val="clear"/>
            <w:tcMar>
              <w:top w:type="dxa" w:w="100"/>
              <w:left w:type="dxa" w:w="120"/>
              <w:bottom w:type="dxa" w:w="100"/>
              <w:right w:type="dxa" w:w="120"/>
            </w:tcMar>
          </w:tcPr>
          <w:p>
            <w:pPr>
              <w:spacing w:before="60" w:after="60"/>
            </w:pPr>
            <w:r>
              <w:rPr>
                <w:rFonts w:ascii="Arial" w:cs="Arial" w:eastAsia="Arial" w:hAnsi="Arial"/>
                <w:sz w:val="20"/>
                <w:szCs w:val="20"/>
              </w:rPr>
              <w:t xml:space="preserve">•  No MFA enforcement on remote or privileged access</w:t>
            </w:r>
          </w:p>
          <w:p>
            <w:pPr>
              <w:spacing w:before="60" w:after="60"/>
            </w:pPr>
            <w:r>
              <w:rPr>
                <w:rFonts w:ascii="Arial" w:cs="Arial" w:eastAsia="Arial" w:hAnsi="Arial"/>
                <w:sz w:val="20"/>
                <w:szCs w:val="20"/>
              </w:rPr>
              <w:t xml:space="preserve">•  No continuous monitoring or SIEM in place</w:t>
            </w:r>
          </w:p>
          <w:p>
            <w:pPr>
              <w:spacing w:before="60" w:after="60"/>
            </w:pPr>
            <w:r>
              <w:rPr>
                <w:rFonts w:ascii="Arial" w:cs="Arial" w:eastAsia="Arial" w:hAnsi="Arial"/>
                <w:sz w:val="20"/>
                <w:szCs w:val="20"/>
              </w:rPr>
              <w:t xml:space="preserve">•  Least privilege not enforced across user accounts</w:t>
            </w:r>
          </w:p>
          <w:p>
            <w:pPr>
              <w:spacing w:before="60" w:after="60"/>
            </w:pPr>
            <w:r>
              <w:rPr>
                <w:rFonts w:ascii="Arial" w:cs="Arial" w:eastAsia="Arial" w:hAnsi="Arial"/>
                <w:sz w:val="20"/>
                <w:szCs w:val="20"/>
              </w:rPr>
              <w:t xml:space="preserve">•  No current organizational risk assessment</w:t>
            </w:r>
          </w:p>
          <w:p>
            <w:pPr>
              <w:spacing w:before="60" w:after="60"/>
            </w:pPr>
            <w:r>
              <w:rPr>
                <w:rFonts w:ascii="Arial" w:cs="Arial" w:eastAsia="Arial" w:hAnsi="Arial"/>
                <w:sz w:val="20"/>
                <w:szCs w:val="20"/>
              </w:rPr>
              <w:t xml:space="preserve">•  Outdated/absent security documentation (SSP, POA&amp;M)</w:t>
            </w:r>
          </w:p>
          <w:p>
            <w:pPr>
              <w:spacing w:before="60" w:after="60"/>
            </w:pPr>
            <w:r>
              <w:rPr>
                <w:rFonts w:ascii="Arial" w:cs="Arial" w:eastAsia="Arial" w:hAnsi="Arial"/>
                <w:sz w:val="20"/>
                <w:szCs w:val="20"/>
              </w:rPr>
              <w:t xml:space="preserve">•  Unlicensed or missing endpoint protection</w:t>
            </w:r>
          </w:p>
          <w:p>
            <w:pPr>
              <w:spacing w:before="60" w:after="60"/>
            </w:pPr>
            <w:r>
              <w:rPr>
                <w:rFonts w:ascii="Arial" w:cs="Arial" w:eastAsia="Arial" w:hAnsi="Arial"/>
                <w:sz w:val="20"/>
                <w:szCs w:val="20"/>
              </w:rPr>
              <w:t xml:space="preserve">•  No formal risk response decision framework</w:t>
            </w:r>
          </w:p>
        </w:tc>
        <w:tc>
          <w:tcPr>
            <w:tcBorders>
              <w:top w:val="single" w:color="CCCCCC" w:sz="1"/>
              <w:left w:val="single" w:color="CCCCCC" w:sz="1"/>
              <w:bottom w:val="single" w:color="CCCCCC" w:sz="1"/>
              <w:right w:val="single" w:color="CCCCCC" w:sz="1"/>
            </w:tcBorders>
            <w:shd w:fill="FFF5F5" w:val="clear"/>
            <w:tcMar>
              <w:top w:type="dxa" w:w="100"/>
              <w:left w:type="dxa" w:w="120"/>
              <w:bottom w:type="dxa" w:w="100"/>
              <w:right w:type="dxa" w:w="120"/>
            </w:tcMar>
          </w:tcPr>
          <w:p>
            <w:pPr>
              <w:spacing w:before="60" w:after="60"/>
            </w:pPr>
            <w:r>
              <w:rPr>
                <w:rFonts w:ascii="Arial" w:cs="Arial" w:eastAsia="Arial" w:hAnsi="Arial"/>
                <w:sz w:val="20"/>
                <w:szCs w:val="20"/>
              </w:rPr>
              <w:t xml:space="preserve">❗  Deploy MFA immediately for all remote &amp; privileged accounts</w:t>
            </w:r>
          </w:p>
          <w:p>
            <w:pPr>
              <w:spacing w:before="60" w:after="60"/>
            </w:pPr>
            <w:r>
              <w:rPr>
                <w:rFonts w:ascii="Arial" w:cs="Arial" w:eastAsia="Arial" w:hAnsi="Arial"/>
                <w:sz w:val="20"/>
                <w:szCs w:val="20"/>
              </w:rPr>
              <w:t xml:space="preserve">❗  Initiate SIEM procurement and deployment planning</w:t>
            </w:r>
          </w:p>
          <w:p>
            <w:pPr>
              <w:spacing w:before="60" w:after="60"/>
            </w:pPr>
            <w:r>
              <w:rPr>
                <w:rFonts w:ascii="Arial" w:cs="Arial" w:eastAsia="Arial" w:hAnsi="Arial"/>
                <w:sz w:val="20"/>
                <w:szCs w:val="20"/>
              </w:rPr>
              <w:t xml:space="preserve">❗  Conduct full NIST SP 800-30 risk assessment</w:t>
            </w:r>
          </w:p>
          <w:p>
            <w:pPr>
              <w:spacing w:before="60" w:after="60"/>
            </w:pPr>
            <w:r>
              <w:rPr>
                <w:rFonts w:ascii="Arial" w:cs="Arial" w:eastAsia="Arial" w:hAnsi="Arial"/>
                <w:sz w:val="20"/>
                <w:szCs w:val="20"/>
              </w:rPr>
              <w:t xml:space="preserve">❗  Implement RBAC and quarterly access audits</w:t>
            </w:r>
          </w:p>
          <w:p>
            <w:pPr>
              <w:spacing w:before="60" w:after="60"/>
            </w:pPr>
            <w:r>
              <w:rPr>
                <w:rFonts w:ascii="Arial" w:cs="Arial" w:eastAsia="Arial" w:hAnsi="Arial"/>
                <w:sz w:val="20"/>
                <w:szCs w:val="20"/>
              </w:rPr>
              <w:t xml:space="preserve">❗  Establish POA&amp;M tracking within a GRC platform</w:t>
            </w:r>
          </w:p>
        </w:tc>
      </w:tr>
    </w:tbl>
    <w:p>
      <w:pPr>
        <w:spacing w:before="40" w:after="40"/>
      </w:pPr>
      <w:r>
        <w:rPr>
          <w:rFonts w:ascii="Arial" w:cs="Arial" w:eastAsia="Arial" w:hAnsi="Arial"/>
          <w:sz w:val="20"/>
          <w:szCs w:val="20"/>
        </w:rPr>
        <w:t xml:space="preserve"/>
      </w:r>
    </w:p>
    <w:p>
      <w:pPr>
        <w:spacing w:before="60" w:after="60"/>
      </w:pPr>
      <w:r>
        <w:rPr>
          <w:rFonts w:ascii="Arial" w:cs="Arial" w:eastAsia="Arial" w:hAnsi="Arial"/>
          <w:b/>
          <w:bCs/>
          <w:sz w:val="20"/>
          <w:szCs w:val="20"/>
        </w:rPr>
        <w:t xml:space="preserve">Overall Risk Posture  </w:t>
      </w:r>
      <w:r>
        <w:rPr>
          <w:rFonts w:ascii="Arial" w:cs="Arial" w:eastAsia="Arial" w:hAnsi="Arial"/>
          <w:sz w:val="20"/>
          <w:szCs w:val="20"/>
        </w:rPr>
        <w:t xml:space="preserve">The organization’s current security posture presents elevated risk across multiple control domains. The absence of preventive controls (MFA, least privilege) combined with the lack of detective controls (continuous monitoring) creates compounding exposure. Immediate action is recommended on three findings rated HIGH or CRITICAL. The remaining findings should be addressed within 90–180 days in accordance with the POA&amp;M schedule.</w:t>
      </w:r>
    </w:p>
    <w:p>
      <w:pPr>
        <w:spacing w:before="40" w:after="40"/>
      </w:pPr>
      <w:r>
        <w:rPr>
          <w:rFonts w:ascii="Arial" w:cs="Arial" w:eastAsia="Arial" w:hAnsi="Arial"/>
          <w:sz w:val="20"/>
          <w:szCs w:val="20"/>
        </w:rPr>
        <w:t xml:space="preserve"/>
      </w:r>
    </w:p>
    <w:p>
      <w:pPr>
        <w:spacing w:before="60" w:after="60"/>
      </w:pPr>
      <w:r>
        <w:rPr>
          <w:rFonts w:ascii="Arial" w:cs="Arial" w:eastAsia="Arial" w:hAnsi="Arial"/>
          <w:b/>
          <w:bCs/>
          <w:sz w:val="20"/>
          <w:szCs w:val="20"/>
        </w:rPr>
        <w:t xml:space="preserve">Regulatory Implications  </w:t>
      </w:r>
      <w:r>
        <w:rPr>
          <w:rFonts w:ascii="Arial" w:cs="Arial" w:eastAsia="Arial" w:hAnsi="Arial"/>
          <w:sz w:val="20"/>
          <w:szCs w:val="20"/>
        </w:rPr>
        <w:t xml:space="preserve">The identified gaps present material compliance risk under FISMA and potential exposure under HIPAA Security Rule requirements for covered entities. PCI DSS non-conformities in POS system configuration present additional financial and reputational risk. Remediation of all findings is required to achieve a compliant security posture.</w:t>
      </w:r>
    </w:p>
    <w:p>
      <w:r>
        <w:br w:type="page"/>
      </w:r>
    </w:p>
    <w:p>
      <w:pPr>
        <w:pBdr>
          <w:bottom w:val="single" w:color="2C5F8A" w:sz="6" w:space="2"/>
        </w:pBdr>
        <w:spacing w:before="160" w:after="80"/>
      </w:pPr>
    </w:p>
    <w:p>
      <w:pPr>
        <w:spacing w:before="80" w:after="60"/>
      </w:pPr>
      <w:r>
        <w:rPr>
          <w:rFonts w:ascii="Arial" w:cs="Arial" w:eastAsia="Arial" w:hAnsi="Arial"/>
          <w:b/>
          <w:bCs/>
          <w:color w:val="1B3A5C"/>
          <w:sz w:val="28"/>
          <w:szCs w:val="28"/>
        </w:rPr>
        <w:t xml:space="preserve">Section 2</w:t>
      </w:r>
      <w:r>
        <w:rPr>
          <w:rFonts w:ascii="Arial" w:cs="Arial" w:eastAsia="Arial" w:hAnsi="Arial"/>
          <w:i/>
          <w:iCs/>
          <w:color w:val="666666"/>
          <w:sz w:val="22"/>
          <w:szCs w:val="22"/>
        </w:rPr>
        <w:t xml:space="preserve">  —  Risk Scoring Methodology</w:t>
      </w:r>
    </w:p>
    <w:p>
      <w:pPr>
        <w:spacing w:before="40" w:after="40"/>
      </w:pPr>
      <w:r>
        <w:rPr>
          <w:rFonts w:ascii="Arial" w:cs="Arial" w:eastAsia="Arial" w:hAnsi="Arial"/>
          <w:sz w:val="20"/>
          <w:szCs w:val="20"/>
        </w:rPr>
        <w:t xml:space="preserve"/>
      </w:r>
    </w:p>
    <w:p>
      <w:pPr>
        <w:spacing w:before="60" w:after="60"/>
      </w:pPr>
      <w:r>
        <w:rPr>
          <w:rFonts w:ascii="Arial" w:cs="Arial" w:eastAsia="Arial" w:hAnsi="Arial"/>
          <w:sz w:val="20"/>
          <w:szCs w:val="20"/>
        </w:rPr>
        <w:t xml:space="preserve">All findings are rated using a standardized 5×5 risk matrix based on two dimensions:</w:t>
      </w:r>
    </w:p>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2C5F8A" w:sz="2"/>
              <w:left w:val="single" w:color="2C5F8A" w:sz="2"/>
              <w:bottom w:val="single" w:color="2C5F8A" w:sz="2"/>
              <w:right w:val="single" w:color="2C5F8A"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Likelihood</w:t>
            </w:r>
          </w:p>
        </w:tc>
        <w:tc>
          <w:tcPr>
            <w:tcW w:type="dxa" w:w="4680"/>
            <w:gridSpan w:val="1"/>
            <w:tcBorders>
              <w:top w:val="single" w:color="2C5F8A" w:sz="2"/>
              <w:left w:val="single" w:color="2C5F8A" w:sz="2"/>
              <w:bottom w:val="single" w:color="2C5F8A" w:sz="2"/>
              <w:right w:val="single" w:color="2C5F8A"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Impact</w:t>
            </w:r>
          </w:p>
        </w:tc>
      </w:tr>
      <w:tr>
        <w:tc>
          <w:tcPr>
            <w:tcBorders>
              <w:top w:val="single" w:color="CCCCCC" w:sz="1"/>
              <w:left w:val="single" w:color="CCCCCC" w:sz="1"/>
              <w:bottom w:val="single" w:color="CCCCCC" w:sz="1"/>
              <w:right w:val="single" w:color="CCCCCC" w:sz="1"/>
            </w:tcBorders>
            <w:shd w:fill="F4F6F9" w:val="clear"/>
            <w:tcMar>
              <w:top w:type="dxa" w:w="100"/>
              <w:left w:type="dxa" w:w="120"/>
              <w:bottom w:type="dxa" w:w="100"/>
              <w:right w:type="dxa" w:w="120"/>
            </w:tcMar>
          </w:tcPr>
          <w:p>
            <w:pPr>
              <w:spacing w:before="60" w:after="60"/>
            </w:pPr>
            <w:r>
              <w:rPr>
                <w:rFonts w:ascii="Arial" w:cs="Arial" w:eastAsia="Arial" w:hAnsi="Arial"/>
                <w:b/>
                <w:bCs/>
                <w:sz w:val="20"/>
                <w:szCs w:val="20"/>
              </w:rPr>
              <w:t xml:space="preserve">5 — Almost Certain: </w:t>
            </w:r>
            <w:r>
              <w:rPr>
                <w:rFonts w:ascii="Arial" w:cs="Arial" w:eastAsia="Arial" w:hAnsi="Arial"/>
                <w:sz w:val="20"/>
                <w:szCs w:val="20"/>
              </w:rPr>
              <w:t xml:space="preserve">Expected to occur within 12 months</w:t>
            </w:r>
          </w:p>
          <w:p>
            <w:pPr>
              <w:spacing w:before="60" w:after="60"/>
            </w:pPr>
            <w:r>
              <w:rPr>
                <w:rFonts w:ascii="Arial" w:cs="Arial" w:eastAsia="Arial" w:hAnsi="Arial"/>
                <w:b/>
                <w:bCs/>
                <w:sz w:val="20"/>
                <w:szCs w:val="20"/>
              </w:rPr>
              <w:t xml:space="preserve">4 — Likely: </w:t>
            </w:r>
            <w:r>
              <w:rPr>
                <w:rFonts w:ascii="Arial" w:cs="Arial" w:eastAsia="Arial" w:hAnsi="Arial"/>
                <w:sz w:val="20"/>
                <w:szCs w:val="20"/>
              </w:rPr>
              <w:t xml:space="preserve">Expected to occur within 1–2 years</w:t>
            </w:r>
          </w:p>
          <w:p>
            <w:pPr>
              <w:spacing w:before="60" w:after="60"/>
            </w:pPr>
            <w:r>
              <w:rPr>
                <w:rFonts w:ascii="Arial" w:cs="Arial" w:eastAsia="Arial" w:hAnsi="Arial"/>
                <w:b/>
                <w:bCs/>
                <w:sz w:val="20"/>
                <w:szCs w:val="20"/>
              </w:rPr>
              <w:t xml:space="preserve">3 — Possible: </w:t>
            </w:r>
            <w:r>
              <w:rPr>
                <w:rFonts w:ascii="Arial" w:cs="Arial" w:eastAsia="Arial" w:hAnsi="Arial"/>
                <w:sz w:val="20"/>
                <w:szCs w:val="20"/>
              </w:rPr>
              <w:t xml:space="preserve">Could occur within 3 years</w:t>
            </w:r>
          </w:p>
          <w:p>
            <w:pPr>
              <w:spacing w:before="60" w:after="60"/>
            </w:pPr>
            <w:r>
              <w:rPr>
                <w:rFonts w:ascii="Arial" w:cs="Arial" w:eastAsia="Arial" w:hAnsi="Arial"/>
                <w:b/>
                <w:bCs/>
                <w:sz w:val="20"/>
                <w:szCs w:val="20"/>
              </w:rPr>
              <w:t xml:space="preserve">2 — Unlikely: </w:t>
            </w:r>
            <w:r>
              <w:rPr>
                <w:rFonts w:ascii="Arial" w:cs="Arial" w:eastAsia="Arial" w:hAnsi="Arial"/>
                <w:sz w:val="20"/>
                <w:szCs w:val="20"/>
              </w:rPr>
              <w:t xml:space="preserve">Unlikely but not impossible</w:t>
            </w:r>
          </w:p>
          <w:p>
            <w:pPr>
              <w:spacing w:before="60" w:after="60"/>
            </w:pPr>
            <w:r>
              <w:rPr>
                <w:rFonts w:ascii="Arial" w:cs="Arial" w:eastAsia="Arial" w:hAnsi="Arial"/>
                <w:b/>
                <w:bCs/>
                <w:sz w:val="20"/>
                <w:szCs w:val="20"/>
              </w:rPr>
              <w:t xml:space="preserve">1 — Rare: </w:t>
            </w:r>
            <w:r>
              <w:rPr>
                <w:rFonts w:ascii="Arial" w:cs="Arial" w:eastAsia="Arial" w:hAnsi="Arial"/>
                <w:sz w:val="20"/>
                <w:szCs w:val="20"/>
              </w:rPr>
              <w:t xml:space="preserve">Only in exceptional circumstances</w:t>
            </w:r>
          </w:p>
        </w:tc>
        <w:tc>
          <w:tcPr>
            <w:tcBorders>
              <w:top w:val="single" w:color="CCCCCC" w:sz="1"/>
              <w:left w:val="single" w:color="CCCCCC" w:sz="1"/>
              <w:bottom w:val="single" w:color="CCCCCC" w:sz="1"/>
              <w:right w:val="single" w:color="CCCCCC" w:sz="1"/>
            </w:tcBorders>
            <w:shd w:fill="F4F6F9" w:val="clear"/>
            <w:tcMar>
              <w:top w:type="dxa" w:w="100"/>
              <w:left w:type="dxa" w:w="120"/>
              <w:bottom w:type="dxa" w:w="100"/>
              <w:right w:type="dxa" w:w="120"/>
            </w:tcMar>
          </w:tcPr>
          <w:p>
            <w:pPr>
              <w:spacing w:before="60" w:after="60"/>
            </w:pPr>
            <w:r>
              <w:rPr>
                <w:rFonts w:ascii="Arial" w:cs="Arial" w:eastAsia="Arial" w:hAnsi="Arial"/>
                <w:b/>
                <w:bCs/>
                <w:sz w:val="20"/>
                <w:szCs w:val="20"/>
              </w:rPr>
              <w:t xml:space="preserve">5 — Critical: </w:t>
            </w:r>
            <w:r>
              <w:rPr>
                <w:rFonts w:ascii="Arial" w:cs="Arial" w:eastAsia="Arial" w:hAnsi="Arial"/>
                <w:sz w:val="20"/>
                <w:szCs w:val="20"/>
              </w:rPr>
              <w:t xml:space="preserve">Catastrophic data breach / regulatory sanction</w:t>
            </w:r>
          </w:p>
          <w:p>
            <w:pPr>
              <w:spacing w:before="60" w:after="60"/>
            </w:pPr>
            <w:r>
              <w:rPr>
                <w:rFonts w:ascii="Arial" w:cs="Arial" w:eastAsia="Arial" w:hAnsi="Arial"/>
                <w:b/>
                <w:bCs/>
                <w:sz w:val="20"/>
                <w:szCs w:val="20"/>
              </w:rPr>
              <w:t xml:space="preserve">4 — Major: </w:t>
            </w:r>
            <w:r>
              <w:rPr>
                <w:rFonts w:ascii="Arial" w:cs="Arial" w:eastAsia="Arial" w:hAnsi="Arial"/>
                <w:sz w:val="20"/>
                <w:szCs w:val="20"/>
              </w:rPr>
              <w:t xml:space="preserve">Significant operational or compliance impact</w:t>
            </w:r>
          </w:p>
          <w:p>
            <w:pPr>
              <w:spacing w:before="60" w:after="60"/>
            </w:pPr>
            <w:r>
              <w:rPr>
                <w:rFonts w:ascii="Arial" w:cs="Arial" w:eastAsia="Arial" w:hAnsi="Arial"/>
                <w:b/>
                <w:bCs/>
                <w:sz w:val="20"/>
                <w:szCs w:val="20"/>
              </w:rPr>
              <w:t xml:space="preserve">3 — Moderate: </w:t>
            </w:r>
            <w:r>
              <w:rPr>
                <w:rFonts w:ascii="Arial" w:cs="Arial" w:eastAsia="Arial" w:hAnsi="Arial"/>
                <w:sz w:val="20"/>
                <w:szCs w:val="20"/>
              </w:rPr>
              <w:t xml:space="preserve">Moderate disruption; manageable recovery</w:t>
            </w:r>
          </w:p>
          <w:p>
            <w:pPr>
              <w:spacing w:before="60" w:after="60"/>
            </w:pPr>
            <w:r>
              <w:rPr>
                <w:rFonts w:ascii="Arial" w:cs="Arial" w:eastAsia="Arial" w:hAnsi="Arial"/>
                <w:b/>
                <w:bCs/>
                <w:sz w:val="20"/>
                <w:szCs w:val="20"/>
              </w:rPr>
              <w:t xml:space="preserve">2 — Minor: </w:t>
            </w:r>
            <w:r>
              <w:rPr>
                <w:rFonts w:ascii="Arial" w:cs="Arial" w:eastAsia="Arial" w:hAnsi="Arial"/>
                <w:sz w:val="20"/>
                <w:szCs w:val="20"/>
              </w:rPr>
              <w:t xml:space="preserve">Limited impact; low recovery cost</w:t>
            </w:r>
          </w:p>
          <w:p>
            <w:pPr>
              <w:spacing w:before="60" w:after="60"/>
            </w:pPr>
            <w:r>
              <w:rPr>
                <w:rFonts w:ascii="Arial" w:cs="Arial" w:eastAsia="Arial" w:hAnsi="Arial"/>
                <w:b/>
                <w:bCs/>
                <w:sz w:val="20"/>
                <w:szCs w:val="20"/>
              </w:rPr>
              <w:t xml:space="preserve">1 — Negligible: </w:t>
            </w:r>
            <w:r>
              <w:rPr>
                <w:rFonts w:ascii="Arial" w:cs="Arial" w:eastAsia="Arial" w:hAnsi="Arial"/>
                <w:sz w:val="20"/>
                <w:szCs w:val="20"/>
              </w:rPr>
              <w:t xml:space="preserve">Minimal effect on operations</w:t>
            </w:r>
          </w:p>
        </w:tc>
      </w:tr>
    </w:tbl>
    <w:p>
      <w:pPr>
        <w:spacing w:before="40" w:after="40"/>
      </w:pPr>
      <w:r>
        <w:rPr>
          <w:rFonts w:ascii="Arial" w:cs="Arial" w:eastAsia="Arial" w:hAnsi="Arial"/>
          <w:sz w:val="20"/>
          <w:szCs w:val="20"/>
        </w:rPr>
        <w:t xml:space="preserve"/>
      </w:r>
    </w:p>
    <w:p>
      <w:pPr>
        <w:spacing w:before="60" w:after="60"/>
      </w:pPr>
      <w:r>
        <w:rPr>
          <w:rFonts w:ascii="Arial" w:cs="Arial" w:eastAsia="Arial" w:hAnsi="Arial"/>
          <w:b/>
          <w:bCs/>
          <w:sz w:val="20"/>
          <w:szCs w:val="20"/>
        </w:rPr>
        <w:t xml:space="preserve">Risk Score = Likelihood × Impact</w:t>
      </w:r>
      <w:r>
        <w:rPr>
          <w:rFonts w:ascii="Arial" w:cs="Arial" w:eastAsia="Arial" w:hAnsi="Arial"/>
          <w:sz w:val="20"/>
          <w:szCs w:val="20"/>
        </w:rPr>
        <w:t xml:space="preserve">  (scale: 1–25)</w:t>
      </w:r>
    </w:p>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pPr>
              <w:spacing w:before="0" w:after="0"/>
              <w:jc w:val="center"/>
            </w:pPr>
            <w:r>
              <w:rPr>
                <w:rFonts w:ascii="Arial" w:cs="Arial" w:eastAsia="Arial" w:hAnsi="Arial"/>
                <w:b/>
                <w:bCs/>
                <w:color w:val="FFFFFF"/>
                <w:sz w:val="17"/>
                <w:szCs w:val="17"/>
              </w:rPr>
              <w:t xml:space="preserve">Likelihood \ Impact</w:t>
            </w:r>
          </w:p>
        </w:tc>
        <w:tc>
          <w:tcPr>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pPr>
              <w:spacing w:before="0" w:after="0"/>
              <w:jc w:val="center"/>
            </w:pPr>
            <w:r>
              <w:rPr>
                <w:rFonts w:ascii="Arial" w:cs="Arial" w:eastAsia="Arial" w:hAnsi="Arial"/>
                <w:b/>
                <w:bCs/>
                <w:color w:val="FFFFFF"/>
                <w:sz w:val="17"/>
                <w:szCs w:val="17"/>
              </w:rPr>
              <w:t xml:space="preserve">Impact: 1</w:t>
            </w:r>
          </w:p>
        </w:tc>
        <w:tc>
          <w:tcPr>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pPr>
              <w:spacing w:before="0" w:after="0"/>
              <w:jc w:val="center"/>
            </w:pPr>
            <w:r>
              <w:rPr>
                <w:rFonts w:ascii="Arial" w:cs="Arial" w:eastAsia="Arial" w:hAnsi="Arial"/>
                <w:b/>
                <w:bCs/>
                <w:color w:val="FFFFFF"/>
                <w:sz w:val="17"/>
                <w:szCs w:val="17"/>
              </w:rPr>
              <w:t xml:space="preserve">Impact: 2</w:t>
            </w:r>
          </w:p>
        </w:tc>
        <w:tc>
          <w:tcPr>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pPr>
              <w:spacing w:before="0" w:after="0"/>
              <w:jc w:val="center"/>
            </w:pPr>
            <w:r>
              <w:rPr>
                <w:rFonts w:ascii="Arial" w:cs="Arial" w:eastAsia="Arial" w:hAnsi="Arial"/>
                <w:b/>
                <w:bCs/>
                <w:color w:val="FFFFFF"/>
                <w:sz w:val="17"/>
                <w:szCs w:val="17"/>
              </w:rPr>
              <w:t xml:space="preserve">Impact: 3</w:t>
            </w:r>
          </w:p>
        </w:tc>
        <w:tc>
          <w:tcPr>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pPr>
              <w:spacing w:before="0" w:after="0"/>
              <w:jc w:val="center"/>
            </w:pPr>
            <w:r>
              <w:rPr>
                <w:rFonts w:ascii="Arial" w:cs="Arial" w:eastAsia="Arial" w:hAnsi="Arial"/>
                <w:b/>
                <w:bCs/>
                <w:color w:val="FFFFFF"/>
                <w:sz w:val="17"/>
                <w:szCs w:val="17"/>
              </w:rPr>
              <w:t xml:space="preserve">Impact: 4</w:t>
            </w:r>
          </w:p>
        </w:tc>
        <w:tc>
          <w:tcPr>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pPr>
              <w:spacing w:before="0" w:after="0"/>
              <w:jc w:val="center"/>
            </w:pPr>
            <w:r>
              <w:rPr>
                <w:rFonts w:ascii="Arial" w:cs="Arial" w:eastAsia="Arial" w:hAnsi="Arial"/>
                <w:b/>
                <w:bCs/>
                <w:color w:val="FFFFFF"/>
                <w:sz w:val="17"/>
                <w:szCs w:val="17"/>
              </w:rPr>
              <w:t xml:space="preserve">Impact: 5</w:t>
            </w:r>
          </w:p>
        </w:tc>
      </w:tr>
      <w:tr>
        <w:tc>
          <w:tcPr>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pPr>
              <w:spacing w:before="0" w:after="0"/>
              <w:jc w:val="center"/>
            </w:pPr>
            <w:r>
              <w:rPr>
                <w:rFonts w:ascii="Arial" w:cs="Arial" w:eastAsia="Arial" w:hAnsi="Arial"/>
                <w:b/>
                <w:bCs/>
                <w:color w:val="FFFFFF"/>
                <w:sz w:val="17"/>
                <w:szCs w:val="17"/>
              </w:rPr>
              <w:t xml:space="preserve">5 — Almost Certain</w:t>
            </w:r>
          </w:p>
        </w:tc>
        <w:tc>
          <w:tcPr>
            <w:tcBorders>
              <w:top w:val="single" w:color="CCCCCC" w:sz="1"/>
              <w:left w:val="single" w:color="CCCCCC" w:sz="1"/>
              <w:bottom w:val="single" w:color="CCCCCC" w:sz="1"/>
              <w:right w:val="single" w:color="CCCCCC" w:sz="1"/>
            </w:tcBorders>
            <w:shd w:fill="1E7B34" w:val="clear"/>
            <w:tcMar>
              <w:top w:type="dxa" w:w="60"/>
              <w:left w:type="dxa" w:w="60"/>
              <w:bottom w:type="dxa" w:w="60"/>
              <w:right w:type="dxa" w:w="60"/>
            </w:tcMar>
          </w:tcPr>
          <w:p>
            <w:pPr>
              <w:spacing w:before="0" w:after="0"/>
              <w:jc w:val="center"/>
            </w:pPr>
            <w:r>
              <w:rPr>
                <w:rFonts w:ascii="Arial" w:cs="Arial" w:eastAsia="Arial" w:hAnsi="Arial"/>
                <w:b/>
                <w:bCs/>
                <w:color w:val="FFFFFF"/>
                <w:sz w:val="18"/>
                <w:szCs w:val="18"/>
              </w:rPr>
              <w:t xml:space="preserve">5</w:t>
            </w:r>
          </w:p>
        </w:tc>
        <w:tc>
          <w:tcPr>
            <w:tcBorders>
              <w:top w:val="single" w:color="CCCCCC" w:sz="1"/>
              <w:left w:val="single" w:color="CCCCCC" w:sz="1"/>
              <w:bottom w:val="single" w:color="CCCCCC" w:sz="1"/>
              <w:right w:val="single" w:color="CCCCCC" w:sz="1"/>
            </w:tcBorders>
            <w:shd w:fill="D4A017" w:val="clear"/>
            <w:tcMar>
              <w:top w:type="dxa" w:w="60"/>
              <w:left w:type="dxa" w:w="60"/>
              <w:bottom w:type="dxa" w:w="60"/>
              <w:right w:type="dxa" w:w="60"/>
            </w:tcMar>
          </w:tcPr>
          <w:p>
            <w:pPr>
              <w:spacing w:before="0" w:after="0"/>
              <w:jc w:val="center"/>
            </w:pPr>
            <w:r>
              <w:rPr>
                <w:rFonts w:ascii="Arial" w:cs="Arial" w:eastAsia="Arial" w:hAnsi="Arial"/>
                <w:b/>
                <w:bCs/>
                <w:color w:val="FFFFFF"/>
                <w:sz w:val="18"/>
                <w:szCs w:val="18"/>
              </w:rPr>
              <w:t xml:space="preserve">10</w:t>
            </w:r>
          </w:p>
        </w:tc>
        <w:tc>
          <w:tcPr>
            <w:tcBorders>
              <w:top w:val="single" w:color="CCCCCC" w:sz="1"/>
              <w:left w:val="single" w:color="CCCCCC" w:sz="1"/>
              <w:bottom w:val="single" w:color="CCCCCC" w:sz="1"/>
              <w:right w:val="single" w:color="CCCCCC" w:sz="1"/>
            </w:tcBorders>
            <w:shd w:fill="D35400" w:val="clear"/>
            <w:tcMar>
              <w:top w:type="dxa" w:w="60"/>
              <w:left w:type="dxa" w:w="60"/>
              <w:bottom w:type="dxa" w:w="60"/>
              <w:right w:type="dxa" w:w="60"/>
            </w:tcMar>
          </w:tcPr>
          <w:p>
            <w:pPr>
              <w:spacing w:before="0" w:after="0"/>
              <w:jc w:val="center"/>
            </w:pPr>
            <w:r>
              <w:rPr>
                <w:rFonts w:ascii="Arial" w:cs="Arial" w:eastAsia="Arial" w:hAnsi="Arial"/>
                <w:b/>
                <w:bCs/>
                <w:color w:val="FFFFFF"/>
                <w:sz w:val="18"/>
                <w:szCs w:val="18"/>
              </w:rPr>
              <w:t xml:space="preserve">15</w:t>
            </w:r>
          </w:p>
        </w:tc>
        <w:tc>
          <w:tcPr>
            <w:tcBorders>
              <w:top w:val="single" w:color="CCCCCC" w:sz="1"/>
              <w:left w:val="single" w:color="CCCCCC" w:sz="1"/>
              <w:bottom w:val="single" w:color="CCCCCC" w:sz="1"/>
              <w:right w:val="single" w:color="CCCCCC" w:sz="1"/>
            </w:tcBorders>
            <w:shd w:fill="C0392B" w:val="clear"/>
            <w:tcMar>
              <w:top w:type="dxa" w:w="60"/>
              <w:left w:type="dxa" w:w="60"/>
              <w:bottom w:type="dxa" w:w="60"/>
              <w:right w:type="dxa" w:w="60"/>
            </w:tcMar>
          </w:tcPr>
          <w:p>
            <w:pPr>
              <w:spacing w:before="0" w:after="0"/>
              <w:jc w:val="center"/>
            </w:pPr>
            <w:r>
              <w:rPr>
                <w:rFonts w:ascii="Arial" w:cs="Arial" w:eastAsia="Arial" w:hAnsi="Arial"/>
                <w:b/>
                <w:bCs/>
                <w:color w:val="FFFFFF"/>
                <w:sz w:val="18"/>
                <w:szCs w:val="18"/>
              </w:rPr>
              <w:t xml:space="preserve">20</w:t>
            </w:r>
          </w:p>
        </w:tc>
        <w:tc>
          <w:tcPr>
            <w:tcBorders>
              <w:top w:val="single" w:color="CCCCCC" w:sz="1"/>
              <w:left w:val="single" w:color="CCCCCC" w:sz="1"/>
              <w:bottom w:val="single" w:color="CCCCCC" w:sz="1"/>
              <w:right w:val="single" w:color="CCCCCC" w:sz="1"/>
            </w:tcBorders>
            <w:shd w:fill="C0392B" w:val="clear"/>
            <w:tcMar>
              <w:top w:type="dxa" w:w="60"/>
              <w:left w:type="dxa" w:w="60"/>
              <w:bottom w:type="dxa" w:w="60"/>
              <w:right w:type="dxa" w:w="60"/>
            </w:tcMar>
          </w:tcPr>
          <w:p>
            <w:pPr>
              <w:spacing w:before="0" w:after="0"/>
              <w:jc w:val="center"/>
            </w:pPr>
            <w:r>
              <w:rPr>
                <w:rFonts w:ascii="Arial" w:cs="Arial" w:eastAsia="Arial" w:hAnsi="Arial"/>
                <w:b/>
                <w:bCs/>
                <w:color w:val="FFFFFF"/>
                <w:sz w:val="18"/>
                <w:szCs w:val="18"/>
              </w:rPr>
              <w:t xml:space="preserve">25</w:t>
            </w:r>
          </w:p>
        </w:tc>
      </w:tr>
      <w:tr>
        <w:tc>
          <w:tcPr>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pPr>
              <w:spacing w:before="0" w:after="0"/>
              <w:jc w:val="center"/>
            </w:pPr>
            <w:r>
              <w:rPr>
                <w:rFonts w:ascii="Arial" w:cs="Arial" w:eastAsia="Arial" w:hAnsi="Arial"/>
                <w:b/>
                <w:bCs/>
                <w:color w:val="FFFFFF"/>
                <w:sz w:val="17"/>
                <w:szCs w:val="17"/>
              </w:rPr>
              <w:t xml:space="preserve">4 — Likely</w:t>
            </w:r>
          </w:p>
        </w:tc>
        <w:tc>
          <w:tcPr>
            <w:tcBorders>
              <w:top w:val="single" w:color="CCCCCC" w:sz="1"/>
              <w:left w:val="single" w:color="CCCCCC" w:sz="1"/>
              <w:bottom w:val="single" w:color="CCCCCC" w:sz="1"/>
              <w:right w:val="single" w:color="CCCCCC" w:sz="1"/>
            </w:tcBorders>
            <w:shd w:fill="1E7B34" w:val="clear"/>
            <w:tcMar>
              <w:top w:type="dxa" w:w="60"/>
              <w:left w:type="dxa" w:w="60"/>
              <w:bottom w:type="dxa" w:w="60"/>
              <w:right w:type="dxa" w:w="60"/>
            </w:tcMar>
          </w:tcPr>
          <w:p>
            <w:pPr>
              <w:spacing w:before="0" w:after="0"/>
              <w:jc w:val="center"/>
            </w:pPr>
            <w:r>
              <w:rPr>
                <w:rFonts w:ascii="Arial" w:cs="Arial" w:eastAsia="Arial" w:hAnsi="Arial"/>
                <w:b/>
                <w:bCs/>
                <w:color w:val="FFFFFF"/>
                <w:sz w:val="18"/>
                <w:szCs w:val="18"/>
              </w:rPr>
              <w:t xml:space="preserve">4</w:t>
            </w:r>
          </w:p>
        </w:tc>
        <w:tc>
          <w:tcPr>
            <w:tcBorders>
              <w:top w:val="single" w:color="CCCCCC" w:sz="1"/>
              <w:left w:val="single" w:color="CCCCCC" w:sz="1"/>
              <w:bottom w:val="single" w:color="CCCCCC" w:sz="1"/>
              <w:right w:val="single" w:color="CCCCCC" w:sz="1"/>
            </w:tcBorders>
            <w:shd w:fill="D4A017" w:val="clear"/>
            <w:tcMar>
              <w:top w:type="dxa" w:w="60"/>
              <w:left w:type="dxa" w:w="60"/>
              <w:bottom w:type="dxa" w:w="60"/>
              <w:right w:type="dxa" w:w="60"/>
            </w:tcMar>
          </w:tcPr>
          <w:p>
            <w:pPr>
              <w:spacing w:before="0" w:after="0"/>
              <w:jc w:val="center"/>
            </w:pPr>
            <w:r>
              <w:rPr>
                <w:rFonts w:ascii="Arial" w:cs="Arial" w:eastAsia="Arial" w:hAnsi="Arial"/>
                <w:b/>
                <w:bCs/>
                <w:color w:val="FFFFFF"/>
                <w:sz w:val="18"/>
                <w:szCs w:val="18"/>
              </w:rPr>
              <w:t xml:space="preserve">8</w:t>
            </w:r>
          </w:p>
        </w:tc>
        <w:tc>
          <w:tcPr>
            <w:tcBorders>
              <w:top w:val="single" w:color="CCCCCC" w:sz="1"/>
              <w:left w:val="single" w:color="CCCCCC" w:sz="1"/>
              <w:bottom w:val="single" w:color="CCCCCC" w:sz="1"/>
              <w:right w:val="single" w:color="CCCCCC" w:sz="1"/>
            </w:tcBorders>
            <w:shd w:fill="D35400" w:val="clear"/>
            <w:tcMar>
              <w:top w:type="dxa" w:w="60"/>
              <w:left w:type="dxa" w:w="60"/>
              <w:bottom w:type="dxa" w:w="60"/>
              <w:right w:type="dxa" w:w="60"/>
            </w:tcMar>
          </w:tcPr>
          <w:p>
            <w:pPr>
              <w:spacing w:before="0" w:after="0"/>
              <w:jc w:val="center"/>
            </w:pPr>
            <w:r>
              <w:rPr>
                <w:rFonts w:ascii="Arial" w:cs="Arial" w:eastAsia="Arial" w:hAnsi="Arial"/>
                <w:b/>
                <w:bCs/>
                <w:color w:val="FFFFFF"/>
                <w:sz w:val="18"/>
                <w:szCs w:val="18"/>
              </w:rPr>
              <w:t xml:space="preserve">12</w:t>
            </w:r>
          </w:p>
        </w:tc>
        <w:tc>
          <w:tcPr>
            <w:tcBorders>
              <w:top w:val="single" w:color="CCCCCC" w:sz="1"/>
              <w:left w:val="single" w:color="CCCCCC" w:sz="1"/>
              <w:bottom w:val="single" w:color="CCCCCC" w:sz="1"/>
              <w:right w:val="single" w:color="CCCCCC" w:sz="1"/>
            </w:tcBorders>
            <w:shd w:fill="D35400" w:val="clear"/>
            <w:tcMar>
              <w:top w:type="dxa" w:w="60"/>
              <w:left w:type="dxa" w:w="60"/>
              <w:bottom w:type="dxa" w:w="60"/>
              <w:right w:type="dxa" w:w="60"/>
            </w:tcMar>
          </w:tcPr>
          <w:p>
            <w:pPr>
              <w:spacing w:before="0" w:after="0"/>
              <w:jc w:val="center"/>
            </w:pPr>
            <w:r>
              <w:rPr>
                <w:rFonts w:ascii="Arial" w:cs="Arial" w:eastAsia="Arial" w:hAnsi="Arial"/>
                <w:b/>
                <w:bCs/>
                <w:color w:val="FFFFFF"/>
                <w:sz w:val="18"/>
                <w:szCs w:val="18"/>
              </w:rPr>
              <w:t xml:space="preserve">16</w:t>
            </w:r>
          </w:p>
        </w:tc>
        <w:tc>
          <w:tcPr>
            <w:tcBorders>
              <w:top w:val="single" w:color="CCCCCC" w:sz="1"/>
              <w:left w:val="single" w:color="CCCCCC" w:sz="1"/>
              <w:bottom w:val="single" w:color="CCCCCC" w:sz="1"/>
              <w:right w:val="single" w:color="CCCCCC" w:sz="1"/>
            </w:tcBorders>
            <w:shd w:fill="C0392B" w:val="clear"/>
            <w:tcMar>
              <w:top w:type="dxa" w:w="60"/>
              <w:left w:type="dxa" w:w="60"/>
              <w:bottom w:type="dxa" w:w="60"/>
              <w:right w:type="dxa" w:w="60"/>
            </w:tcMar>
          </w:tcPr>
          <w:p>
            <w:pPr>
              <w:spacing w:before="0" w:after="0"/>
              <w:jc w:val="center"/>
            </w:pPr>
            <w:r>
              <w:rPr>
                <w:rFonts w:ascii="Arial" w:cs="Arial" w:eastAsia="Arial" w:hAnsi="Arial"/>
                <w:b/>
                <w:bCs/>
                <w:color w:val="FFFFFF"/>
                <w:sz w:val="18"/>
                <w:szCs w:val="18"/>
              </w:rPr>
              <w:t xml:space="preserve">20</w:t>
            </w:r>
          </w:p>
        </w:tc>
      </w:tr>
      <w:tr>
        <w:tc>
          <w:tcPr>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pPr>
              <w:spacing w:before="0" w:after="0"/>
              <w:jc w:val="center"/>
            </w:pPr>
            <w:r>
              <w:rPr>
                <w:rFonts w:ascii="Arial" w:cs="Arial" w:eastAsia="Arial" w:hAnsi="Arial"/>
                <w:b/>
                <w:bCs/>
                <w:color w:val="FFFFFF"/>
                <w:sz w:val="17"/>
                <w:szCs w:val="17"/>
              </w:rPr>
              <w:t xml:space="preserve">3 — Possible</w:t>
            </w:r>
          </w:p>
        </w:tc>
        <w:tc>
          <w:tcPr>
            <w:tcBorders>
              <w:top w:val="single" w:color="CCCCCC" w:sz="1"/>
              <w:left w:val="single" w:color="CCCCCC" w:sz="1"/>
              <w:bottom w:val="single" w:color="CCCCCC" w:sz="1"/>
              <w:right w:val="single" w:color="CCCCCC" w:sz="1"/>
            </w:tcBorders>
            <w:shd w:fill="1E7B34" w:val="clear"/>
            <w:tcMar>
              <w:top w:type="dxa" w:w="60"/>
              <w:left w:type="dxa" w:w="60"/>
              <w:bottom w:type="dxa" w:w="60"/>
              <w:right w:type="dxa" w:w="60"/>
            </w:tcMar>
          </w:tcPr>
          <w:p>
            <w:pPr>
              <w:spacing w:before="0" w:after="0"/>
              <w:jc w:val="center"/>
            </w:pPr>
            <w:r>
              <w:rPr>
                <w:rFonts w:ascii="Arial" w:cs="Arial" w:eastAsia="Arial" w:hAnsi="Arial"/>
                <w:b/>
                <w:bCs/>
                <w:color w:val="FFFFFF"/>
                <w:sz w:val="18"/>
                <w:szCs w:val="18"/>
              </w:rPr>
              <w:t xml:space="preserve">3</w:t>
            </w:r>
          </w:p>
        </w:tc>
        <w:tc>
          <w:tcPr>
            <w:tcBorders>
              <w:top w:val="single" w:color="CCCCCC" w:sz="1"/>
              <w:left w:val="single" w:color="CCCCCC" w:sz="1"/>
              <w:bottom w:val="single" w:color="CCCCCC" w:sz="1"/>
              <w:right w:val="single" w:color="CCCCCC" w:sz="1"/>
            </w:tcBorders>
            <w:shd w:fill="D4A017" w:val="clear"/>
            <w:tcMar>
              <w:top w:type="dxa" w:w="60"/>
              <w:left w:type="dxa" w:w="60"/>
              <w:bottom w:type="dxa" w:w="60"/>
              <w:right w:type="dxa" w:w="60"/>
            </w:tcMar>
          </w:tcPr>
          <w:p>
            <w:pPr>
              <w:spacing w:before="0" w:after="0"/>
              <w:jc w:val="center"/>
            </w:pPr>
            <w:r>
              <w:rPr>
                <w:rFonts w:ascii="Arial" w:cs="Arial" w:eastAsia="Arial" w:hAnsi="Arial"/>
                <w:b/>
                <w:bCs/>
                <w:color w:val="FFFFFF"/>
                <w:sz w:val="18"/>
                <w:szCs w:val="18"/>
              </w:rPr>
              <w:t xml:space="preserve">6</w:t>
            </w:r>
          </w:p>
        </w:tc>
        <w:tc>
          <w:tcPr>
            <w:tcBorders>
              <w:top w:val="single" w:color="CCCCCC" w:sz="1"/>
              <w:left w:val="single" w:color="CCCCCC" w:sz="1"/>
              <w:bottom w:val="single" w:color="CCCCCC" w:sz="1"/>
              <w:right w:val="single" w:color="CCCCCC" w:sz="1"/>
            </w:tcBorders>
            <w:shd w:fill="D4A017" w:val="clear"/>
            <w:tcMar>
              <w:top w:type="dxa" w:w="60"/>
              <w:left w:type="dxa" w:w="60"/>
              <w:bottom w:type="dxa" w:w="60"/>
              <w:right w:type="dxa" w:w="60"/>
            </w:tcMar>
          </w:tcPr>
          <w:p>
            <w:pPr>
              <w:spacing w:before="0" w:after="0"/>
              <w:jc w:val="center"/>
            </w:pPr>
            <w:r>
              <w:rPr>
                <w:rFonts w:ascii="Arial" w:cs="Arial" w:eastAsia="Arial" w:hAnsi="Arial"/>
                <w:b/>
                <w:bCs/>
                <w:color w:val="FFFFFF"/>
                <w:sz w:val="18"/>
                <w:szCs w:val="18"/>
              </w:rPr>
              <w:t xml:space="preserve">9</w:t>
            </w:r>
          </w:p>
        </w:tc>
        <w:tc>
          <w:tcPr>
            <w:tcBorders>
              <w:top w:val="single" w:color="CCCCCC" w:sz="1"/>
              <w:left w:val="single" w:color="CCCCCC" w:sz="1"/>
              <w:bottom w:val="single" w:color="CCCCCC" w:sz="1"/>
              <w:right w:val="single" w:color="CCCCCC" w:sz="1"/>
            </w:tcBorders>
            <w:shd w:fill="D35400" w:val="clear"/>
            <w:tcMar>
              <w:top w:type="dxa" w:w="60"/>
              <w:left w:type="dxa" w:w="60"/>
              <w:bottom w:type="dxa" w:w="60"/>
              <w:right w:type="dxa" w:w="60"/>
            </w:tcMar>
          </w:tcPr>
          <w:p>
            <w:pPr>
              <w:spacing w:before="0" w:after="0"/>
              <w:jc w:val="center"/>
            </w:pPr>
            <w:r>
              <w:rPr>
                <w:rFonts w:ascii="Arial" w:cs="Arial" w:eastAsia="Arial" w:hAnsi="Arial"/>
                <w:b/>
                <w:bCs/>
                <w:color w:val="FFFFFF"/>
                <w:sz w:val="18"/>
                <w:szCs w:val="18"/>
              </w:rPr>
              <w:t xml:space="preserve">12</w:t>
            </w:r>
          </w:p>
        </w:tc>
        <w:tc>
          <w:tcPr>
            <w:tcBorders>
              <w:top w:val="single" w:color="CCCCCC" w:sz="1"/>
              <w:left w:val="single" w:color="CCCCCC" w:sz="1"/>
              <w:bottom w:val="single" w:color="CCCCCC" w:sz="1"/>
              <w:right w:val="single" w:color="CCCCCC" w:sz="1"/>
            </w:tcBorders>
            <w:shd w:fill="D35400" w:val="clear"/>
            <w:tcMar>
              <w:top w:type="dxa" w:w="60"/>
              <w:left w:type="dxa" w:w="60"/>
              <w:bottom w:type="dxa" w:w="60"/>
              <w:right w:type="dxa" w:w="60"/>
            </w:tcMar>
          </w:tcPr>
          <w:p>
            <w:pPr>
              <w:spacing w:before="0" w:after="0"/>
              <w:jc w:val="center"/>
            </w:pPr>
            <w:r>
              <w:rPr>
                <w:rFonts w:ascii="Arial" w:cs="Arial" w:eastAsia="Arial" w:hAnsi="Arial"/>
                <w:b/>
                <w:bCs/>
                <w:color w:val="FFFFFF"/>
                <w:sz w:val="18"/>
                <w:szCs w:val="18"/>
              </w:rPr>
              <w:t xml:space="preserve">15</w:t>
            </w:r>
          </w:p>
        </w:tc>
      </w:tr>
      <w:tr>
        <w:tc>
          <w:tcPr>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pPr>
              <w:spacing w:before="0" w:after="0"/>
              <w:jc w:val="center"/>
            </w:pPr>
            <w:r>
              <w:rPr>
                <w:rFonts w:ascii="Arial" w:cs="Arial" w:eastAsia="Arial" w:hAnsi="Arial"/>
                <w:b/>
                <w:bCs/>
                <w:color w:val="FFFFFF"/>
                <w:sz w:val="17"/>
                <w:szCs w:val="17"/>
              </w:rPr>
              <w:t xml:space="preserve">2 — Unlikely</w:t>
            </w:r>
          </w:p>
        </w:tc>
        <w:tc>
          <w:tcPr>
            <w:tcBorders>
              <w:top w:val="single" w:color="CCCCCC" w:sz="1"/>
              <w:left w:val="single" w:color="CCCCCC" w:sz="1"/>
              <w:bottom w:val="single" w:color="CCCCCC" w:sz="1"/>
              <w:right w:val="single" w:color="CCCCCC" w:sz="1"/>
            </w:tcBorders>
            <w:shd w:fill="1E7B34" w:val="clear"/>
            <w:tcMar>
              <w:top w:type="dxa" w:w="60"/>
              <w:left w:type="dxa" w:w="60"/>
              <w:bottom w:type="dxa" w:w="60"/>
              <w:right w:type="dxa" w:w="60"/>
            </w:tcMar>
          </w:tcPr>
          <w:p>
            <w:pPr>
              <w:spacing w:before="0" w:after="0"/>
              <w:jc w:val="center"/>
            </w:pPr>
            <w:r>
              <w:rPr>
                <w:rFonts w:ascii="Arial" w:cs="Arial" w:eastAsia="Arial" w:hAnsi="Arial"/>
                <w:b/>
                <w:bCs/>
                <w:color w:val="FFFFFF"/>
                <w:sz w:val="18"/>
                <w:szCs w:val="18"/>
              </w:rPr>
              <w:t xml:space="preserve">2</w:t>
            </w:r>
          </w:p>
        </w:tc>
        <w:tc>
          <w:tcPr>
            <w:tcBorders>
              <w:top w:val="single" w:color="CCCCCC" w:sz="1"/>
              <w:left w:val="single" w:color="CCCCCC" w:sz="1"/>
              <w:bottom w:val="single" w:color="CCCCCC" w:sz="1"/>
              <w:right w:val="single" w:color="CCCCCC" w:sz="1"/>
            </w:tcBorders>
            <w:shd w:fill="1E7B34" w:val="clear"/>
            <w:tcMar>
              <w:top w:type="dxa" w:w="60"/>
              <w:left w:type="dxa" w:w="60"/>
              <w:bottom w:type="dxa" w:w="60"/>
              <w:right w:type="dxa" w:w="60"/>
            </w:tcMar>
          </w:tcPr>
          <w:p>
            <w:pPr>
              <w:spacing w:before="0" w:after="0"/>
              <w:jc w:val="center"/>
            </w:pPr>
            <w:r>
              <w:rPr>
                <w:rFonts w:ascii="Arial" w:cs="Arial" w:eastAsia="Arial" w:hAnsi="Arial"/>
                <w:b/>
                <w:bCs/>
                <w:color w:val="FFFFFF"/>
                <w:sz w:val="18"/>
                <w:szCs w:val="18"/>
              </w:rPr>
              <w:t xml:space="preserve">4</w:t>
            </w:r>
          </w:p>
        </w:tc>
        <w:tc>
          <w:tcPr>
            <w:tcBorders>
              <w:top w:val="single" w:color="CCCCCC" w:sz="1"/>
              <w:left w:val="single" w:color="CCCCCC" w:sz="1"/>
              <w:bottom w:val="single" w:color="CCCCCC" w:sz="1"/>
              <w:right w:val="single" w:color="CCCCCC" w:sz="1"/>
            </w:tcBorders>
            <w:shd w:fill="D4A017" w:val="clear"/>
            <w:tcMar>
              <w:top w:type="dxa" w:w="60"/>
              <w:left w:type="dxa" w:w="60"/>
              <w:bottom w:type="dxa" w:w="60"/>
              <w:right w:type="dxa" w:w="60"/>
            </w:tcMar>
          </w:tcPr>
          <w:p>
            <w:pPr>
              <w:spacing w:before="0" w:after="0"/>
              <w:jc w:val="center"/>
            </w:pPr>
            <w:r>
              <w:rPr>
                <w:rFonts w:ascii="Arial" w:cs="Arial" w:eastAsia="Arial" w:hAnsi="Arial"/>
                <w:b/>
                <w:bCs/>
                <w:color w:val="FFFFFF"/>
                <w:sz w:val="18"/>
                <w:szCs w:val="18"/>
              </w:rPr>
              <w:t xml:space="preserve">6</w:t>
            </w:r>
          </w:p>
        </w:tc>
        <w:tc>
          <w:tcPr>
            <w:tcBorders>
              <w:top w:val="single" w:color="CCCCCC" w:sz="1"/>
              <w:left w:val="single" w:color="CCCCCC" w:sz="1"/>
              <w:bottom w:val="single" w:color="CCCCCC" w:sz="1"/>
              <w:right w:val="single" w:color="CCCCCC" w:sz="1"/>
            </w:tcBorders>
            <w:shd w:fill="D4A017" w:val="clear"/>
            <w:tcMar>
              <w:top w:type="dxa" w:w="60"/>
              <w:left w:type="dxa" w:w="60"/>
              <w:bottom w:type="dxa" w:w="60"/>
              <w:right w:type="dxa" w:w="60"/>
            </w:tcMar>
          </w:tcPr>
          <w:p>
            <w:pPr>
              <w:spacing w:before="0" w:after="0"/>
              <w:jc w:val="center"/>
            </w:pPr>
            <w:r>
              <w:rPr>
                <w:rFonts w:ascii="Arial" w:cs="Arial" w:eastAsia="Arial" w:hAnsi="Arial"/>
                <w:b/>
                <w:bCs/>
                <w:color w:val="FFFFFF"/>
                <w:sz w:val="18"/>
                <w:szCs w:val="18"/>
              </w:rPr>
              <w:t xml:space="preserve">8</w:t>
            </w:r>
          </w:p>
        </w:tc>
        <w:tc>
          <w:tcPr>
            <w:tcBorders>
              <w:top w:val="single" w:color="CCCCCC" w:sz="1"/>
              <w:left w:val="single" w:color="CCCCCC" w:sz="1"/>
              <w:bottom w:val="single" w:color="CCCCCC" w:sz="1"/>
              <w:right w:val="single" w:color="CCCCCC" w:sz="1"/>
            </w:tcBorders>
            <w:shd w:fill="D4A017" w:val="clear"/>
            <w:tcMar>
              <w:top w:type="dxa" w:w="60"/>
              <w:left w:type="dxa" w:w="60"/>
              <w:bottom w:type="dxa" w:w="60"/>
              <w:right w:type="dxa" w:w="60"/>
            </w:tcMar>
          </w:tcPr>
          <w:p>
            <w:pPr>
              <w:spacing w:before="0" w:after="0"/>
              <w:jc w:val="center"/>
            </w:pPr>
            <w:r>
              <w:rPr>
                <w:rFonts w:ascii="Arial" w:cs="Arial" w:eastAsia="Arial" w:hAnsi="Arial"/>
                <w:b/>
                <w:bCs/>
                <w:color w:val="FFFFFF"/>
                <w:sz w:val="18"/>
                <w:szCs w:val="18"/>
              </w:rPr>
              <w:t xml:space="preserve">10</w:t>
            </w:r>
          </w:p>
        </w:tc>
      </w:tr>
      <w:tr>
        <w:tc>
          <w:tcPr>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pPr>
              <w:spacing w:before="0" w:after="0"/>
              <w:jc w:val="center"/>
            </w:pPr>
            <w:r>
              <w:rPr>
                <w:rFonts w:ascii="Arial" w:cs="Arial" w:eastAsia="Arial" w:hAnsi="Arial"/>
                <w:b/>
                <w:bCs/>
                <w:color w:val="FFFFFF"/>
                <w:sz w:val="17"/>
                <w:szCs w:val="17"/>
              </w:rPr>
              <w:t xml:space="preserve">1 — Rare</w:t>
            </w:r>
          </w:p>
        </w:tc>
        <w:tc>
          <w:tcPr>
            <w:tcBorders>
              <w:top w:val="single" w:color="CCCCCC" w:sz="1"/>
              <w:left w:val="single" w:color="CCCCCC" w:sz="1"/>
              <w:bottom w:val="single" w:color="CCCCCC" w:sz="1"/>
              <w:right w:val="single" w:color="CCCCCC" w:sz="1"/>
            </w:tcBorders>
            <w:shd w:fill="1E7B34" w:val="clear"/>
            <w:tcMar>
              <w:top w:type="dxa" w:w="60"/>
              <w:left w:type="dxa" w:w="60"/>
              <w:bottom w:type="dxa" w:w="60"/>
              <w:right w:type="dxa" w:w="60"/>
            </w:tcMar>
          </w:tcPr>
          <w:p>
            <w:pPr>
              <w:spacing w:before="0" w:after="0"/>
              <w:jc w:val="center"/>
            </w:pPr>
            <w:r>
              <w:rPr>
                <w:rFonts w:ascii="Arial" w:cs="Arial" w:eastAsia="Arial" w:hAnsi="Arial"/>
                <w:b/>
                <w:bCs/>
                <w:color w:val="FFFFFF"/>
                <w:sz w:val="18"/>
                <w:szCs w:val="18"/>
              </w:rPr>
              <w:t xml:space="preserve">1</w:t>
            </w:r>
          </w:p>
        </w:tc>
        <w:tc>
          <w:tcPr>
            <w:tcBorders>
              <w:top w:val="single" w:color="CCCCCC" w:sz="1"/>
              <w:left w:val="single" w:color="CCCCCC" w:sz="1"/>
              <w:bottom w:val="single" w:color="CCCCCC" w:sz="1"/>
              <w:right w:val="single" w:color="CCCCCC" w:sz="1"/>
            </w:tcBorders>
            <w:shd w:fill="1E7B34" w:val="clear"/>
            <w:tcMar>
              <w:top w:type="dxa" w:w="60"/>
              <w:left w:type="dxa" w:w="60"/>
              <w:bottom w:type="dxa" w:w="60"/>
              <w:right w:type="dxa" w:w="60"/>
            </w:tcMar>
          </w:tcPr>
          <w:p>
            <w:pPr>
              <w:spacing w:before="0" w:after="0"/>
              <w:jc w:val="center"/>
            </w:pPr>
            <w:r>
              <w:rPr>
                <w:rFonts w:ascii="Arial" w:cs="Arial" w:eastAsia="Arial" w:hAnsi="Arial"/>
                <w:b/>
                <w:bCs/>
                <w:color w:val="FFFFFF"/>
                <w:sz w:val="18"/>
                <w:szCs w:val="18"/>
              </w:rPr>
              <w:t xml:space="preserve">2</w:t>
            </w:r>
          </w:p>
        </w:tc>
        <w:tc>
          <w:tcPr>
            <w:tcBorders>
              <w:top w:val="single" w:color="CCCCCC" w:sz="1"/>
              <w:left w:val="single" w:color="CCCCCC" w:sz="1"/>
              <w:bottom w:val="single" w:color="CCCCCC" w:sz="1"/>
              <w:right w:val="single" w:color="CCCCCC" w:sz="1"/>
            </w:tcBorders>
            <w:shd w:fill="1E7B34" w:val="clear"/>
            <w:tcMar>
              <w:top w:type="dxa" w:w="60"/>
              <w:left w:type="dxa" w:w="60"/>
              <w:bottom w:type="dxa" w:w="60"/>
              <w:right w:type="dxa" w:w="60"/>
            </w:tcMar>
          </w:tcPr>
          <w:p>
            <w:pPr>
              <w:spacing w:before="0" w:after="0"/>
              <w:jc w:val="center"/>
            </w:pPr>
            <w:r>
              <w:rPr>
                <w:rFonts w:ascii="Arial" w:cs="Arial" w:eastAsia="Arial" w:hAnsi="Arial"/>
                <w:b/>
                <w:bCs/>
                <w:color w:val="FFFFFF"/>
                <w:sz w:val="18"/>
                <w:szCs w:val="18"/>
              </w:rPr>
              <w:t xml:space="preserve">3</w:t>
            </w:r>
          </w:p>
        </w:tc>
        <w:tc>
          <w:tcPr>
            <w:tcBorders>
              <w:top w:val="single" w:color="CCCCCC" w:sz="1"/>
              <w:left w:val="single" w:color="CCCCCC" w:sz="1"/>
              <w:bottom w:val="single" w:color="CCCCCC" w:sz="1"/>
              <w:right w:val="single" w:color="CCCCCC" w:sz="1"/>
            </w:tcBorders>
            <w:shd w:fill="1E7B34" w:val="clear"/>
            <w:tcMar>
              <w:top w:type="dxa" w:w="60"/>
              <w:left w:type="dxa" w:w="60"/>
              <w:bottom w:type="dxa" w:w="60"/>
              <w:right w:type="dxa" w:w="60"/>
            </w:tcMar>
          </w:tcPr>
          <w:p>
            <w:pPr>
              <w:spacing w:before="0" w:after="0"/>
              <w:jc w:val="center"/>
            </w:pPr>
            <w:r>
              <w:rPr>
                <w:rFonts w:ascii="Arial" w:cs="Arial" w:eastAsia="Arial" w:hAnsi="Arial"/>
                <w:b/>
                <w:bCs/>
                <w:color w:val="FFFFFF"/>
                <w:sz w:val="18"/>
                <w:szCs w:val="18"/>
              </w:rPr>
              <w:t xml:space="preserve">4</w:t>
            </w:r>
          </w:p>
        </w:tc>
        <w:tc>
          <w:tcPr>
            <w:tcBorders>
              <w:top w:val="single" w:color="CCCCCC" w:sz="1"/>
              <w:left w:val="single" w:color="CCCCCC" w:sz="1"/>
              <w:bottom w:val="single" w:color="CCCCCC" w:sz="1"/>
              <w:right w:val="single" w:color="CCCCCC" w:sz="1"/>
            </w:tcBorders>
            <w:shd w:fill="1E7B34" w:val="clear"/>
            <w:tcMar>
              <w:top w:type="dxa" w:w="60"/>
              <w:left w:type="dxa" w:w="60"/>
              <w:bottom w:type="dxa" w:w="60"/>
              <w:right w:type="dxa" w:w="60"/>
            </w:tcMar>
          </w:tcPr>
          <w:p>
            <w:pPr>
              <w:spacing w:before="0" w:after="0"/>
              <w:jc w:val="center"/>
            </w:pPr>
            <w:r>
              <w:rPr>
                <w:rFonts w:ascii="Arial" w:cs="Arial" w:eastAsia="Arial" w:hAnsi="Arial"/>
                <w:b/>
                <w:bCs/>
                <w:color w:val="FFFFFF"/>
                <w:sz w:val="18"/>
                <w:szCs w:val="18"/>
              </w:rPr>
              <w:t xml:space="preserve">5</w:t>
            </w:r>
          </w:p>
        </w:tc>
      </w:tr>
      <w:tr>
        <w:tc>
          <w:tcPr>
            <w:gridSpan w:val="6"/>
            <w:tcBorders>
              <w:top w:val="none" w:color="FFFFFF" w:sz="0"/>
              <w:left w:val="none" w:color="FFFFFF" w:sz="0"/>
              <w:bottom w:val="none" w:color="FFFFFF" w:sz="0"/>
              <w:right w:val="none" w:color="FFFFFF" w:sz="0"/>
            </w:tcBorders>
            <w:tcMar>
              <w:top w:type="dxa" w:w="120"/>
              <w:left w:type="dxa" w:w="0"/>
              <w:bottom w:type="dxa" w:w="40"/>
              <w:right w:type="dxa" w:w="0"/>
            </w:tcMar>
          </w:tcPr>
          <w:p>
            <w:pPr>
              <w:spacing w:before="0" w:after="0"/>
            </w:pPr>
            <w:r>
              <w:rPr>
                <w:rFonts w:ascii="Arial" w:cs="Arial" w:eastAsia="Arial" w:hAnsi="Arial"/>
                <w:b/>
                <w:bCs/>
                <w:sz w:val="18"/>
                <w:szCs w:val="18"/>
              </w:rPr>
              <w:t xml:space="preserve">Score Legend:   </w:t>
            </w:r>
            <w:r>
              <w:rPr>
                <w:rFonts w:ascii="Arial" w:cs="Arial" w:eastAsia="Arial" w:hAnsi="Arial"/>
                <w:color w:val="1E7B34"/>
                <w:sz w:val="20"/>
                <w:szCs w:val="20"/>
              </w:rPr>
              <w:t xml:space="preserve">■ </w:t>
            </w:r>
            <w:r>
              <w:rPr>
                <w:rFonts w:ascii="Arial" w:cs="Arial" w:eastAsia="Arial" w:hAnsi="Arial"/>
                <w:sz w:val="18"/>
                <w:szCs w:val="18"/>
              </w:rPr>
              <w:t xml:space="preserve">LOW (1–5)   </w:t>
            </w:r>
            <w:r>
              <w:rPr>
                <w:rFonts w:ascii="Arial" w:cs="Arial" w:eastAsia="Arial" w:hAnsi="Arial"/>
                <w:color w:val="D4A017"/>
                <w:sz w:val="20"/>
                <w:szCs w:val="20"/>
              </w:rPr>
              <w:t xml:space="preserve">■ </w:t>
            </w:r>
            <w:r>
              <w:rPr>
                <w:rFonts w:ascii="Arial" w:cs="Arial" w:eastAsia="Arial" w:hAnsi="Arial"/>
                <w:sz w:val="18"/>
                <w:szCs w:val="18"/>
              </w:rPr>
              <w:t xml:space="preserve">MEDIUM (6–11)   </w:t>
            </w:r>
            <w:r>
              <w:rPr>
                <w:rFonts w:ascii="Arial" w:cs="Arial" w:eastAsia="Arial" w:hAnsi="Arial"/>
                <w:color w:val="D35400"/>
                <w:sz w:val="20"/>
                <w:szCs w:val="20"/>
              </w:rPr>
              <w:t xml:space="preserve">■ </w:t>
            </w:r>
            <w:r>
              <w:rPr>
                <w:rFonts w:ascii="Arial" w:cs="Arial" w:eastAsia="Arial" w:hAnsi="Arial"/>
                <w:sz w:val="18"/>
                <w:szCs w:val="18"/>
              </w:rPr>
              <w:t xml:space="preserve">HIGH (12–19)   </w:t>
            </w:r>
            <w:r>
              <w:rPr>
                <w:rFonts w:ascii="Arial" w:cs="Arial" w:eastAsia="Arial" w:hAnsi="Arial"/>
                <w:color w:val="C0392B"/>
                <w:sz w:val="20"/>
                <w:szCs w:val="20"/>
              </w:rPr>
              <w:t xml:space="preserve">■ </w:t>
            </w:r>
            <w:r>
              <w:rPr>
                <w:rFonts w:ascii="Arial" w:cs="Arial" w:eastAsia="Arial" w:hAnsi="Arial"/>
                <w:sz w:val="18"/>
                <w:szCs w:val="18"/>
              </w:rPr>
              <w:t xml:space="preserve">CRITICAL (20–25)</w:t>
            </w:r>
          </w:p>
        </w:tc>
      </w:tr>
    </w:tbl>
    <w:p>
      <w:pPr>
        <w:spacing w:before="40" w:after="40"/>
      </w:pPr>
      <w:r>
        <w:rPr>
          <w:rFonts w:ascii="Arial" w:cs="Arial" w:eastAsia="Arial" w:hAnsi="Arial"/>
          <w:sz w:val="20"/>
          <w:szCs w:val="20"/>
        </w:rPr>
        <w:t xml:space="preserve"/>
      </w:r>
    </w:p>
    <w:p>
      <w:r>
        <w:br w:type="page"/>
      </w:r>
    </w:p>
    <w:p>
      <w:pPr>
        <w:pBdr>
          <w:bottom w:val="single" w:color="2C5F8A" w:sz="6" w:space="2"/>
        </w:pBdr>
        <w:spacing w:before="160" w:after="80"/>
      </w:pPr>
    </w:p>
    <w:p>
      <w:pPr>
        <w:spacing w:before="80" w:after="60"/>
      </w:pPr>
      <w:r>
        <w:rPr>
          <w:rFonts w:ascii="Arial" w:cs="Arial" w:eastAsia="Arial" w:hAnsi="Arial"/>
          <w:b/>
          <w:bCs/>
          <w:color w:val="1B3A5C"/>
          <w:sz w:val="28"/>
          <w:szCs w:val="28"/>
        </w:rPr>
        <w:t xml:space="preserve">Section 3</w:t>
      </w:r>
      <w:r>
        <w:rPr>
          <w:rFonts w:ascii="Arial" w:cs="Arial" w:eastAsia="Arial" w:hAnsi="Arial"/>
          <w:i/>
          <w:iCs/>
          <w:color w:val="666666"/>
          <w:sz w:val="22"/>
          <w:szCs w:val="22"/>
        </w:rPr>
        <w:t xml:space="preserve">  —  Findings Register</w:t>
      </w:r>
    </w:p>
    <w:p>
      <w:pPr>
        <w:spacing w:before="40" w:after="40"/>
      </w:pPr>
      <w:r>
        <w:rPr>
          <w:rFonts w:ascii="Arial" w:cs="Arial" w:eastAsia="Arial" w:hAnsi="Arial"/>
          <w:sz w:val="20"/>
          <w:szCs w:val="20"/>
        </w:rPr>
        <w:t xml:space="preserve"/>
      </w:r>
    </w:p>
    <w:p>
      <w:pPr>
        <w:spacing w:before="60" w:after="60"/>
      </w:pPr>
      <w:r>
        <w:rPr>
          <w:rFonts w:ascii="Arial" w:cs="Arial" w:eastAsia="Arial" w:hAnsi="Arial"/>
          <w:sz w:val="20"/>
          <w:szCs w:val="20"/>
        </w:rPr>
        <w:t xml:space="preserve">The following table summarizes all findings identified during this assessment. Detailed cards for each finding follow the summary table.</w:t>
      </w:r>
    </w:p>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2400"/>
        <w:gridCol w:w="900"/>
        <w:gridCol w:w="800"/>
        <w:gridCol w:w="800"/>
        <w:gridCol w:w="1000"/>
        <w:gridCol w:w="860"/>
      </w:tblGrid>
      <w:tr>
        <w:tc>
          <w:tcPr>
            <w:tcW w:type="dxa" w:w="700"/>
            <w:gridSpan w:val="1"/>
            <w:tcBorders>
              <w:top w:val="single" w:color="2C5F8A" w:sz="2"/>
              <w:left w:val="single" w:color="2C5F8A" w:sz="2"/>
              <w:bottom w:val="single" w:color="2C5F8A" w:sz="2"/>
              <w:right w:val="single" w:color="2C5F8A"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Finding ID</w:t>
            </w:r>
          </w:p>
        </w:tc>
        <w:tc>
          <w:tcPr>
            <w:tcW w:type="dxa" w:w="900"/>
            <w:gridSpan w:val="1"/>
            <w:tcBorders>
              <w:top w:val="single" w:color="2C5F8A" w:sz="2"/>
              <w:left w:val="single" w:color="2C5F8A" w:sz="2"/>
              <w:bottom w:val="single" w:color="2C5F8A" w:sz="2"/>
              <w:right w:val="single" w:color="2C5F8A"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Control</w:t>
            </w:r>
          </w:p>
        </w:tc>
        <w:tc>
          <w:tcPr>
            <w:tcW w:type="dxa" w:w="2400"/>
            <w:gridSpan w:val="1"/>
            <w:tcBorders>
              <w:top w:val="single" w:color="2C5F8A" w:sz="2"/>
              <w:left w:val="single" w:color="2C5F8A" w:sz="2"/>
              <w:bottom w:val="single" w:color="2C5F8A" w:sz="2"/>
              <w:right w:val="single" w:color="2C5F8A"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Finding</w:t>
            </w:r>
          </w:p>
        </w:tc>
        <w:tc>
          <w:tcPr>
            <w:tcW w:type="dxa" w:w="900"/>
            <w:gridSpan w:val="1"/>
            <w:tcBorders>
              <w:top w:val="single" w:color="2C5F8A" w:sz="2"/>
              <w:left w:val="single" w:color="2C5F8A" w:sz="2"/>
              <w:bottom w:val="single" w:color="2C5F8A" w:sz="2"/>
              <w:right w:val="single" w:color="2C5F8A"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Likelihood</w:t>
            </w:r>
          </w:p>
        </w:tc>
        <w:tc>
          <w:tcPr>
            <w:tcW w:type="dxa" w:w="800"/>
            <w:gridSpan w:val="1"/>
            <w:tcBorders>
              <w:top w:val="single" w:color="2C5F8A" w:sz="2"/>
              <w:left w:val="single" w:color="2C5F8A" w:sz="2"/>
              <w:bottom w:val="single" w:color="2C5F8A" w:sz="2"/>
              <w:right w:val="single" w:color="2C5F8A"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Impact</w:t>
            </w:r>
          </w:p>
        </w:tc>
        <w:tc>
          <w:tcPr>
            <w:tcW w:type="dxa" w:w="800"/>
            <w:gridSpan w:val="1"/>
            <w:tcBorders>
              <w:top w:val="single" w:color="2C5F8A" w:sz="2"/>
              <w:left w:val="single" w:color="2C5F8A" w:sz="2"/>
              <w:bottom w:val="single" w:color="2C5F8A" w:sz="2"/>
              <w:right w:val="single" w:color="2C5F8A"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Risk Score</w:t>
            </w:r>
          </w:p>
        </w:tc>
        <w:tc>
          <w:tcPr>
            <w:tcW w:type="dxa" w:w="1000"/>
            <w:gridSpan w:val="1"/>
            <w:tcBorders>
              <w:top w:val="single" w:color="2C5F8A" w:sz="2"/>
              <w:left w:val="single" w:color="2C5F8A" w:sz="2"/>
              <w:bottom w:val="single" w:color="2C5F8A" w:sz="2"/>
              <w:right w:val="single" w:color="2C5F8A"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Status</w:t>
            </w:r>
          </w:p>
        </w:tc>
        <w:tc>
          <w:tcPr>
            <w:tcW w:type="dxa" w:w="860"/>
            <w:gridSpan w:val="1"/>
            <w:tcBorders>
              <w:top w:val="single" w:color="2C5F8A" w:sz="2"/>
              <w:left w:val="single" w:color="2C5F8A" w:sz="2"/>
              <w:bottom w:val="single" w:color="2C5F8A" w:sz="2"/>
              <w:right w:val="single" w:color="2C5F8A"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Target Date</w:t>
            </w:r>
          </w:p>
        </w:tc>
      </w:tr>
      <w:tr>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B3A5C"/>
                <w:sz w:val="19"/>
                <w:szCs w:val="19"/>
              </w:rPr>
              <w:t xml:space="preserve">F-001</w:t>
            </w:r>
          </w:p>
        </w:tc>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11111"/>
                <w:sz w:val="19"/>
                <w:szCs w:val="19"/>
              </w:rPr>
              <w:t xml:space="preserve">AC-6</w:t>
            </w:r>
          </w:p>
        </w:tc>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Least Privilege Not Enforced</w:t>
            </w:r>
          </w:p>
        </w:tc>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7"/>
                <w:szCs w:val="17"/>
              </w:rPr>
              <w:t xml:space="preserve">4 — Likely</w:t>
            </w:r>
          </w:p>
        </w:tc>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7"/>
                <w:szCs w:val="17"/>
              </w:rPr>
              <w:t xml:space="preserve">5 — Critical</w:t>
            </w:r>
          </w:p>
        </w:tc>
        <w:tc>
          <w:tcPr>
            <w:tcBorders>
              <w:top w:val="single" w:color="CCCCCC" w:sz="1"/>
              <w:left w:val="single" w:color="CCCCCC" w:sz="1"/>
              <w:bottom w:val="single" w:color="CCCCCC" w:sz="1"/>
              <w:right w:val="single" w:color="CCCCCC" w:sz="1"/>
            </w:tcBorders>
            <w:shd w:fill="C0392B" w:val="clear"/>
            <w:tcMar>
              <w:top w:type="dxa" w:w="60"/>
              <w:left w:type="dxa" w:w="60"/>
              <w:bottom w:type="dxa" w:w="60"/>
              <w:right w:type="dxa" w:w="60"/>
            </w:tcMar>
          </w:tcPr>
          <w:p>
            <w:pPr>
              <w:spacing w:before="0" w:after="0"/>
              <w:jc w:val="center"/>
            </w:pPr>
            <w:r>
              <w:rPr>
                <w:rFonts w:ascii="Arial" w:cs="Arial" w:eastAsia="Arial" w:hAnsi="Arial"/>
                <w:b/>
                <w:bCs/>
                <w:color w:val="FFFFFF"/>
                <w:sz w:val="18"/>
                <w:szCs w:val="18"/>
              </w:rPr>
              <w:t xml:space="preserve">20</w:t>
            </w:r>
          </w:p>
        </w:tc>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C0392B"/>
                <w:sz w:val="19"/>
                <w:szCs w:val="19"/>
              </w:rPr>
              <w:t xml:space="preserve">Open</w:t>
            </w:r>
          </w:p>
        </w:tc>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Q3 2025</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B3A5C"/>
                <w:sz w:val="19"/>
                <w:szCs w:val="19"/>
              </w:rPr>
              <w:t xml:space="preserve">F-002</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11111"/>
                <w:sz w:val="19"/>
                <w:szCs w:val="19"/>
              </w:rPr>
              <w:t xml:space="preserve">CA-7</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No Continuous Monitoring Program</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7"/>
                <w:szCs w:val="17"/>
              </w:rPr>
              <w:t xml:space="preserve">4 — Likely</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7"/>
                <w:szCs w:val="17"/>
              </w:rPr>
              <w:t xml:space="preserve">4 — Major</w:t>
            </w:r>
          </w:p>
        </w:tc>
        <w:tc>
          <w:tcPr>
            <w:tcBorders>
              <w:top w:val="single" w:color="CCCCCC" w:sz="1"/>
              <w:left w:val="single" w:color="CCCCCC" w:sz="1"/>
              <w:bottom w:val="single" w:color="CCCCCC" w:sz="1"/>
              <w:right w:val="single" w:color="CCCCCC" w:sz="1"/>
            </w:tcBorders>
            <w:shd w:fill="D35400" w:val="clear"/>
            <w:tcMar>
              <w:top w:type="dxa" w:w="60"/>
              <w:left w:type="dxa" w:w="60"/>
              <w:bottom w:type="dxa" w:w="60"/>
              <w:right w:type="dxa" w:w="60"/>
            </w:tcMar>
          </w:tcPr>
          <w:p>
            <w:pPr>
              <w:spacing w:before="0" w:after="0"/>
              <w:jc w:val="center"/>
            </w:pPr>
            <w:r>
              <w:rPr>
                <w:rFonts w:ascii="Arial" w:cs="Arial" w:eastAsia="Arial" w:hAnsi="Arial"/>
                <w:b/>
                <w:bCs/>
                <w:color w:val="FFFFFF"/>
                <w:sz w:val="18"/>
                <w:szCs w:val="18"/>
              </w:rPr>
              <w:t xml:space="preserve">16</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C0392B"/>
                <w:sz w:val="19"/>
                <w:szCs w:val="19"/>
              </w:rPr>
              <w:t xml:space="preserve">Open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Q4 2025</w:t>
            </w:r>
          </w:p>
        </w:tc>
      </w:tr>
      <w:tr>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B3A5C"/>
                <w:sz w:val="19"/>
                <w:szCs w:val="19"/>
              </w:rPr>
              <w:t xml:space="preserve">F-003</w:t>
            </w:r>
          </w:p>
        </w:tc>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11111"/>
                <w:sz w:val="19"/>
                <w:szCs w:val="19"/>
              </w:rPr>
              <w:t xml:space="preserve">RA-3</w:t>
            </w:r>
          </w:p>
        </w:tc>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Risk Assessment Outdated / Missing</w:t>
            </w:r>
          </w:p>
        </w:tc>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7"/>
                <w:szCs w:val="17"/>
              </w:rPr>
              <w:t xml:space="preserve">3 — Possible</w:t>
            </w:r>
          </w:p>
        </w:tc>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7"/>
                <w:szCs w:val="17"/>
              </w:rPr>
              <w:t xml:space="preserve">5 — Critical</w:t>
            </w:r>
          </w:p>
        </w:tc>
        <w:tc>
          <w:tcPr>
            <w:tcBorders>
              <w:top w:val="single" w:color="CCCCCC" w:sz="1"/>
              <w:left w:val="single" w:color="CCCCCC" w:sz="1"/>
              <w:bottom w:val="single" w:color="CCCCCC" w:sz="1"/>
              <w:right w:val="single" w:color="CCCCCC" w:sz="1"/>
            </w:tcBorders>
            <w:shd w:fill="D35400" w:val="clear"/>
            <w:tcMar>
              <w:top w:type="dxa" w:w="60"/>
              <w:left w:type="dxa" w:w="60"/>
              <w:bottom w:type="dxa" w:w="60"/>
              <w:right w:type="dxa" w:w="60"/>
            </w:tcMar>
          </w:tcPr>
          <w:p>
            <w:pPr>
              <w:spacing w:before="0" w:after="0"/>
              <w:jc w:val="center"/>
            </w:pPr>
            <w:r>
              <w:rPr>
                <w:rFonts w:ascii="Arial" w:cs="Arial" w:eastAsia="Arial" w:hAnsi="Arial"/>
                <w:b/>
                <w:bCs/>
                <w:color w:val="FFFFFF"/>
                <w:sz w:val="18"/>
                <w:szCs w:val="18"/>
              </w:rPr>
              <w:t xml:space="preserve">15</w:t>
            </w:r>
          </w:p>
        </w:tc>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C0392B"/>
                <w:sz w:val="19"/>
                <w:szCs w:val="19"/>
              </w:rPr>
              <w:t xml:space="preserve">Open</w:t>
            </w:r>
          </w:p>
        </w:tc>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Q3 2025</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B3A5C"/>
                <w:sz w:val="19"/>
                <w:szCs w:val="19"/>
              </w:rPr>
              <w:t xml:space="preserve">F-004</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11111"/>
                <w:sz w:val="19"/>
                <w:szCs w:val="19"/>
              </w:rPr>
              <w:t xml:space="preserve">CA-5</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No Formal POA&amp;M Process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7"/>
                <w:szCs w:val="17"/>
              </w:rPr>
              <w:t xml:space="preserve">3 — Possible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7"/>
                <w:szCs w:val="17"/>
              </w:rPr>
              <w:t xml:space="preserve">3 — Moderate</w:t>
            </w:r>
          </w:p>
        </w:tc>
        <w:tc>
          <w:tcPr>
            <w:tcBorders>
              <w:top w:val="single" w:color="CCCCCC" w:sz="1"/>
              <w:left w:val="single" w:color="CCCCCC" w:sz="1"/>
              <w:bottom w:val="single" w:color="CCCCCC" w:sz="1"/>
              <w:right w:val="single" w:color="CCCCCC" w:sz="1"/>
            </w:tcBorders>
            <w:shd w:fill="D4A017" w:val="clear"/>
            <w:tcMar>
              <w:top w:type="dxa" w:w="60"/>
              <w:left w:type="dxa" w:w="60"/>
              <w:bottom w:type="dxa" w:w="60"/>
              <w:right w:type="dxa" w:w="60"/>
            </w:tcMar>
          </w:tcPr>
          <w:p>
            <w:pPr>
              <w:spacing w:before="0" w:after="0"/>
              <w:jc w:val="center"/>
            </w:pPr>
            <w:r>
              <w:rPr>
                <w:rFonts w:ascii="Arial" w:cs="Arial" w:eastAsia="Arial" w:hAnsi="Arial"/>
                <w:b/>
                <w:bCs/>
                <w:color w:val="FFFFFF"/>
                <w:sz w:val="18"/>
                <w:szCs w:val="18"/>
              </w:rPr>
              <w:t xml:space="preserve">9</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C0392B"/>
                <w:sz w:val="19"/>
                <w:szCs w:val="19"/>
              </w:rPr>
              <w:t xml:space="preserve">Open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Q3 2025</w:t>
            </w:r>
          </w:p>
        </w:tc>
      </w:tr>
      <w:tr>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B3A5C"/>
                <w:sz w:val="19"/>
                <w:szCs w:val="19"/>
              </w:rPr>
              <w:t xml:space="preserve">F-005</w:t>
            </w:r>
          </w:p>
        </w:tc>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11111"/>
                <w:sz w:val="19"/>
                <w:szCs w:val="19"/>
              </w:rPr>
              <w:t xml:space="preserve">RA-7</w:t>
            </w:r>
          </w:p>
        </w:tc>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Inconsistent Risk Response Decisions</w:t>
            </w:r>
          </w:p>
        </w:tc>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7"/>
                <w:szCs w:val="17"/>
              </w:rPr>
              <w:t xml:space="preserve">3 — Possible</w:t>
            </w:r>
          </w:p>
        </w:tc>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7"/>
                <w:szCs w:val="17"/>
              </w:rPr>
              <w:t xml:space="preserve">3 — Moderate</w:t>
            </w:r>
          </w:p>
        </w:tc>
        <w:tc>
          <w:tcPr>
            <w:tcBorders>
              <w:top w:val="single" w:color="CCCCCC" w:sz="1"/>
              <w:left w:val="single" w:color="CCCCCC" w:sz="1"/>
              <w:bottom w:val="single" w:color="CCCCCC" w:sz="1"/>
              <w:right w:val="single" w:color="CCCCCC" w:sz="1"/>
            </w:tcBorders>
            <w:shd w:fill="D4A017" w:val="clear"/>
            <w:tcMar>
              <w:top w:type="dxa" w:w="60"/>
              <w:left w:type="dxa" w:w="60"/>
              <w:bottom w:type="dxa" w:w="60"/>
              <w:right w:type="dxa" w:w="60"/>
            </w:tcMar>
          </w:tcPr>
          <w:p>
            <w:pPr>
              <w:spacing w:before="0" w:after="0"/>
              <w:jc w:val="center"/>
            </w:pPr>
            <w:r>
              <w:rPr>
                <w:rFonts w:ascii="Arial" w:cs="Arial" w:eastAsia="Arial" w:hAnsi="Arial"/>
                <w:b/>
                <w:bCs/>
                <w:color w:val="FFFFFF"/>
                <w:sz w:val="18"/>
                <w:szCs w:val="18"/>
              </w:rPr>
              <w:t xml:space="preserve">9</w:t>
            </w:r>
          </w:p>
        </w:tc>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C0392B"/>
                <w:sz w:val="19"/>
                <w:szCs w:val="19"/>
              </w:rPr>
              <w:t xml:space="preserve">Open</w:t>
            </w:r>
          </w:p>
        </w:tc>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Q4 2025</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B3A5C"/>
                <w:sz w:val="19"/>
                <w:szCs w:val="19"/>
              </w:rPr>
              <w:t xml:space="preserve">F-006</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11111"/>
                <w:sz w:val="19"/>
                <w:szCs w:val="19"/>
              </w:rPr>
              <w:t xml:space="preserve">IA-2</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No Multifactor Authentication (MFA)</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7"/>
                <w:szCs w:val="17"/>
              </w:rPr>
              <w:t xml:space="preserve">4 — Likely</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7"/>
                <w:szCs w:val="17"/>
              </w:rPr>
              <w:t xml:space="preserve">5 — Critical</w:t>
            </w:r>
          </w:p>
        </w:tc>
        <w:tc>
          <w:tcPr>
            <w:tcBorders>
              <w:top w:val="single" w:color="CCCCCC" w:sz="1"/>
              <w:left w:val="single" w:color="CCCCCC" w:sz="1"/>
              <w:bottom w:val="single" w:color="CCCCCC" w:sz="1"/>
              <w:right w:val="single" w:color="CCCCCC" w:sz="1"/>
            </w:tcBorders>
            <w:shd w:fill="C0392B" w:val="clear"/>
            <w:tcMar>
              <w:top w:type="dxa" w:w="60"/>
              <w:left w:type="dxa" w:w="60"/>
              <w:bottom w:type="dxa" w:w="60"/>
              <w:right w:type="dxa" w:w="60"/>
            </w:tcMar>
          </w:tcPr>
          <w:p>
            <w:pPr>
              <w:spacing w:before="0" w:after="0"/>
              <w:jc w:val="center"/>
            </w:pPr>
            <w:r>
              <w:rPr>
                <w:rFonts w:ascii="Arial" w:cs="Arial" w:eastAsia="Arial" w:hAnsi="Arial"/>
                <w:b/>
                <w:bCs/>
                <w:color w:val="FFFFFF"/>
                <w:sz w:val="18"/>
                <w:szCs w:val="18"/>
              </w:rPr>
              <w:t xml:space="preserve">20</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C0392B"/>
                <w:sz w:val="19"/>
                <w:szCs w:val="19"/>
              </w:rPr>
              <w:t xml:space="preserve">Open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Q3 2025</w:t>
            </w:r>
          </w:p>
        </w:tc>
      </w:tr>
      <w:tr>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B3A5C"/>
                <w:sz w:val="19"/>
                <w:szCs w:val="19"/>
              </w:rPr>
              <w:t xml:space="preserve">F-007</w:t>
            </w:r>
          </w:p>
        </w:tc>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11111"/>
                <w:sz w:val="19"/>
                <w:szCs w:val="19"/>
              </w:rPr>
              <w:t xml:space="preserve">SI-3</w:t>
            </w:r>
          </w:p>
        </w:tc>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Inadequate Endpoint Protection</w:t>
            </w:r>
          </w:p>
        </w:tc>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7"/>
                <w:szCs w:val="17"/>
              </w:rPr>
              <w:t xml:space="preserve">3 — Possible</w:t>
            </w:r>
          </w:p>
        </w:tc>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7"/>
                <w:szCs w:val="17"/>
              </w:rPr>
              <w:t xml:space="preserve">4 — Major</w:t>
            </w:r>
          </w:p>
        </w:tc>
        <w:tc>
          <w:tcPr>
            <w:tcBorders>
              <w:top w:val="single" w:color="CCCCCC" w:sz="1"/>
              <w:left w:val="single" w:color="CCCCCC" w:sz="1"/>
              <w:bottom w:val="single" w:color="CCCCCC" w:sz="1"/>
              <w:right w:val="single" w:color="CCCCCC" w:sz="1"/>
            </w:tcBorders>
            <w:shd w:fill="D35400" w:val="clear"/>
            <w:tcMar>
              <w:top w:type="dxa" w:w="60"/>
              <w:left w:type="dxa" w:w="60"/>
              <w:bottom w:type="dxa" w:w="60"/>
              <w:right w:type="dxa" w:w="60"/>
            </w:tcMar>
          </w:tcPr>
          <w:p>
            <w:pPr>
              <w:spacing w:before="0" w:after="0"/>
              <w:jc w:val="center"/>
            </w:pPr>
            <w:r>
              <w:rPr>
                <w:rFonts w:ascii="Arial" w:cs="Arial" w:eastAsia="Arial" w:hAnsi="Arial"/>
                <w:b/>
                <w:bCs/>
                <w:color w:val="FFFFFF"/>
                <w:sz w:val="18"/>
                <w:szCs w:val="18"/>
              </w:rPr>
              <w:t xml:space="preserve">12</w:t>
            </w:r>
          </w:p>
        </w:tc>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C0392B"/>
                <w:sz w:val="19"/>
                <w:szCs w:val="19"/>
              </w:rPr>
              <w:t xml:space="preserve">Open</w:t>
            </w:r>
          </w:p>
        </w:tc>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Q3 2025</w:t>
            </w:r>
          </w:p>
        </w:tc>
      </w:tr>
    </w:tbl>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w:r>
    </w:p>
    <w:p>
      <w:pPr>
        <w:pBdr>
          <w:bottom w:val="single" w:color="2C5F8A" w:sz="6" w:space="2"/>
        </w:pBdr>
        <w:spacing w:before="160" w:after="80"/>
      </w:pPr>
    </w:p>
    <w:p>
      <w:pPr>
        <w:spacing w:before="80" w:after="60"/>
      </w:pPr>
      <w:r>
        <w:rPr>
          <w:rFonts w:ascii="Arial" w:cs="Arial" w:eastAsia="Arial" w:hAnsi="Arial"/>
          <w:b/>
          <w:bCs/>
          <w:color w:val="1B3A5C"/>
          <w:sz w:val="28"/>
          <w:szCs w:val="28"/>
        </w:rPr>
        <w:t xml:space="preserve">Section 3.1</w:t>
      </w:r>
      <w:r>
        <w:rPr>
          <w:rFonts w:ascii="Arial" w:cs="Arial" w:eastAsia="Arial" w:hAnsi="Arial"/>
          <w:i/>
          <w:iCs/>
          <w:color w:val="666666"/>
          <w:sz w:val="22"/>
          <w:szCs w:val="22"/>
        </w:rPr>
        <w:t xml:space="preserve">  —  Finding Detail Cards</w:t>
      </w:r>
    </w:p>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2C5F8A" w:sz="2"/>
              <w:left w:val="single" w:color="2C5F8A" w:sz="2"/>
              <w:bottom w:val="single" w:color="2C5F8A" w:sz="2"/>
              <w:right w:val="single" w:color="2C5F8A"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F-001  |  AC-6  |  Least Privilege Not Enforced</w:t>
            </w:r>
          </w:p>
        </w:tc>
      </w:tr>
      <w:tr>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11111"/>
                <w:sz w:val="19"/>
                <w:szCs w:val="19"/>
              </w:rPr>
              <w:t xml:space="preserve">Summary</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Users have excessive system access beyond job function requirements.</w:t>
            </w:r>
          </w:p>
        </w:tc>
      </w:tr>
      <w:tr>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11111"/>
                <w:sz w:val="19"/>
                <w:szCs w:val="19"/>
              </w:rPr>
              <w:t xml:space="preserve">Evidence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User access review conducted 05/2025; IAM configuration review.</w:t>
            </w:r>
          </w:p>
        </w:tc>
      </w:tr>
      <w:tr>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11111"/>
                <w:sz w:val="19"/>
                <w:szCs w:val="19"/>
              </w:rPr>
              <w:t xml:space="preserve">Likelihood</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4 / 5</w:t>
            </w:r>
          </w:p>
        </w:tc>
      </w:tr>
      <w:tr>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11111"/>
                <w:sz w:val="19"/>
                <w:szCs w:val="19"/>
              </w:rPr>
              <w:t xml:space="preserve">Impact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5 / 5</w:t>
            </w:r>
          </w:p>
        </w:tc>
      </w:tr>
      <w:tr>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11111"/>
                <w:sz w:val="19"/>
                <w:szCs w:val="19"/>
              </w:rPr>
              <w:t xml:space="preserve">Risk Score</w:t>
            </w:r>
          </w:p>
        </w:tc>
        <w:tc>
          <w:tcPr>
            <w:tcBorders>
              <w:top w:val="single" w:color="CCCCCC" w:sz="1"/>
              <w:left w:val="single" w:color="CCCCCC" w:sz="1"/>
              <w:bottom w:val="single" w:color="CCCCCC" w:sz="1"/>
              <w:right w:val="single" w:color="CCCCCC" w:sz="1"/>
            </w:tcBorders>
            <w:shd w:fill="C0392B" w:val="clear"/>
            <w:tcMar>
              <w:top w:type="dxa" w:w="60"/>
              <w:left w:type="dxa" w:w="60"/>
              <w:bottom w:type="dxa" w:w="60"/>
              <w:right w:type="dxa" w:w="60"/>
            </w:tcMar>
          </w:tcPr>
          <w:p>
            <w:pPr>
              <w:spacing w:before="0" w:after="0"/>
              <w:jc w:val="center"/>
            </w:pPr>
            <w:r>
              <w:rPr>
                <w:rFonts w:ascii="Arial" w:cs="Arial" w:eastAsia="Arial" w:hAnsi="Arial"/>
                <w:b/>
                <w:bCs/>
                <w:color w:val="FFFFFF"/>
                <w:sz w:val="18"/>
                <w:szCs w:val="18"/>
              </w:rPr>
              <w:t xml:space="preserve">20</w:t>
            </w:r>
          </w:p>
        </w:tc>
      </w:tr>
      <w:tr>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11111"/>
                <w:sz w:val="19"/>
                <w:szCs w:val="19"/>
              </w:rPr>
              <w:t xml:space="preserve">Recommendation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Implement RBAC; deploy centralized IAM; conduct quarterly access audits.</w:t>
            </w:r>
          </w:p>
        </w:tc>
      </w:tr>
      <w:tr>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11111"/>
                <w:sz w:val="19"/>
                <w:szCs w:val="19"/>
              </w:rPr>
              <w:t xml:space="preserve">Owner</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IT Security Officer</w:t>
            </w:r>
          </w:p>
        </w:tc>
      </w:tr>
      <w:tr>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11111"/>
                <w:sz w:val="19"/>
                <w:szCs w:val="19"/>
              </w:rPr>
              <w:t xml:space="preserve">Target Date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Q3 2025</w:t>
            </w:r>
          </w:p>
        </w:tc>
      </w:tr>
    </w:tbl>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2C5F8A" w:sz="2"/>
              <w:left w:val="single" w:color="2C5F8A" w:sz="2"/>
              <w:bottom w:val="single" w:color="2C5F8A" w:sz="2"/>
              <w:right w:val="single" w:color="2C5F8A"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F-002  |  CA-7  |  No Continuous Monitoring Program</w:t>
            </w:r>
          </w:p>
        </w:tc>
      </w:tr>
      <w:tr>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11111"/>
                <w:sz w:val="19"/>
                <w:szCs w:val="19"/>
              </w:rPr>
              <w:t xml:space="preserve">Summary</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No SIEM or automated alerting in place; monitoring is manual and ad hoc.</w:t>
            </w:r>
          </w:p>
        </w:tc>
      </w:tr>
      <w:tr>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11111"/>
                <w:sz w:val="19"/>
                <w:szCs w:val="19"/>
              </w:rPr>
              <w:t xml:space="preserve">Evidence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Interview with system owner 05/2025; network architecture review.</w:t>
            </w:r>
          </w:p>
        </w:tc>
      </w:tr>
      <w:tr>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11111"/>
                <w:sz w:val="19"/>
                <w:szCs w:val="19"/>
              </w:rPr>
              <w:t xml:space="preserve">Likelihood</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4 / 5</w:t>
            </w:r>
          </w:p>
        </w:tc>
      </w:tr>
      <w:tr>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11111"/>
                <w:sz w:val="19"/>
                <w:szCs w:val="19"/>
              </w:rPr>
              <w:t xml:space="preserve">Impact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4 / 5</w:t>
            </w:r>
          </w:p>
        </w:tc>
      </w:tr>
      <w:tr>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11111"/>
                <w:sz w:val="19"/>
                <w:szCs w:val="19"/>
              </w:rPr>
              <w:t xml:space="preserve">Risk Score</w:t>
            </w:r>
          </w:p>
        </w:tc>
        <w:tc>
          <w:tcPr>
            <w:tcBorders>
              <w:top w:val="single" w:color="CCCCCC" w:sz="1"/>
              <w:left w:val="single" w:color="CCCCCC" w:sz="1"/>
              <w:bottom w:val="single" w:color="CCCCCC" w:sz="1"/>
              <w:right w:val="single" w:color="CCCCCC" w:sz="1"/>
            </w:tcBorders>
            <w:shd w:fill="D35400" w:val="clear"/>
            <w:tcMar>
              <w:top w:type="dxa" w:w="60"/>
              <w:left w:type="dxa" w:w="60"/>
              <w:bottom w:type="dxa" w:w="60"/>
              <w:right w:type="dxa" w:w="60"/>
            </w:tcMar>
          </w:tcPr>
          <w:p>
            <w:pPr>
              <w:spacing w:before="0" w:after="0"/>
              <w:jc w:val="center"/>
            </w:pPr>
            <w:r>
              <w:rPr>
                <w:rFonts w:ascii="Arial" w:cs="Arial" w:eastAsia="Arial" w:hAnsi="Arial"/>
                <w:b/>
                <w:bCs/>
                <w:color w:val="FFFFFF"/>
                <w:sz w:val="18"/>
                <w:szCs w:val="18"/>
              </w:rPr>
              <w:t xml:space="preserve">16</w:t>
            </w:r>
          </w:p>
        </w:tc>
      </w:tr>
      <w:tr>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11111"/>
                <w:sz w:val="19"/>
                <w:szCs w:val="19"/>
              </w:rPr>
              <w:t xml:space="preserve">Recommendation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Deploy SIEM with baselines, automated alerting, and 24/7 analyst coverage.</w:t>
            </w:r>
          </w:p>
        </w:tc>
      </w:tr>
      <w:tr>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11111"/>
                <w:sz w:val="19"/>
                <w:szCs w:val="19"/>
              </w:rPr>
              <w:t xml:space="preserve">Owner</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SOC Lead</w:t>
            </w:r>
          </w:p>
        </w:tc>
      </w:tr>
      <w:tr>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11111"/>
                <w:sz w:val="19"/>
                <w:szCs w:val="19"/>
              </w:rPr>
              <w:t xml:space="preserve">Target Date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Q4 2025</w:t>
            </w:r>
          </w:p>
        </w:tc>
      </w:tr>
    </w:tbl>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2C5F8A" w:sz="2"/>
              <w:left w:val="single" w:color="2C5F8A" w:sz="2"/>
              <w:bottom w:val="single" w:color="2C5F8A" w:sz="2"/>
              <w:right w:val="single" w:color="2C5F8A"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F-003  |  RA-3  |  Risk Assessment Outdated / Missing</w:t>
            </w:r>
          </w:p>
        </w:tc>
      </w:tr>
      <w:tr>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11111"/>
                <w:sz w:val="19"/>
                <w:szCs w:val="19"/>
              </w:rPr>
              <w:t xml:space="preserve">Summary</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No current organizational risk assessment exists; last assessment undated.</w:t>
            </w:r>
          </w:p>
        </w:tc>
      </w:tr>
      <w:tr>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11111"/>
                <w:sz w:val="19"/>
                <w:szCs w:val="19"/>
              </w:rPr>
              <w:t xml:space="preserve">Evidence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Document request response 05/2025; SSP review.</w:t>
            </w:r>
          </w:p>
        </w:tc>
      </w:tr>
      <w:tr>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11111"/>
                <w:sz w:val="19"/>
                <w:szCs w:val="19"/>
              </w:rPr>
              <w:t xml:space="preserve">Likelihood</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3 / 5</w:t>
            </w:r>
          </w:p>
        </w:tc>
      </w:tr>
      <w:tr>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11111"/>
                <w:sz w:val="19"/>
                <w:szCs w:val="19"/>
              </w:rPr>
              <w:t xml:space="preserve">Impact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5 / 5</w:t>
            </w:r>
          </w:p>
        </w:tc>
      </w:tr>
      <w:tr>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11111"/>
                <w:sz w:val="19"/>
                <w:szCs w:val="19"/>
              </w:rPr>
              <w:t xml:space="preserve">Risk Score</w:t>
            </w:r>
          </w:p>
        </w:tc>
        <w:tc>
          <w:tcPr>
            <w:tcBorders>
              <w:top w:val="single" w:color="CCCCCC" w:sz="1"/>
              <w:left w:val="single" w:color="CCCCCC" w:sz="1"/>
              <w:bottom w:val="single" w:color="CCCCCC" w:sz="1"/>
              <w:right w:val="single" w:color="CCCCCC" w:sz="1"/>
            </w:tcBorders>
            <w:shd w:fill="D35400" w:val="clear"/>
            <w:tcMar>
              <w:top w:type="dxa" w:w="60"/>
              <w:left w:type="dxa" w:w="60"/>
              <w:bottom w:type="dxa" w:w="60"/>
              <w:right w:type="dxa" w:w="60"/>
            </w:tcMar>
          </w:tcPr>
          <w:p>
            <w:pPr>
              <w:spacing w:before="0" w:after="0"/>
              <w:jc w:val="center"/>
            </w:pPr>
            <w:r>
              <w:rPr>
                <w:rFonts w:ascii="Arial" w:cs="Arial" w:eastAsia="Arial" w:hAnsi="Arial"/>
                <w:b/>
                <w:bCs/>
                <w:color w:val="FFFFFF"/>
                <w:sz w:val="18"/>
                <w:szCs w:val="18"/>
              </w:rPr>
              <w:t xml:space="preserve">15</w:t>
            </w:r>
          </w:p>
        </w:tc>
      </w:tr>
      <w:tr>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11111"/>
                <w:sz w:val="19"/>
                <w:szCs w:val="19"/>
              </w:rPr>
              <w:t xml:space="preserve">Recommendation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Conduct full NIST SP 800-30 risk assessment; schedule annual reassessments.</w:t>
            </w:r>
          </w:p>
        </w:tc>
      </w:tr>
      <w:tr>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11111"/>
                <w:sz w:val="19"/>
                <w:szCs w:val="19"/>
              </w:rPr>
              <w:t xml:space="preserve">Owner</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CISO</w:t>
            </w:r>
          </w:p>
        </w:tc>
      </w:tr>
      <w:tr>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11111"/>
                <w:sz w:val="19"/>
                <w:szCs w:val="19"/>
              </w:rPr>
              <w:t xml:space="preserve">Target Date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Q3 2025</w:t>
            </w:r>
          </w:p>
        </w:tc>
      </w:tr>
    </w:tbl>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2C5F8A" w:sz="2"/>
              <w:left w:val="single" w:color="2C5F8A" w:sz="2"/>
              <w:bottom w:val="single" w:color="2C5F8A" w:sz="2"/>
              <w:right w:val="single" w:color="2C5F8A"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F-004  |  CA-5  |  No Formal POA&amp;M Process</w:t>
            </w:r>
          </w:p>
        </w:tc>
      </w:tr>
      <w:tr>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11111"/>
                <w:sz w:val="19"/>
                <w:szCs w:val="19"/>
              </w:rPr>
              <w:t xml:space="preserve">Summary</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Identified vulnerabilities are not tracked in a structured remediation plan.</w:t>
            </w:r>
          </w:p>
        </w:tc>
      </w:tr>
      <w:tr>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11111"/>
                <w:sz w:val="19"/>
                <w:szCs w:val="19"/>
              </w:rPr>
              <w:t xml:space="preserve">Evidence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GRC platform audit 05/2025; review of prior audit findings.</w:t>
            </w:r>
          </w:p>
        </w:tc>
      </w:tr>
      <w:tr>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11111"/>
                <w:sz w:val="19"/>
                <w:szCs w:val="19"/>
              </w:rPr>
              <w:t xml:space="preserve">Likelihood</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3 / 5</w:t>
            </w:r>
          </w:p>
        </w:tc>
      </w:tr>
      <w:tr>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11111"/>
                <w:sz w:val="19"/>
                <w:szCs w:val="19"/>
              </w:rPr>
              <w:t xml:space="preserve">Impact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3 / 5</w:t>
            </w:r>
          </w:p>
        </w:tc>
      </w:tr>
      <w:tr>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11111"/>
                <w:sz w:val="19"/>
                <w:szCs w:val="19"/>
              </w:rPr>
              <w:t xml:space="preserve">Risk Score</w:t>
            </w:r>
          </w:p>
        </w:tc>
        <w:tc>
          <w:tcPr>
            <w:tcBorders>
              <w:top w:val="single" w:color="CCCCCC" w:sz="1"/>
              <w:left w:val="single" w:color="CCCCCC" w:sz="1"/>
              <w:bottom w:val="single" w:color="CCCCCC" w:sz="1"/>
              <w:right w:val="single" w:color="CCCCCC" w:sz="1"/>
            </w:tcBorders>
            <w:shd w:fill="D4A017" w:val="clear"/>
            <w:tcMar>
              <w:top w:type="dxa" w:w="60"/>
              <w:left w:type="dxa" w:w="60"/>
              <w:bottom w:type="dxa" w:w="60"/>
              <w:right w:type="dxa" w:w="60"/>
            </w:tcMar>
          </w:tcPr>
          <w:p>
            <w:pPr>
              <w:spacing w:before="0" w:after="0"/>
              <w:jc w:val="center"/>
            </w:pPr>
            <w:r>
              <w:rPr>
                <w:rFonts w:ascii="Arial" w:cs="Arial" w:eastAsia="Arial" w:hAnsi="Arial"/>
                <w:b/>
                <w:bCs/>
                <w:color w:val="FFFFFF"/>
                <w:sz w:val="18"/>
                <w:szCs w:val="18"/>
              </w:rPr>
              <w:t xml:space="preserve">9</w:t>
            </w:r>
          </w:p>
        </w:tc>
      </w:tr>
      <w:tr>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11111"/>
                <w:sz w:val="19"/>
                <w:szCs w:val="19"/>
              </w:rPr>
              <w:t xml:space="preserve">Recommendation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Establish POA&amp;M process within GRC platform with ownership and deadlines.</w:t>
            </w:r>
          </w:p>
        </w:tc>
      </w:tr>
      <w:tr>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11111"/>
                <w:sz w:val="19"/>
                <w:szCs w:val="19"/>
              </w:rPr>
              <w:t xml:space="preserve">Owner</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Compliance Manager</w:t>
            </w:r>
          </w:p>
        </w:tc>
      </w:tr>
      <w:tr>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11111"/>
                <w:sz w:val="19"/>
                <w:szCs w:val="19"/>
              </w:rPr>
              <w:t xml:space="preserve">Target Date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Q3 2025</w:t>
            </w:r>
          </w:p>
        </w:tc>
      </w:tr>
    </w:tbl>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2C5F8A" w:sz="2"/>
              <w:left w:val="single" w:color="2C5F8A" w:sz="2"/>
              <w:bottom w:val="single" w:color="2C5F8A" w:sz="2"/>
              <w:right w:val="single" w:color="2C5F8A"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F-005  |  RA-7  |  Inconsistent Risk Response Decisions</w:t>
            </w:r>
          </w:p>
        </w:tc>
      </w:tr>
      <w:tr>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11111"/>
                <w:sz w:val="19"/>
                <w:szCs w:val="19"/>
              </w:rPr>
              <w:t xml:space="preserve">Summary</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Risk acceptance or mitigation decisions are undocumented and inconsistently applied.</w:t>
            </w:r>
          </w:p>
        </w:tc>
      </w:tr>
      <w:tr>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11111"/>
                <w:sz w:val="19"/>
                <w:szCs w:val="19"/>
              </w:rPr>
              <w:t xml:space="preserve">Evidence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Stakeholder interviews 05/2025; incident log review.</w:t>
            </w:r>
          </w:p>
        </w:tc>
      </w:tr>
      <w:tr>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11111"/>
                <w:sz w:val="19"/>
                <w:szCs w:val="19"/>
              </w:rPr>
              <w:t xml:space="preserve">Likelihood</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3 / 5</w:t>
            </w:r>
          </w:p>
        </w:tc>
      </w:tr>
      <w:tr>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11111"/>
                <w:sz w:val="19"/>
                <w:szCs w:val="19"/>
              </w:rPr>
              <w:t xml:space="preserve">Impact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3 / 5</w:t>
            </w:r>
          </w:p>
        </w:tc>
      </w:tr>
      <w:tr>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11111"/>
                <w:sz w:val="19"/>
                <w:szCs w:val="19"/>
              </w:rPr>
              <w:t xml:space="preserve">Risk Score</w:t>
            </w:r>
          </w:p>
        </w:tc>
        <w:tc>
          <w:tcPr>
            <w:tcBorders>
              <w:top w:val="single" w:color="CCCCCC" w:sz="1"/>
              <w:left w:val="single" w:color="CCCCCC" w:sz="1"/>
              <w:bottom w:val="single" w:color="CCCCCC" w:sz="1"/>
              <w:right w:val="single" w:color="CCCCCC" w:sz="1"/>
            </w:tcBorders>
            <w:shd w:fill="D4A017" w:val="clear"/>
            <w:tcMar>
              <w:top w:type="dxa" w:w="60"/>
              <w:left w:type="dxa" w:w="60"/>
              <w:bottom w:type="dxa" w:w="60"/>
              <w:right w:type="dxa" w:w="60"/>
            </w:tcMar>
          </w:tcPr>
          <w:p>
            <w:pPr>
              <w:spacing w:before="0" w:after="0"/>
              <w:jc w:val="center"/>
            </w:pPr>
            <w:r>
              <w:rPr>
                <w:rFonts w:ascii="Arial" w:cs="Arial" w:eastAsia="Arial" w:hAnsi="Arial"/>
                <w:b/>
                <w:bCs/>
                <w:color w:val="FFFFFF"/>
                <w:sz w:val="18"/>
                <w:szCs w:val="18"/>
              </w:rPr>
              <w:t xml:space="preserve">9</w:t>
            </w:r>
          </w:p>
        </w:tc>
      </w:tr>
      <w:tr>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11111"/>
                <w:sz w:val="19"/>
                <w:szCs w:val="19"/>
              </w:rPr>
              <w:t xml:space="preserve">Recommendation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Establish cross-functional risk committee; document all risk decisions.</w:t>
            </w:r>
          </w:p>
        </w:tc>
      </w:tr>
      <w:tr>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11111"/>
                <w:sz w:val="19"/>
                <w:szCs w:val="19"/>
              </w:rPr>
              <w:t xml:space="preserve">Owner</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Compliance Manager</w:t>
            </w:r>
          </w:p>
        </w:tc>
      </w:tr>
      <w:tr>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11111"/>
                <w:sz w:val="19"/>
                <w:szCs w:val="19"/>
              </w:rPr>
              <w:t xml:space="preserve">Target Date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Q4 2025</w:t>
            </w:r>
          </w:p>
        </w:tc>
      </w:tr>
    </w:tbl>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2C5F8A" w:sz="2"/>
              <w:left w:val="single" w:color="2C5F8A" w:sz="2"/>
              <w:bottom w:val="single" w:color="2C5F8A" w:sz="2"/>
              <w:right w:val="single" w:color="2C5F8A"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F-006  |  IA-2  |  No Multifactor Authentication (MFA)</w:t>
            </w:r>
          </w:p>
        </w:tc>
      </w:tr>
      <w:tr>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11111"/>
                <w:sz w:val="19"/>
                <w:szCs w:val="19"/>
              </w:rPr>
              <w:t xml:space="preserve">Summary</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Remote and privileged access does not require MFA, exposing sensitive PII.</w:t>
            </w:r>
          </w:p>
        </w:tc>
      </w:tr>
      <w:tr>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11111"/>
                <w:sz w:val="19"/>
                <w:szCs w:val="19"/>
              </w:rPr>
              <w:t xml:space="preserve">Evidence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Authentication configuration review 05/2025; remote access policy review.</w:t>
            </w:r>
          </w:p>
        </w:tc>
      </w:tr>
      <w:tr>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11111"/>
                <w:sz w:val="19"/>
                <w:szCs w:val="19"/>
              </w:rPr>
              <w:t xml:space="preserve">Likelihood</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4 / 5</w:t>
            </w:r>
          </w:p>
        </w:tc>
      </w:tr>
      <w:tr>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11111"/>
                <w:sz w:val="19"/>
                <w:szCs w:val="19"/>
              </w:rPr>
              <w:t xml:space="preserve">Impact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5 / 5</w:t>
            </w:r>
          </w:p>
        </w:tc>
      </w:tr>
      <w:tr>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11111"/>
                <w:sz w:val="19"/>
                <w:szCs w:val="19"/>
              </w:rPr>
              <w:t xml:space="preserve">Risk Score</w:t>
            </w:r>
          </w:p>
        </w:tc>
        <w:tc>
          <w:tcPr>
            <w:tcBorders>
              <w:top w:val="single" w:color="CCCCCC" w:sz="1"/>
              <w:left w:val="single" w:color="CCCCCC" w:sz="1"/>
              <w:bottom w:val="single" w:color="CCCCCC" w:sz="1"/>
              <w:right w:val="single" w:color="CCCCCC" w:sz="1"/>
            </w:tcBorders>
            <w:shd w:fill="C0392B" w:val="clear"/>
            <w:tcMar>
              <w:top w:type="dxa" w:w="60"/>
              <w:left w:type="dxa" w:w="60"/>
              <w:bottom w:type="dxa" w:w="60"/>
              <w:right w:type="dxa" w:w="60"/>
            </w:tcMar>
          </w:tcPr>
          <w:p>
            <w:pPr>
              <w:spacing w:before="0" w:after="0"/>
              <w:jc w:val="center"/>
            </w:pPr>
            <w:r>
              <w:rPr>
                <w:rFonts w:ascii="Arial" w:cs="Arial" w:eastAsia="Arial" w:hAnsi="Arial"/>
                <w:b/>
                <w:bCs/>
                <w:color w:val="FFFFFF"/>
                <w:sz w:val="18"/>
                <w:szCs w:val="18"/>
              </w:rPr>
              <w:t xml:space="preserve">20</w:t>
            </w:r>
          </w:p>
        </w:tc>
      </w:tr>
      <w:tr>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11111"/>
                <w:sz w:val="19"/>
                <w:szCs w:val="19"/>
              </w:rPr>
              <w:t xml:space="preserve">Recommendation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Enforce MFA for all remote access and privileged accounts per NIST SP 800-63.</w:t>
            </w:r>
          </w:p>
        </w:tc>
      </w:tr>
      <w:tr>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11111"/>
                <w:sz w:val="19"/>
                <w:szCs w:val="19"/>
              </w:rPr>
              <w:t xml:space="preserve">Owner</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IT Security Officer</w:t>
            </w:r>
          </w:p>
        </w:tc>
      </w:tr>
      <w:tr>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11111"/>
                <w:sz w:val="19"/>
                <w:szCs w:val="19"/>
              </w:rPr>
              <w:t xml:space="preserve">Target Date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Q3 2025</w:t>
            </w:r>
          </w:p>
        </w:tc>
      </w:tr>
    </w:tbl>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2C5F8A" w:sz="2"/>
              <w:left w:val="single" w:color="2C5F8A" w:sz="2"/>
              <w:bottom w:val="single" w:color="2C5F8A" w:sz="2"/>
              <w:right w:val="single" w:color="2C5F8A"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F-007  |  SI-3  |  Inadequate Endpoint Protection</w:t>
            </w:r>
          </w:p>
        </w:tc>
      </w:tr>
      <w:tr>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11111"/>
                <w:sz w:val="19"/>
                <w:szCs w:val="19"/>
              </w:rPr>
              <w:t xml:space="preserve">Summary</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Multiple workstations running unlicensed or no antivirus software.</w:t>
            </w:r>
          </w:p>
        </w:tc>
      </w:tr>
      <w:tr>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11111"/>
                <w:sz w:val="19"/>
                <w:szCs w:val="19"/>
              </w:rPr>
              <w:t xml:space="preserve">Evidence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Endpoint inventory scan 05/2025; software license audit.</w:t>
            </w:r>
          </w:p>
        </w:tc>
      </w:tr>
      <w:tr>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11111"/>
                <w:sz w:val="19"/>
                <w:szCs w:val="19"/>
              </w:rPr>
              <w:t xml:space="preserve">Likelihood</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3 / 5</w:t>
            </w:r>
          </w:p>
        </w:tc>
      </w:tr>
      <w:tr>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11111"/>
                <w:sz w:val="19"/>
                <w:szCs w:val="19"/>
              </w:rPr>
              <w:t xml:space="preserve">Impact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4 / 5</w:t>
            </w:r>
          </w:p>
        </w:tc>
      </w:tr>
      <w:tr>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11111"/>
                <w:sz w:val="19"/>
                <w:szCs w:val="19"/>
              </w:rPr>
              <w:t xml:space="preserve">Risk Score</w:t>
            </w:r>
          </w:p>
        </w:tc>
        <w:tc>
          <w:tcPr>
            <w:tcBorders>
              <w:top w:val="single" w:color="CCCCCC" w:sz="1"/>
              <w:left w:val="single" w:color="CCCCCC" w:sz="1"/>
              <w:bottom w:val="single" w:color="CCCCCC" w:sz="1"/>
              <w:right w:val="single" w:color="CCCCCC" w:sz="1"/>
            </w:tcBorders>
            <w:shd w:fill="D35400" w:val="clear"/>
            <w:tcMar>
              <w:top w:type="dxa" w:w="60"/>
              <w:left w:type="dxa" w:w="60"/>
              <w:bottom w:type="dxa" w:w="60"/>
              <w:right w:type="dxa" w:w="60"/>
            </w:tcMar>
          </w:tcPr>
          <w:p>
            <w:pPr>
              <w:spacing w:before="0" w:after="0"/>
              <w:jc w:val="center"/>
            </w:pPr>
            <w:r>
              <w:rPr>
                <w:rFonts w:ascii="Arial" w:cs="Arial" w:eastAsia="Arial" w:hAnsi="Arial"/>
                <w:b/>
                <w:bCs/>
                <w:color w:val="FFFFFF"/>
                <w:sz w:val="18"/>
                <w:szCs w:val="18"/>
              </w:rPr>
              <w:t xml:space="preserve">12</w:t>
            </w:r>
          </w:p>
        </w:tc>
      </w:tr>
      <w:tr>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11111"/>
                <w:sz w:val="19"/>
                <w:szCs w:val="19"/>
              </w:rPr>
              <w:t xml:space="preserve">Recommendation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Deploy enterprise-grade EDR solution with centralized management and auto-updates.</w:t>
            </w:r>
          </w:p>
        </w:tc>
      </w:tr>
      <w:tr>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11111"/>
                <w:sz w:val="19"/>
                <w:szCs w:val="19"/>
              </w:rPr>
              <w:t xml:space="preserve">Owner</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Endpoint Security Manager</w:t>
            </w:r>
          </w:p>
        </w:tc>
      </w:tr>
      <w:tr>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11111"/>
                <w:sz w:val="19"/>
                <w:szCs w:val="19"/>
              </w:rPr>
              <w:t xml:space="preserve">Target Date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Q3 2025</w:t>
            </w:r>
          </w:p>
        </w:tc>
      </w:tr>
    </w:tbl>
    <w:p>
      <w:r>
        <w:br w:type="page"/>
      </w:r>
    </w:p>
    <w:p>
      <w:pPr>
        <w:pBdr>
          <w:bottom w:val="single" w:color="2C5F8A" w:sz="6" w:space="2"/>
        </w:pBdr>
        <w:spacing w:before="160" w:after="80"/>
      </w:pPr>
    </w:p>
    <w:p>
      <w:pPr>
        <w:spacing w:before="80" w:after="60"/>
      </w:pPr>
      <w:r>
        <w:rPr>
          <w:rFonts w:ascii="Arial" w:cs="Arial" w:eastAsia="Arial" w:hAnsi="Arial"/>
          <w:b/>
          <w:bCs/>
          <w:color w:val="1B3A5C"/>
          <w:sz w:val="28"/>
          <w:szCs w:val="28"/>
        </w:rPr>
        <w:t xml:space="preserve">Section 4</w:t>
      </w:r>
      <w:r>
        <w:rPr>
          <w:rFonts w:ascii="Arial" w:cs="Arial" w:eastAsia="Arial" w:hAnsi="Arial"/>
          <w:i/>
          <w:iCs/>
          <w:color w:val="666666"/>
          <w:sz w:val="22"/>
          <w:szCs w:val="22"/>
        </w:rPr>
        <w:t xml:space="preserve">  —  Remediation Plan</w:t>
      </w:r>
    </w:p>
    <w:p>
      <w:pPr>
        <w:spacing w:before="40" w:after="40"/>
      </w:pPr>
      <w:r>
        <w:rPr>
          <w:rFonts w:ascii="Arial" w:cs="Arial" w:eastAsia="Arial" w:hAnsi="Arial"/>
          <w:sz w:val="20"/>
          <w:szCs w:val="20"/>
        </w:rPr>
        <w:t xml:space="preserve"/>
      </w:r>
    </w:p>
    <w:p>
      <w:pPr>
        <w:spacing w:before="60" w:after="60"/>
      </w:pPr>
      <w:r>
        <w:rPr>
          <w:rFonts w:ascii="Arial" w:cs="Arial" w:eastAsia="Arial" w:hAnsi="Arial"/>
          <w:sz w:val="20"/>
          <w:szCs w:val="20"/>
        </w:rPr>
        <w:t xml:space="preserve">Remediation recommendations are prioritized by risk score and grouped by control family. All items should be tracked via the accompanying POA&amp;M tracker.</w:t>
      </w:r>
    </w:p>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1100"/>
        <w:gridCol w:w="3360"/>
        <w:gridCol w:w="1500"/>
        <w:gridCol w:w="1800"/>
      </w:tblGrid>
      <w:tr>
        <w:tc>
          <w:tcPr>
            <w:tcW w:type="dxa" w:w="700"/>
            <w:gridSpan w:val="1"/>
            <w:tcBorders>
              <w:top w:val="single" w:color="2C5F8A" w:sz="2"/>
              <w:left w:val="single" w:color="2C5F8A" w:sz="2"/>
              <w:bottom w:val="single" w:color="2C5F8A" w:sz="2"/>
              <w:right w:val="single" w:color="2C5F8A"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ID</w:t>
            </w:r>
          </w:p>
        </w:tc>
        <w:tc>
          <w:tcPr>
            <w:tcW w:type="dxa" w:w="900"/>
            <w:gridSpan w:val="1"/>
            <w:tcBorders>
              <w:top w:val="single" w:color="2C5F8A" w:sz="2"/>
              <w:left w:val="single" w:color="2C5F8A" w:sz="2"/>
              <w:bottom w:val="single" w:color="2C5F8A" w:sz="2"/>
              <w:right w:val="single" w:color="2C5F8A"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Control</w:t>
            </w:r>
          </w:p>
        </w:tc>
        <w:tc>
          <w:tcPr>
            <w:tcW w:type="dxa" w:w="1100"/>
            <w:gridSpan w:val="1"/>
            <w:tcBorders>
              <w:top w:val="single" w:color="2C5F8A" w:sz="2"/>
              <w:left w:val="single" w:color="2C5F8A" w:sz="2"/>
              <w:bottom w:val="single" w:color="2C5F8A" w:sz="2"/>
              <w:right w:val="single" w:color="2C5F8A"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Risk</w:t>
            </w:r>
          </w:p>
        </w:tc>
        <w:tc>
          <w:tcPr>
            <w:tcW w:type="dxa" w:w="3360"/>
            <w:gridSpan w:val="1"/>
            <w:tcBorders>
              <w:top w:val="single" w:color="2C5F8A" w:sz="2"/>
              <w:left w:val="single" w:color="2C5F8A" w:sz="2"/>
              <w:bottom w:val="single" w:color="2C5F8A" w:sz="2"/>
              <w:right w:val="single" w:color="2C5F8A"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Recommended Action</w:t>
            </w:r>
          </w:p>
        </w:tc>
        <w:tc>
          <w:tcPr>
            <w:tcW w:type="dxa" w:w="1500"/>
            <w:gridSpan w:val="1"/>
            <w:tcBorders>
              <w:top w:val="single" w:color="2C5F8A" w:sz="2"/>
              <w:left w:val="single" w:color="2C5F8A" w:sz="2"/>
              <w:bottom w:val="single" w:color="2C5F8A" w:sz="2"/>
              <w:right w:val="single" w:color="2C5F8A"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Owner</w:t>
            </w:r>
          </w:p>
        </w:tc>
        <w:tc>
          <w:tcPr>
            <w:tcW w:type="dxa" w:w="1800"/>
            <w:gridSpan w:val="1"/>
            <w:tcBorders>
              <w:top w:val="single" w:color="2C5F8A" w:sz="2"/>
              <w:left w:val="single" w:color="2C5F8A" w:sz="2"/>
              <w:bottom w:val="single" w:color="2C5F8A" w:sz="2"/>
              <w:right w:val="single" w:color="2C5F8A"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Target</w:t>
            </w:r>
          </w:p>
        </w:tc>
      </w:tr>
      <w:tr>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B3A5C"/>
                <w:sz w:val="19"/>
                <w:szCs w:val="19"/>
              </w:rPr>
              <w:t xml:space="preserve">F-001</w:t>
            </w:r>
          </w:p>
        </w:tc>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11111"/>
                <w:sz w:val="19"/>
                <w:szCs w:val="19"/>
              </w:rPr>
              <w:t xml:space="preserve">AC-6</w:t>
            </w:r>
          </w:p>
        </w:tc>
        <w:tc>
          <w:tcPr>
            <w:tcBorders>
              <w:top w:val="single" w:color="CCCCCC" w:sz="1"/>
              <w:left w:val="single" w:color="CCCCCC" w:sz="1"/>
              <w:bottom w:val="single" w:color="CCCCCC" w:sz="1"/>
              <w:right w:val="single" w:color="CCCCCC" w:sz="1"/>
            </w:tcBorders>
            <w:shd w:fill="C0392B" w:val="clear"/>
            <w:tcMar>
              <w:top w:type="dxa" w:w="60"/>
              <w:left w:type="dxa" w:w="60"/>
              <w:bottom w:type="dxa" w:w="60"/>
              <w:right w:type="dxa" w:w="60"/>
            </w:tcMar>
          </w:tcPr>
          <w:p>
            <w:pPr>
              <w:spacing w:before="0" w:after="0"/>
              <w:jc w:val="center"/>
            </w:pPr>
            <w:r>
              <w:rPr>
                <w:rFonts w:ascii="Arial" w:cs="Arial" w:eastAsia="Arial" w:hAnsi="Arial"/>
                <w:b/>
                <w:bCs/>
                <w:color w:val="FFFFFF"/>
                <w:sz w:val="18"/>
                <w:szCs w:val="18"/>
              </w:rPr>
              <w:t xml:space="preserve">20</w:t>
            </w:r>
          </w:p>
        </w:tc>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8"/>
                <w:szCs w:val="18"/>
              </w:rPr>
              <w:t xml:space="preserve">Implement RBAC; deploy centralized IAM; conduct quarterly access audits.</w:t>
            </w:r>
          </w:p>
        </w:tc>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8"/>
                <w:szCs w:val="18"/>
              </w:rPr>
              <w:t xml:space="preserve">IT Security Officer</w:t>
            </w:r>
          </w:p>
        </w:tc>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Q3 2025</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B3A5C"/>
                <w:sz w:val="19"/>
                <w:szCs w:val="19"/>
              </w:rPr>
              <w:t xml:space="preserve">F-002</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11111"/>
                <w:sz w:val="19"/>
                <w:szCs w:val="19"/>
              </w:rPr>
              <w:t xml:space="preserve">CA-7</w:t>
            </w:r>
          </w:p>
        </w:tc>
        <w:tc>
          <w:tcPr>
            <w:tcBorders>
              <w:top w:val="single" w:color="CCCCCC" w:sz="1"/>
              <w:left w:val="single" w:color="CCCCCC" w:sz="1"/>
              <w:bottom w:val="single" w:color="CCCCCC" w:sz="1"/>
              <w:right w:val="single" w:color="CCCCCC" w:sz="1"/>
            </w:tcBorders>
            <w:shd w:fill="D35400" w:val="clear"/>
            <w:tcMar>
              <w:top w:type="dxa" w:w="60"/>
              <w:left w:type="dxa" w:w="60"/>
              <w:bottom w:type="dxa" w:w="60"/>
              <w:right w:type="dxa" w:w="60"/>
            </w:tcMar>
          </w:tcPr>
          <w:p>
            <w:pPr>
              <w:spacing w:before="0" w:after="0"/>
              <w:jc w:val="center"/>
            </w:pPr>
            <w:r>
              <w:rPr>
                <w:rFonts w:ascii="Arial" w:cs="Arial" w:eastAsia="Arial" w:hAnsi="Arial"/>
                <w:b/>
                <w:bCs/>
                <w:color w:val="FFFFFF"/>
                <w:sz w:val="18"/>
                <w:szCs w:val="18"/>
              </w:rPr>
              <w:t xml:space="preserve">16</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8"/>
                <w:szCs w:val="18"/>
              </w:rPr>
              <w:t xml:space="preserve">Deploy SIEM with baselines, automated alerting, and 24/7 analyst coverage.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8"/>
                <w:szCs w:val="18"/>
              </w:rPr>
              <w:t xml:space="preserve">SOC Lead</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Q4 2025</w:t>
            </w:r>
          </w:p>
        </w:tc>
      </w:tr>
      <w:tr>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B3A5C"/>
                <w:sz w:val="19"/>
                <w:szCs w:val="19"/>
              </w:rPr>
              <w:t xml:space="preserve">F-003</w:t>
            </w:r>
          </w:p>
        </w:tc>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11111"/>
                <w:sz w:val="19"/>
                <w:szCs w:val="19"/>
              </w:rPr>
              <w:t xml:space="preserve">RA-3</w:t>
            </w:r>
          </w:p>
        </w:tc>
        <w:tc>
          <w:tcPr>
            <w:tcBorders>
              <w:top w:val="single" w:color="CCCCCC" w:sz="1"/>
              <w:left w:val="single" w:color="CCCCCC" w:sz="1"/>
              <w:bottom w:val="single" w:color="CCCCCC" w:sz="1"/>
              <w:right w:val="single" w:color="CCCCCC" w:sz="1"/>
            </w:tcBorders>
            <w:shd w:fill="D35400" w:val="clear"/>
            <w:tcMar>
              <w:top w:type="dxa" w:w="60"/>
              <w:left w:type="dxa" w:w="60"/>
              <w:bottom w:type="dxa" w:w="60"/>
              <w:right w:type="dxa" w:w="60"/>
            </w:tcMar>
          </w:tcPr>
          <w:p>
            <w:pPr>
              <w:spacing w:before="0" w:after="0"/>
              <w:jc w:val="center"/>
            </w:pPr>
            <w:r>
              <w:rPr>
                <w:rFonts w:ascii="Arial" w:cs="Arial" w:eastAsia="Arial" w:hAnsi="Arial"/>
                <w:b/>
                <w:bCs/>
                <w:color w:val="FFFFFF"/>
                <w:sz w:val="18"/>
                <w:szCs w:val="18"/>
              </w:rPr>
              <w:t xml:space="preserve">15</w:t>
            </w:r>
          </w:p>
        </w:tc>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8"/>
                <w:szCs w:val="18"/>
              </w:rPr>
              <w:t xml:space="preserve">Conduct full NIST SP 800-30 risk assessment; schedule annual reassessments.</w:t>
            </w:r>
          </w:p>
        </w:tc>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8"/>
                <w:szCs w:val="18"/>
              </w:rPr>
              <w:t xml:space="preserve">CISO</w:t>
            </w:r>
          </w:p>
        </w:tc>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Q3 2025</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B3A5C"/>
                <w:sz w:val="19"/>
                <w:szCs w:val="19"/>
              </w:rPr>
              <w:t xml:space="preserve">F-004</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11111"/>
                <w:sz w:val="19"/>
                <w:szCs w:val="19"/>
              </w:rPr>
              <w:t xml:space="preserve">CA-5</w:t>
            </w:r>
          </w:p>
        </w:tc>
        <w:tc>
          <w:tcPr>
            <w:tcBorders>
              <w:top w:val="single" w:color="CCCCCC" w:sz="1"/>
              <w:left w:val="single" w:color="CCCCCC" w:sz="1"/>
              <w:bottom w:val="single" w:color="CCCCCC" w:sz="1"/>
              <w:right w:val="single" w:color="CCCCCC" w:sz="1"/>
            </w:tcBorders>
            <w:shd w:fill="D4A017" w:val="clear"/>
            <w:tcMar>
              <w:top w:type="dxa" w:w="60"/>
              <w:left w:type="dxa" w:w="60"/>
              <w:bottom w:type="dxa" w:w="60"/>
              <w:right w:type="dxa" w:w="60"/>
            </w:tcMar>
          </w:tcPr>
          <w:p>
            <w:pPr>
              <w:spacing w:before="0" w:after="0"/>
              <w:jc w:val="center"/>
            </w:pPr>
            <w:r>
              <w:rPr>
                <w:rFonts w:ascii="Arial" w:cs="Arial" w:eastAsia="Arial" w:hAnsi="Arial"/>
                <w:b/>
                <w:bCs/>
                <w:color w:val="FFFFFF"/>
                <w:sz w:val="18"/>
                <w:szCs w:val="18"/>
              </w:rPr>
              <w:t xml:space="preserve">9</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8"/>
                <w:szCs w:val="18"/>
              </w:rPr>
              <w:t xml:space="preserve">Establish POA&amp;M process within GRC platform with ownership and deadlines.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8"/>
                <w:szCs w:val="18"/>
              </w:rPr>
              <w:t xml:space="preserve">Compliance Manager</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Q3 2025</w:t>
            </w:r>
          </w:p>
        </w:tc>
      </w:tr>
      <w:tr>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B3A5C"/>
                <w:sz w:val="19"/>
                <w:szCs w:val="19"/>
              </w:rPr>
              <w:t xml:space="preserve">F-005</w:t>
            </w:r>
          </w:p>
        </w:tc>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11111"/>
                <w:sz w:val="19"/>
                <w:szCs w:val="19"/>
              </w:rPr>
              <w:t xml:space="preserve">RA-7</w:t>
            </w:r>
          </w:p>
        </w:tc>
        <w:tc>
          <w:tcPr>
            <w:tcBorders>
              <w:top w:val="single" w:color="CCCCCC" w:sz="1"/>
              <w:left w:val="single" w:color="CCCCCC" w:sz="1"/>
              <w:bottom w:val="single" w:color="CCCCCC" w:sz="1"/>
              <w:right w:val="single" w:color="CCCCCC" w:sz="1"/>
            </w:tcBorders>
            <w:shd w:fill="D4A017" w:val="clear"/>
            <w:tcMar>
              <w:top w:type="dxa" w:w="60"/>
              <w:left w:type="dxa" w:w="60"/>
              <w:bottom w:type="dxa" w:w="60"/>
              <w:right w:type="dxa" w:w="60"/>
            </w:tcMar>
          </w:tcPr>
          <w:p>
            <w:pPr>
              <w:spacing w:before="0" w:after="0"/>
              <w:jc w:val="center"/>
            </w:pPr>
            <w:r>
              <w:rPr>
                <w:rFonts w:ascii="Arial" w:cs="Arial" w:eastAsia="Arial" w:hAnsi="Arial"/>
                <w:b/>
                <w:bCs/>
                <w:color w:val="FFFFFF"/>
                <w:sz w:val="18"/>
                <w:szCs w:val="18"/>
              </w:rPr>
              <w:t xml:space="preserve">9</w:t>
            </w:r>
          </w:p>
        </w:tc>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8"/>
                <w:szCs w:val="18"/>
              </w:rPr>
              <w:t xml:space="preserve">Establish cross-functional risk committee; document all risk decisions.</w:t>
            </w:r>
          </w:p>
        </w:tc>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8"/>
                <w:szCs w:val="18"/>
              </w:rPr>
              <w:t xml:space="preserve">Compliance Manager</w:t>
            </w:r>
          </w:p>
        </w:tc>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Q4 2025</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B3A5C"/>
                <w:sz w:val="19"/>
                <w:szCs w:val="19"/>
              </w:rPr>
              <w:t xml:space="preserve">F-006</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11111"/>
                <w:sz w:val="19"/>
                <w:szCs w:val="19"/>
              </w:rPr>
              <w:t xml:space="preserve">IA-2</w:t>
            </w:r>
          </w:p>
        </w:tc>
        <w:tc>
          <w:tcPr>
            <w:tcBorders>
              <w:top w:val="single" w:color="CCCCCC" w:sz="1"/>
              <w:left w:val="single" w:color="CCCCCC" w:sz="1"/>
              <w:bottom w:val="single" w:color="CCCCCC" w:sz="1"/>
              <w:right w:val="single" w:color="CCCCCC" w:sz="1"/>
            </w:tcBorders>
            <w:shd w:fill="C0392B" w:val="clear"/>
            <w:tcMar>
              <w:top w:type="dxa" w:w="60"/>
              <w:left w:type="dxa" w:w="60"/>
              <w:bottom w:type="dxa" w:w="60"/>
              <w:right w:type="dxa" w:w="60"/>
            </w:tcMar>
          </w:tcPr>
          <w:p>
            <w:pPr>
              <w:spacing w:before="0" w:after="0"/>
              <w:jc w:val="center"/>
            </w:pPr>
            <w:r>
              <w:rPr>
                <w:rFonts w:ascii="Arial" w:cs="Arial" w:eastAsia="Arial" w:hAnsi="Arial"/>
                <w:b/>
                <w:bCs/>
                <w:color w:val="FFFFFF"/>
                <w:sz w:val="18"/>
                <w:szCs w:val="18"/>
              </w:rPr>
              <w:t xml:space="preserve">20</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8"/>
                <w:szCs w:val="18"/>
              </w:rPr>
              <w:t xml:space="preserve">Enforce MFA for all remote access and privileged accounts per NIST SP 800-63.</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8"/>
                <w:szCs w:val="18"/>
              </w:rPr>
              <w:t xml:space="preserve">IT Security Officer</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Q3 2025</w:t>
            </w:r>
          </w:p>
        </w:tc>
      </w:tr>
      <w:tr>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B3A5C"/>
                <w:sz w:val="19"/>
                <w:szCs w:val="19"/>
              </w:rPr>
              <w:t xml:space="preserve">F-007</w:t>
            </w:r>
          </w:p>
        </w:tc>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11111"/>
                <w:sz w:val="19"/>
                <w:szCs w:val="19"/>
              </w:rPr>
              <w:t xml:space="preserve">SI-3</w:t>
            </w:r>
          </w:p>
        </w:tc>
        <w:tc>
          <w:tcPr>
            <w:tcBorders>
              <w:top w:val="single" w:color="CCCCCC" w:sz="1"/>
              <w:left w:val="single" w:color="CCCCCC" w:sz="1"/>
              <w:bottom w:val="single" w:color="CCCCCC" w:sz="1"/>
              <w:right w:val="single" w:color="CCCCCC" w:sz="1"/>
            </w:tcBorders>
            <w:shd w:fill="D35400" w:val="clear"/>
            <w:tcMar>
              <w:top w:type="dxa" w:w="60"/>
              <w:left w:type="dxa" w:w="60"/>
              <w:bottom w:type="dxa" w:w="60"/>
              <w:right w:type="dxa" w:w="60"/>
            </w:tcMar>
          </w:tcPr>
          <w:p>
            <w:pPr>
              <w:spacing w:before="0" w:after="0"/>
              <w:jc w:val="center"/>
            </w:pPr>
            <w:r>
              <w:rPr>
                <w:rFonts w:ascii="Arial" w:cs="Arial" w:eastAsia="Arial" w:hAnsi="Arial"/>
                <w:b/>
                <w:bCs/>
                <w:color w:val="FFFFFF"/>
                <w:sz w:val="18"/>
                <w:szCs w:val="18"/>
              </w:rPr>
              <w:t xml:space="preserve">12</w:t>
            </w:r>
          </w:p>
        </w:tc>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8"/>
                <w:szCs w:val="18"/>
              </w:rPr>
              <w:t xml:space="preserve">Deploy enterprise-grade EDR solution with centralized management and auto-updates.</w:t>
            </w:r>
          </w:p>
        </w:tc>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8"/>
                <w:szCs w:val="18"/>
              </w:rPr>
              <w:t xml:space="preserve">Endpoint Security Manager</w:t>
            </w:r>
          </w:p>
        </w:tc>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Q3 2025</w:t>
            </w:r>
          </w:p>
        </w:tc>
      </w:tr>
    </w:tbl>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w:r>
    </w:p>
    <w:p>
      <w:r>
        <w:br w:type="page"/>
      </w:r>
    </w:p>
    <w:p>
      <w:pPr>
        <w:pBdr>
          <w:bottom w:val="single" w:color="2C5F8A" w:sz="6" w:space="2"/>
        </w:pBdr>
        <w:spacing w:before="160" w:after="80"/>
      </w:pPr>
    </w:p>
    <w:p>
      <w:pPr>
        <w:spacing w:before="80" w:after="60"/>
      </w:pPr>
      <w:r>
        <w:rPr>
          <w:rFonts w:ascii="Arial" w:cs="Arial" w:eastAsia="Arial" w:hAnsi="Arial"/>
          <w:b/>
          <w:bCs/>
          <w:color w:val="1B3A5C"/>
          <w:sz w:val="28"/>
          <w:szCs w:val="28"/>
        </w:rPr>
        <w:t xml:space="preserve">Section 5</w:t>
      </w:r>
      <w:r>
        <w:rPr>
          <w:rFonts w:ascii="Arial" w:cs="Arial" w:eastAsia="Arial" w:hAnsi="Arial"/>
          <w:i/>
          <w:iCs/>
          <w:color w:val="666666"/>
          <w:sz w:val="22"/>
          <w:szCs w:val="22"/>
        </w:rPr>
        <w:t xml:space="preserve">  —  PCI DSS-Compliant POS Security Policy</w:t>
      </w:r>
    </w:p>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680"/>
        <w:gridCol w:w="2880"/>
      </w:tblGrid>
      <w:tr>
        <w:tc>
          <w:tcPr>
            <w:tcW w:type="dxa" w:w="1800"/>
            <w:gridSpan w:val="1"/>
            <w:tcBorders>
              <w:top w:val="single" w:color="2C5F8A" w:sz="2"/>
              <w:left w:val="single" w:color="2C5F8A" w:sz="2"/>
              <w:bottom w:val="single" w:color="2C5F8A" w:sz="2"/>
              <w:right w:val="single" w:color="2C5F8A"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Requirement</w:t>
            </w:r>
          </w:p>
        </w:tc>
        <w:tc>
          <w:tcPr>
            <w:tcW w:type="dxa" w:w="4680"/>
            <w:gridSpan w:val="1"/>
            <w:tcBorders>
              <w:top w:val="single" w:color="2C5F8A" w:sz="2"/>
              <w:left w:val="single" w:color="2C5F8A" w:sz="2"/>
              <w:bottom w:val="single" w:color="2C5F8A" w:sz="2"/>
              <w:right w:val="single" w:color="2C5F8A"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Required Action</w:t>
            </w:r>
          </w:p>
        </w:tc>
        <w:tc>
          <w:tcPr>
            <w:tcW w:type="dxa" w:w="2880"/>
            <w:gridSpan w:val="1"/>
            <w:tcBorders>
              <w:top w:val="single" w:color="2C5F8A" w:sz="2"/>
              <w:left w:val="single" w:color="2C5F8A" w:sz="2"/>
              <w:bottom w:val="single" w:color="2C5F8A" w:sz="2"/>
              <w:right w:val="single" w:color="2C5F8A"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Responsible Roles</w:t>
            </w:r>
          </w:p>
        </w:tc>
      </w:tr>
      <w:tr>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B3A5C"/>
                <w:sz w:val="19"/>
                <w:szCs w:val="19"/>
              </w:rPr>
              <w:t xml:space="preserve">Req. 1
Install &amp; Maintain a Firewall</w:t>
            </w:r>
          </w:p>
        </w:tc>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Deploy network firewalls segmenting the POS environment from internal networks and the internet. Block all unapproved inbound/outbound traffic. Conduct configuration reviews biannually using PCI DSS rule sets.</w:t>
            </w:r>
          </w:p>
        </w:tc>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8"/>
                <w:szCs w:val="18"/>
              </w:rPr>
              <w:t xml:space="preserve">Network Administrator (config)
IT Security Officer (audits &amp; change management)</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B3A5C"/>
                <w:sz w:val="19"/>
                <w:szCs w:val="19"/>
              </w:rPr>
              <w:t xml:space="preserve">Req. 2
Change Vendor Defaults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Remove or change all factory-default credentials and disable unnecessary services on all POS hardware and software prior to go-live. Validate hardening against CIS benchmarks.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8"/>
                <w:szCs w:val="18"/>
              </w:rPr>
              <w:t xml:space="preserve">IT Systems Administrator (configuration &amp; ongoing validation)</w:t>
            </w:r>
          </w:p>
        </w:tc>
      </w:tr>
      <w:tr>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B3A5C"/>
                <w:sz w:val="19"/>
                <w:szCs w:val="19"/>
              </w:rPr>
              <w:t xml:space="preserve">Req. 5
Maintain Antivirus Software</w:t>
            </w:r>
          </w:p>
        </w:tc>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Deploy enterprise-grade AV/EDR with automatic signature updates and real-time protection on all POS endpoints. Perform weekly scans; verify definition updates monthly.</w:t>
            </w:r>
          </w:p>
        </w:tc>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8"/>
                <w:szCs w:val="18"/>
              </w:rPr>
              <w:t xml:space="preserve">Endpoint Security Manager (install &amp; updates)
Help Desk Technicians (remediation &amp; checks)</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B3A5C"/>
                <w:sz w:val="19"/>
                <w:szCs w:val="19"/>
              </w:rPr>
              <w:t xml:space="preserve">Req. 7
Restrict Access by Need</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Ensure POS system access is granted only to personnel whose job function requires it. Maintain an up-to-date access matrix and review quarterly.</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8"/>
                <w:szCs w:val="18"/>
              </w:rPr>
              <w:t xml:space="preserve">IT Security Officer (access matrix)
Compliance Manager (reviews)</w:t>
            </w:r>
          </w:p>
        </w:tc>
      </w:tr>
      <w:tr>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B3A5C"/>
                <w:sz w:val="19"/>
                <w:szCs w:val="19"/>
              </w:rPr>
              <w:t xml:space="preserve">Req. 8
Identify &amp; Authenticate Users</w:t>
            </w:r>
          </w:p>
        </w:tc>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9"/>
                <w:szCs w:val="19"/>
              </w:rPr>
              <w:t xml:space="preserve">Enforce unique user IDs and strong authentication (including MFA) for all POS system access. Prohibit shared or group credentials.</w:t>
            </w:r>
          </w:p>
        </w:tc>
        <w:tc>
          <w:tcPr>
            <w:gridSpan w:val="1"/>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111111"/>
                <w:sz w:val="18"/>
                <w:szCs w:val="18"/>
              </w:rPr>
              <w:t xml:space="preserve">IT Systems Administrator
IT Security Officer</w:t>
            </w:r>
          </w:p>
        </w:tc>
      </w:tr>
    </w:tbl>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w:r>
    </w:p>
    <w:p>
      <w:pPr>
        <w:pBdr>
          <w:bottom w:val="single" w:color="2C5F8A" w:sz="6" w:space="2"/>
        </w:pBdr>
        <w:spacing w:before="160" w:after="80"/>
      </w:pPr>
    </w:p>
    <w:p>
      <w:pPr>
        <w:spacing w:before="80" w:after="60"/>
      </w:pPr>
      <w:r>
        <w:rPr>
          <w:rFonts w:ascii="Arial" w:cs="Arial" w:eastAsia="Arial" w:hAnsi="Arial"/>
          <w:b/>
          <w:bCs/>
          <w:color w:val="1B3A5C"/>
          <w:sz w:val="28"/>
          <w:szCs w:val="28"/>
        </w:rPr>
        <w:t xml:space="preserve">References</w:t>
      </w:r>
    </w:p>
    <w:p>
      <w:pPr>
        <w:spacing w:before="40" w:after="40"/>
      </w:pPr>
      <w:r>
        <w:rPr>
          <w:rFonts w:ascii="Arial" w:cs="Arial" w:eastAsia="Arial" w:hAnsi="Arial"/>
          <w:sz w:val="20"/>
          <w:szCs w:val="20"/>
        </w:rPr>
        <w:t xml:space="preserve"/>
      </w:r>
    </w:p>
    <w:p>
      <w:pPr>
        <w:spacing w:before="60" w:after="60"/>
      </w:pPr>
      <w:r>
        <w:rPr>
          <w:rFonts w:ascii="Arial" w:cs="Arial" w:eastAsia="Arial" w:hAnsi="Arial"/>
          <w:sz w:val="20"/>
          <w:szCs w:val="20"/>
        </w:rPr>
        <w:t xml:space="preserve">National Institute of Standards and Technology. (2020). NIST SP 800-53 Rev. 5 — Security and Privacy Controls for Information Systems and Organizations.</w:t>
      </w:r>
    </w:p>
    <w:p>
      <w:pPr>
        <w:spacing w:before="60" w:after="60"/>
      </w:pPr>
      <w:r>
        <w:rPr>
          <w:rFonts w:ascii="Arial" w:cs="Arial" w:eastAsia="Arial" w:hAnsi="Arial"/>
          <w:sz w:val="20"/>
          <w:szCs w:val="20"/>
        </w:rPr>
        <w:t xml:space="preserve">National Institute of Standards and Technology. (2012). NIST SP 800-30 Rev. 1 — Guide for Conducting Risk Assessments.</w:t>
      </w:r>
    </w:p>
    <w:p>
      <w:pPr>
        <w:spacing w:before="60" w:after="60"/>
      </w:pPr>
      <w:r>
        <w:rPr>
          <w:rFonts w:ascii="Arial" w:cs="Arial" w:eastAsia="Arial" w:hAnsi="Arial"/>
          <w:sz w:val="20"/>
          <w:szCs w:val="20"/>
        </w:rPr>
        <w:t xml:space="preserve">National Institute of Standards and Technology. (2020). NIST SP 800-137 — Information Security Continuous Monitoring for Federal Information Systems and Organizations.</w:t>
      </w:r>
    </w:p>
    <w:p>
      <w:pPr>
        <w:spacing w:before="60" w:after="60"/>
      </w:pPr>
      <w:r>
        <w:rPr>
          <w:rFonts w:ascii="Arial" w:cs="Arial" w:eastAsia="Arial" w:hAnsi="Arial"/>
          <w:sz w:val="20"/>
          <w:szCs w:val="20"/>
        </w:rPr>
        <w:t xml:space="preserve">National Institute of Standards and Technology. (2020). NIST SP 800-63 — Digital Identity Guidelines.</w:t>
      </w:r>
    </w:p>
    <w:p>
      <w:pPr>
        <w:spacing w:before="60" w:after="60"/>
      </w:pPr>
      <w:r>
        <w:rPr>
          <w:rFonts w:ascii="Arial" w:cs="Arial" w:eastAsia="Arial" w:hAnsi="Arial"/>
          <w:sz w:val="20"/>
          <w:szCs w:val="20"/>
        </w:rPr>
        <w:t xml:space="preserve">Office of Management and Budget. (2000). Circular A-130 — Managing Information as a Strategic Resource.</w:t>
      </w:r>
    </w:p>
    <w:p>
      <w:pPr>
        <w:spacing w:before="60" w:after="60"/>
      </w:pPr>
      <w:r>
        <w:rPr>
          <w:rFonts w:ascii="Arial" w:cs="Arial" w:eastAsia="Arial" w:hAnsi="Arial"/>
          <w:sz w:val="20"/>
          <w:szCs w:val="20"/>
        </w:rPr>
        <w:t xml:space="preserve">Center for Internet Security. (2021). CIS Controls v8 — Critical Security Controls for Effective Cyber Defense.</w:t>
      </w:r>
    </w:p>
    <w:p>
      <w:pPr>
        <w:spacing w:before="60" w:after="60"/>
      </w:pPr>
      <w:r>
        <w:rPr>
          <w:rFonts w:ascii="Arial" w:cs="Arial" w:eastAsia="Arial" w:hAnsi="Arial"/>
          <w:sz w:val="20"/>
          <w:szCs w:val="20"/>
        </w:rPr>
        <w:t xml:space="preserve">PCI Security Standards Council. (2022). PCI DSS v4.0 — Payment Card Industry Data Security Standard.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2026-03-17T16:06:19.389Z</dcterms:created>
  <dcterms:modified xsi:type="dcterms:W3CDTF">2026-03-17T16:06:19.390Z</dcterms:modified>
</cp:coreProperties>
</file>

<file path=docProps/custom.xml><?xml version="1.0" encoding="utf-8"?>
<Properties xmlns="http://schemas.openxmlformats.org/officeDocument/2006/custom-properties" xmlns:vt="http://schemas.openxmlformats.org/officeDocument/2006/docPropsVTypes"/>
</file>