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0"/>
        <w:jc w:val="center"/>
      </w:pPr>
      <w:r>
        <w:rPr>
          <w:rFonts w:ascii="Arial" w:cs="Arial" w:eastAsia="Arial" w:hAnsi="Arial"/>
          <w:b/>
          <w:bCs/>
          <w:color w:val="888888"/>
          <w:sz w:val="22"/>
          <w:szCs w:val="22"/>
        </w:rPr>
        <w:t xml:space="preserve">AI GOVERNANCE, RISK &amp; COMPLIANCE</w:t>
      </w:r>
    </w:p>
    <w:p>
      <w:pPr>
        <w:spacing w:before="120" w:after="120"/>
        <w:jc w:val="center"/>
      </w:pPr>
      <w:r>
        <w:rPr>
          <w:rFonts w:ascii="Arial" w:cs="Arial" w:eastAsia="Arial" w:hAnsi="Arial"/>
          <w:b/>
          <w:bCs/>
          <w:color w:val="1B3A5C"/>
          <w:sz w:val="40"/>
          <w:szCs w:val="40"/>
        </w:rPr>
        <w:t xml:space="preserve">AI Risk Assessment &amp; Governance Gap Analysis</w:t>
      </w:r>
    </w:p>
    <w:p>
      <w:pPr>
        <w:spacing w:before="60" w:after="60"/>
        <w:jc w:val="center"/>
      </w:pPr>
      <w:r>
        <w:rPr>
          <w:rFonts w:ascii="Arial" w:cs="Arial" w:eastAsia="Arial" w:hAnsi="Arial"/>
          <w:i/>
          <w:iCs/>
          <w:color w:val="2E4799"/>
          <w:sz w:val="24"/>
          <w:szCs w:val="24"/>
        </w:rPr>
        <w:t xml:space="preserve">AI-Powered Resume Screening Tool  |  HR Technology Organization</w:t>
      </w:r>
    </w:p>
    <w:p>
      <w:pPr>
        <w:pBdr>
          <w:bottom w:val="single" w:color="2E4799" w:sz="8" w:space="1"/>
        </w:pBdr>
        <w:spacing w:before="60" w:after="60"/>
      </w:pPr>
    </w:p>
    <w:p>
      <w:pPr>
        <w:spacing w:before="120" w:after="60"/>
        <w:jc w:val="center"/>
      </w:pPr>
      <w:r>
        <w:rPr>
          <w:rFonts w:ascii="Arial" w:cs="Arial" w:eastAsia="Arial" w:hAnsi="Arial"/>
          <w:color w:val="444444"/>
          <w:sz w:val="22"/>
          <w:szCs w:val="22"/>
        </w:rPr>
        <w:t xml:space="preserve">Prepared by: Tamia Williams</w:t>
      </w:r>
    </w:p>
    <w:p>
      <w:pPr>
        <w:spacing w:before="40" w:after="40"/>
        <w:jc w:val="center"/>
      </w:pPr>
      <w:r>
        <w:rPr>
          <w:rFonts w:ascii="Arial" w:cs="Arial" w:eastAsia="Arial" w:hAnsi="Arial"/>
          <w:color w:val="666666"/>
          <w:sz w:val="20"/>
          <w:szCs w:val="20"/>
        </w:rPr>
        <w:t xml:space="preserve">Assessment Date: 2025  |  Classification: Portfolio Sample</w:t>
      </w:r>
    </w:p>
    <w:p>
      <w:pPr>
        <w:spacing w:before="40" w:after="480"/>
        <w:jc w:val="center"/>
      </w:pPr>
      <w:r>
        <w:rPr>
          <w:rFonts w:ascii="Arial" w:cs="Arial" w:eastAsia="Arial" w:hAnsi="Arial"/>
          <w:i/>
          <w:iCs/>
          <w:color w:val="666666"/>
          <w:sz w:val="20"/>
          <w:szCs w:val="20"/>
        </w:rPr>
        <w:t xml:space="preserve">Primary Framework: NIST AI RMF (AI 100-1)  |  Supporting: NIST SP 800-53, NYC Local Law 144, EEOC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2E4799" w:sz="2"/>
              <w:left w:val="single" w:color="2E4799" w:sz="2"/>
              <w:bottom w:val="single" w:color="2E4799" w:sz="2"/>
              <w:right w:val="single" w:color="2E4799" w:sz="2"/>
            </w:tcBorders>
            <w:shd w:fill="2E4799"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AI Risks Identified</w:t>
            </w:r>
          </w:p>
        </w:tc>
        <w:tc>
          <w:tcPr>
            <w:tcW w:type="dxa" w:w="2340"/>
            <w:gridSpan w:val="1"/>
            <w:tcBorders>
              <w:top w:val="single" w:color="2E4799" w:sz="2"/>
              <w:left w:val="single" w:color="2E4799" w:sz="2"/>
              <w:bottom w:val="single" w:color="2E4799" w:sz="2"/>
              <w:right w:val="single" w:color="2E4799" w:sz="2"/>
            </w:tcBorders>
            <w:shd w:fill="C0392B"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Critical Risks</w:t>
            </w:r>
          </w:p>
        </w:tc>
        <w:tc>
          <w:tcPr>
            <w:tcW w:type="dxa" w:w="2340"/>
            <w:gridSpan w:val="1"/>
            <w:tcBorders>
              <w:top w:val="single" w:color="2E4799" w:sz="2"/>
              <w:left w:val="single" w:color="2E4799" w:sz="2"/>
              <w:bottom w:val="single" w:color="2E4799" w:sz="2"/>
              <w:right w:val="single" w:color="2E4799" w:sz="2"/>
            </w:tcBorders>
            <w:shd w:fill="D35400"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Governance Gaps</w:t>
            </w:r>
          </w:p>
        </w:tc>
        <w:tc>
          <w:tcPr>
            <w:tcW w:type="dxa" w:w="234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RMF Functions Assessed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2E4799"/>
                <w:sz w:val="32"/>
                <w:szCs w:val="32"/>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C0392B"/>
                <w:sz w:val="32"/>
                <w:szCs w:val="32"/>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D35400"/>
                <w:sz w:val="32"/>
                <w:szCs w:val="32"/>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1B3A5C"/>
                <w:sz w:val="32"/>
                <w:szCs w:val="32"/>
              </w:rPr>
              <w:t xml:space="preserve">4</w:t>
            </w:r>
          </w:p>
        </w:tc>
      </w:tr>
    </w:tbl>
    <w:p>
      <w:r>
        <w:br w:type="page"/>
      </w:r>
    </w:p>
    <w:p>
      <w:pPr>
        <w:pBdr>
          <w:bottom w:val="single" w:color="2E4799" w:sz="6" w:space="2"/>
        </w:pBdr>
        <w:spacing w:before="160" w:after="80"/>
      </w:pPr>
    </w:p>
    <w:p>
      <w:pPr>
        <w:spacing w:before="80" w:after="60"/>
      </w:pPr>
      <w:r>
        <w:rPr>
          <w:rFonts w:ascii="Arial" w:cs="Arial" w:eastAsia="Arial" w:hAnsi="Arial"/>
          <w:b/>
          <w:bCs/>
          <w:color w:val="1B3A5C"/>
          <w:sz w:val="28"/>
          <w:szCs w:val="28"/>
        </w:rPr>
        <w:t xml:space="preserve">Section 1</w:t>
      </w:r>
      <w:r>
        <w:rPr>
          <w:rFonts w:ascii="Arial" w:cs="Arial" w:eastAsia="Arial" w:hAnsi="Arial"/>
          <w:i/>
          <w:iCs/>
          <w:color w:val="666666"/>
          <w:sz w:val="22"/>
          <w:szCs w:val="22"/>
        </w:rPr>
        <w:t xml:space="preserve">  —  Executive Summary</w:t>
      </w:r>
    </w:p>
    <w:p>
      <w:pPr>
        <w:spacing w:before="40" w:after="4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Engagement Context  </w:t>
      </w:r>
      <w:r>
        <w:rPr>
          <w:rFonts w:ascii="Arial" w:cs="Arial" w:eastAsia="Arial" w:hAnsi="Arial"/>
          <w:sz w:val="20"/>
          <w:szCs w:val="20"/>
        </w:rPr>
        <w:t xml:space="preserve">This report presents an AI governance risk assessment for a simulated HR technology company deploying an AI-powered resume screening tool. The tool automatically filters job applications before human review, using machine learning to rank candidates based on resume content. As AI-driven hiring tools become increasingly common, they introduce a distinct category of risk — including algorithmic bias, lack of transparency, regulatory exposure, and accountability gaps — that traditional GRC frameworks do not fully address.</w:t>
      </w:r>
    </w:p>
    <w:p>
      <w:pPr>
        <w:spacing w:before="40" w:after="4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Assessment Purpose  </w:t>
      </w:r>
      <w:r>
        <w:rPr>
          <w:rFonts w:ascii="Arial" w:cs="Arial" w:eastAsia="Arial" w:hAnsi="Arial"/>
          <w:sz w:val="20"/>
          <w:szCs w:val="20"/>
        </w:rPr>
        <w:t xml:space="preserve">This assessment evaluates the organization’s AI deployment posture against the NIST Artificial Intelligence Risk Management Framework (AI RMF, NIST AI 100-1), which defines four core functions: Govern, Map, Measure, and Manage. The assessment identifies risks specific to AI systems, analyzes gaps in the organization’s current governance posture, and delivers a prioritized remediation roadmap.</w:t>
      </w:r>
    </w:p>
    <w:p>
      <w:pPr>
        <w:spacing w:before="40" w:after="4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Why AI Hiring Tools Carry Elevated Risk  </w:t>
      </w:r>
      <w:r>
        <w:rPr>
          <w:rFonts w:ascii="Arial" w:cs="Arial" w:eastAsia="Arial" w:hAnsi="Arial"/>
          <w:sz w:val="20"/>
          <w:szCs w:val="20"/>
        </w:rPr>
        <w:t xml:space="preserve">Resume screening AI is one of the most legally and ethically scrutinized AI use cases. Historical deployments have demonstrated measurable bias against women, older workers, and racial minorities. Regulatory pressure is increasing: New York City’s Local Law 144 requires annual bias audits for automated employment decision tools, and similar legislation is expanding nationally. The consequences of ungoverned AI hiring tools include EEOC enforcement actions, reputational damage, and civil litigation.</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2E4799" w:sz="2"/>
              <w:left w:val="single" w:color="2E4799" w:sz="2"/>
              <w:bottom w:val="single" w:color="2E4799" w:sz="2"/>
              <w:right w:val="single" w:color="2E4799" w:sz="2"/>
            </w:tcBorders>
            <w:shd w:fill="C0392B"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Critical Issues Identified</w:t>
            </w:r>
          </w:p>
        </w:tc>
        <w:tc>
          <w:tcPr>
            <w:tcW w:type="dxa" w:w="468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Immediate Priorities</w:t>
            </w:r>
          </w:p>
        </w:tc>
      </w:tr>
      <w:tr>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spacing w:before="60" w:after="60"/>
            </w:pPr>
            <w:r>
              <w:rPr>
                <w:rFonts w:ascii="Arial" w:cs="Arial" w:eastAsia="Arial" w:hAnsi="Arial"/>
                <w:sz w:val="20"/>
                <w:szCs w:val="20"/>
              </w:rPr>
              <w:t xml:space="preserve">❗  No AI governance policy or accountability structure in place</w:t>
            </w:r>
          </w:p>
          <w:p>
            <w:pPr>
              <w:spacing w:before="60" w:after="60"/>
            </w:pPr>
            <w:r>
              <w:rPr>
                <w:rFonts w:ascii="Arial" w:cs="Arial" w:eastAsia="Arial" w:hAnsi="Arial"/>
                <w:sz w:val="20"/>
                <w:szCs w:val="20"/>
              </w:rPr>
              <w:t xml:space="preserve">❗  No bias or fairness testing conducted on screening model</w:t>
            </w:r>
          </w:p>
          <w:p>
            <w:pPr>
              <w:spacing w:before="60" w:after="60"/>
            </w:pPr>
            <w:r>
              <w:rPr>
                <w:rFonts w:ascii="Arial" w:cs="Arial" w:eastAsia="Arial" w:hAnsi="Arial"/>
                <w:sz w:val="20"/>
                <w:szCs w:val="20"/>
              </w:rPr>
              <w:t xml:space="preserve">❗  Non-compliant with NYC Local Law 144 bias audit requirements</w:t>
            </w:r>
          </w:p>
          <w:p>
            <w:pPr>
              <w:spacing w:before="60" w:after="60"/>
            </w:pPr>
            <w:r>
              <w:rPr>
                <w:rFonts w:ascii="Arial" w:cs="Arial" w:eastAsia="Arial" w:hAnsi="Arial"/>
                <w:sz w:val="20"/>
                <w:szCs w:val="20"/>
              </w:rPr>
              <w:t xml:space="preserve">❗  Candidate PII processed without consent or retention controls</w:t>
            </w:r>
          </w:p>
          <w:p>
            <w:pPr>
              <w:spacing w:before="60" w:after="60"/>
            </w:pPr>
            <w:r>
              <w:rPr>
                <w:rFonts w:ascii="Arial" w:cs="Arial" w:eastAsia="Arial" w:hAnsi="Arial"/>
                <w:sz w:val="20"/>
                <w:szCs w:val="20"/>
              </w:rPr>
              <w:t xml:space="preserve">❗  No explainability mechanism for AI rejection decisions</w:t>
            </w:r>
          </w:p>
          <w:p>
            <w:pPr>
              <w:spacing w:before="60" w:after="60"/>
            </w:pPr>
            <w:r>
              <w:rPr>
                <w:rFonts w:ascii="Arial" w:cs="Arial" w:eastAsia="Arial" w:hAnsi="Arial"/>
                <w:sz w:val="20"/>
                <w:szCs w:val="20"/>
              </w:rPr>
              <w:t xml:space="preserve">❗  Third-party AI vendor lacks contractual governance controls</w:t>
            </w:r>
          </w:p>
          <w:p>
            <w:pPr>
              <w:spacing w:before="60" w:after="60"/>
            </w:pPr>
            <w:r>
              <w:rPr>
                <w:rFonts w:ascii="Arial" w:cs="Arial" w:eastAsia="Arial" w:hAnsi="Arial"/>
                <w:sz w:val="20"/>
                <w:szCs w:val="20"/>
              </w:rPr>
              <w:t xml:space="preserve">❗  No post-deployment monitoring or model drift detection</w:t>
            </w:r>
          </w:p>
        </w:tc>
        <w:tc>
          <w:tcPr>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before="60" w:after="60"/>
            </w:pPr>
            <w:r>
              <w:rPr>
                <w:rFonts w:ascii="Arial" w:cs="Arial" w:eastAsia="Arial" w:hAnsi="Arial"/>
                <w:sz w:val="20"/>
                <w:szCs w:val="20"/>
              </w:rPr>
              <w:t xml:space="preserve">✅  Develop and publish AI Governance Policy immediately</w:t>
            </w:r>
          </w:p>
          <w:p>
            <w:pPr>
              <w:spacing w:before="60" w:after="60"/>
            </w:pPr>
            <w:r>
              <w:rPr>
                <w:rFonts w:ascii="Arial" w:cs="Arial" w:eastAsia="Arial" w:hAnsi="Arial"/>
                <w:sz w:val="20"/>
                <w:szCs w:val="20"/>
              </w:rPr>
              <w:t xml:space="preserve">✅  Commission disparate impact bias audit before next hiring cycle</w:t>
            </w:r>
          </w:p>
          <w:p>
            <w:pPr>
              <w:spacing w:before="60" w:after="60"/>
            </w:pPr>
            <w:r>
              <w:rPr>
                <w:rFonts w:ascii="Arial" w:cs="Arial" w:eastAsia="Arial" w:hAnsi="Arial"/>
                <w:sz w:val="20"/>
                <w:szCs w:val="20"/>
              </w:rPr>
              <w:t xml:space="preserve">✅  Conduct legal review against NYC LL144 and EEOC guidelines</w:t>
            </w:r>
          </w:p>
          <w:p>
            <w:pPr>
              <w:spacing w:before="60" w:after="60"/>
            </w:pPr>
            <w:r>
              <w:rPr>
                <w:rFonts w:ascii="Arial" w:cs="Arial" w:eastAsia="Arial" w:hAnsi="Arial"/>
                <w:sz w:val="20"/>
                <w:szCs w:val="20"/>
              </w:rPr>
              <w:t xml:space="preserve">✅  Implement consent management and data minimization controls</w:t>
            </w:r>
          </w:p>
          <w:p>
            <w:pPr>
              <w:spacing w:before="60" w:after="60"/>
            </w:pPr>
            <w:r>
              <w:rPr>
                <w:rFonts w:ascii="Arial" w:cs="Arial" w:eastAsia="Arial" w:hAnsi="Arial"/>
                <w:sz w:val="20"/>
                <w:szCs w:val="20"/>
              </w:rPr>
              <w:t xml:space="preserve">✅  Deploy explainable AI (XAI) mechanism for candidate decisions</w:t>
            </w:r>
          </w:p>
          <w:p>
            <w:pPr>
              <w:spacing w:before="60" w:after="60"/>
            </w:pPr>
            <w:r>
              <w:rPr>
                <w:rFonts w:ascii="Arial" w:cs="Arial" w:eastAsia="Arial" w:hAnsi="Arial"/>
                <w:sz w:val="20"/>
                <w:szCs w:val="20"/>
              </w:rPr>
              <w:t xml:space="preserve">✅  Add AI governance clauses to vendor contracts</w:t>
            </w:r>
          </w:p>
          <w:p>
            <w:pPr>
              <w:spacing w:before="60" w:after="60"/>
            </w:pPr>
            <w:r>
              <w:rPr>
                <w:rFonts w:ascii="Arial" w:cs="Arial" w:eastAsia="Arial" w:hAnsi="Arial"/>
                <w:sz w:val="20"/>
                <w:szCs w:val="20"/>
              </w:rPr>
              <w:t xml:space="preserve">✅  Establish continuous monitoring and retraining schedule</w:t>
            </w:r>
          </w:p>
        </w:tc>
      </w:tr>
    </w:tbl>
    <w:p>
      <w:pPr>
        <w:spacing w:before="40" w:after="4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Overall AI Risk Posture  </w:t>
      </w:r>
      <w:r>
        <w:rPr>
          <w:rFonts w:ascii="Arial" w:cs="Arial" w:eastAsia="Arial" w:hAnsi="Arial"/>
          <w:sz w:val="20"/>
          <w:szCs w:val="20"/>
        </w:rPr>
        <w:t xml:space="preserve">The organization’s current AI governance posture is critically immature. Three of eight identified risks are rated Critical, and all four NIST AI RMF functions show significant gaps. The absence of any formal AI governance structure means risks are accumulating without oversight. Immediate action is required on bias auditing, regulatory compliance, and governance policy development before the next hiring cycle.</w:t>
      </w:r>
    </w:p>
    <w:p>
      <w:r>
        <w:br w:type="page"/>
      </w:r>
    </w:p>
    <w:p>
      <w:pPr>
        <w:pBdr>
          <w:bottom w:val="single" w:color="2E4799" w:sz="6" w:space="2"/>
        </w:pBdr>
        <w:spacing w:before="160" w:after="80"/>
      </w:pPr>
    </w:p>
    <w:p>
      <w:pPr>
        <w:spacing w:before="80" w:after="60"/>
      </w:pPr>
      <w:r>
        <w:rPr>
          <w:rFonts w:ascii="Arial" w:cs="Arial" w:eastAsia="Arial" w:hAnsi="Arial"/>
          <w:b/>
          <w:bCs/>
          <w:color w:val="1B3A5C"/>
          <w:sz w:val="28"/>
          <w:szCs w:val="28"/>
        </w:rPr>
        <w:t xml:space="preserve">Section 2</w:t>
      </w:r>
      <w:r>
        <w:rPr>
          <w:rFonts w:ascii="Arial" w:cs="Arial" w:eastAsia="Arial" w:hAnsi="Arial"/>
          <w:i/>
          <w:iCs/>
          <w:color w:val="666666"/>
          <w:sz w:val="22"/>
          <w:szCs w:val="22"/>
        </w:rPr>
        <w:t xml:space="preserve">  —  NIST AI RMF — Framework Overview</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NIST Artificial Intelligence Risk Management Framework (NIST AI 100-1, 2023) provides a voluntary, non-prescriptive framework for managing risks throughout the AI system lifecycle. It defines four core functions: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760"/>
        <w:gridCol w:w="2800"/>
      </w:tblGrid>
      <w:tr>
        <w:tc>
          <w:tcPr>
            <w:tcW w:type="dxa" w:w="12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Function</w:t>
            </w:r>
          </w:p>
        </w:tc>
        <w:tc>
          <w:tcPr>
            <w:tcW w:type="dxa" w:w="16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Focus Area</w:t>
            </w:r>
          </w:p>
        </w:tc>
        <w:tc>
          <w:tcPr>
            <w:tcW w:type="dxa" w:w="376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Purpose</w:t>
            </w:r>
          </w:p>
        </w:tc>
        <w:tc>
          <w:tcPr>
            <w:tcW w:type="dxa" w:w="28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Applied to This Assessment</w:t>
            </w:r>
          </w:p>
        </w:tc>
      </w:tr>
      <w:tr>
        <w:tc>
          <w:tcPr>
            <w:tcBorders>
              <w:top w:val="single" w:color="CCCCCC" w:sz="1"/>
              <w:left w:val="single" w:color="CCCCCC" w:sz="1"/>
              <w:bottom w:val="single" w:color="CCCCCC" w:sz="1"/>
              <w:right w:val="single" w:color="CCCCCC" w:sz="1"/>
            </w:tcBorders>
            <w:shd w:fill="2E4799"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GOVERN</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9"/>
                <w:szCs w:val="19"/>
              </w:rPr>
              <w:t xml:space="preserve">Accountability</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Establishes organizational policies, roles, and cultures that embed AI risk management into operations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Evaluate governance policy, accountability structures, and executive oversight of AI hiring tool</w:t>
            </w:r>
          </w:p>
        </w:tc>
      </w:tr>
      <w:tr>
        <w:tc>
          <w:tcPr>
            <w:tcBorders>
              <w:top w:val="single" w:color="CCCCCC" w:sz="1"/>
              <w:left w:val="single" w:color="CCCCCC" w:sz="1"/>
              <w:bottom w:val="single" w:color="CCCCCC" w:sz="1"/>
              <w:right w:val="single" w:color="CCCCCC" w:sz="1"/>
            </w:tcBorders>
            <w:shd w:fill="1A6B72"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MAP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9"/>
                <w:szCs w:val="19"/>
              </w:rPr>
              <w:t xml:space="preserve">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Identifies and categorizes AI risks in the context of the specific system, use case, and affected populations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Map risks specific to resume screening including bias, legal exposure, and third-party dependencies</w:t>
            </w:r>
          </w:p>
        </w:tc>
      </w:tr>
      <w:tr>
        <w:tc>
          <w:tcPr>
            <w:tcBorders>
              <w:top w:val="single" w:color="CCCCCC" w:sz="1"/>
              <w:left w:val="single" w:color="CCCCCC" w:sz="1"/>
              <w:bottom w:val="single" w:color="CCCCCC" w:sz="1"/>
              <w:right w:val="single" w:color="CCCCCC" w:sz="1"/>
            </w:tcBorders>
            <w:shd w:fill="4A235A"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MEASURE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9"/>
                <w:szCs w:val="19"/>
              </w:rPr>
              <w:t xml:space="preserve">Evaluation</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Analyzes and assesses AI risks using quantitative and qualitative methods including bias testing and performance evaluation</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Measure fairness metrics, privacy risk, model performance, and security vulnerabilities</w:t>
            </w:r>
          </w:p>
        </w:tc>
      </w:tr>
      <w:tr>
        <w:tc>
          <w:tcPr>
            <w:tcBorders>
              <w:top w:val="single" w:color="CCCCCC" w:sz="1"/>
              <w:left w:val="single" w:color="CCCCCC" w:sz="1"/>
              <w:bottom w:val="single" w:color="CCCCCC" w:sz="1"/>
              <w:right w:val="single" w:color="CCCCCC" w:sz="1"/>
            </w:tcBorders>
            <w:shd w:fill="1A5C3A"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MANAGE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9"/>
                <w:szCs w:val="19"/>
              </w:rPr>
              <w:t xml:space="preserve">Response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Prioritizes and responds to identified AI risks through treatment plans, monitoring, and incident response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Define risk responses, establish monitoring program, and build AI incident response capability</w:t>
            </w:r>
          </w:p>
        </w:tc>
      </w:tr>
    </w:tbl>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r>
        <w:br w:type="page"/>
      </w:r>
    </w:p>
    <w:p>
      <w:pPr>
        <w:pBdr>
          <w:bottom w:val="single" w:color="2E4799" w:sz="6" w:space="2"/>
        </w:pBdr>
        <w:spacing w:before="160" w:after="80"/>
      </w:pPr>
    </w:p>
    <w:p>
      <w:pPr>
        <w:spacing w:before="80" w:after="60"/>
      </w:pPr>
      <w:r>
        <w:rPr>
          <w:rFonts w:ascii="Arial" w:cs="Arial" w:eastAsia="Arial" w:hAnsi="Arial"/>
          <w:b/>
          <w:bCs/>
          <w:color w:val="1B3A5C"/>
          <w:sz w:val="28"/>
          <w:szCs w:val="28"/>
        </w:rPr>
        <w:t xml:space="preserve">Section 3</w:t>
      </w:r>
      <w:r>
        <w:rPr>
          <w:rFonts w:ascii="Arial" w:cs="Arial" w:eastAsia="Arial" w:hAnsi="Arial"/>
          <w:i/>
          <w:iCs/>
          <w:color w:val="666666"/>
          <w:sz w:val="22"/>
          <w:szCs w:val="22"/>
        </w:rPr>
        <w:t xml:space="preserve">  —  AI Risk Register</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Eight risks were identified across four AI risk categories. Each risk is mapped to the applicable NIST AI RMF function, scored by likelihood and impact, and assigned a recommended control.</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700"/>
        <w:gridCol w:w="2200"/>
        <w:gridCol w:w="800"/>
        <w:gridCol w:w="800"/>
        <w:gridCol w:w="900"/>
        <w:gridCol w:w="1360"/>
        <w:gridCol w:w="700"/>
      </w:tblGrid>
      <w:tr>
        <w:tc>
          <w:tcPr>
            <w:tcW w:type="dxa" w:w="7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ID</w:t>
            </w:r>
          </w:p>
        </w:tc>
        <w:tc>
          <w:tcPr>
            <w:tcW w:type="dxa" w:w="11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Category</w:t>
            </w:r>
          </w:p>
        </w:tc>
        <w:tc>
          <w:tcPr>
            <w:tcW w:type="dxa" w:w="7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RMF Fn.</w:t>
            </w:r>
          </w:p>
        </w:tc>
        <w:tc>
          <w:tcPr>
            <w:tcW w:type="dxa" w:w="22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Risk</w:t>
            </w:r>
          </w:p>
        </w:tc>
        <w:tc>
          <w:tcPr>
            <w:tcW w:type="dxa" w:w="8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Likelihood</w:t>
            </w:r>
          </w:p>
        </w:tc>
        <w:tc>
          <w:tcPr>
            <w:tcW w:type="dxa" w:w="8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Impact</w:t>
            </w:r>
          </w:p>
        </w:tc>
        <w:tc>
          <w:tcPr>
            <w:tcW w:type="dxa" w:w="9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Score</w:t>
            </w:r>
          </w:p>
        </w:tc>
        <w:tc>
          <w:tcPr>
            <w:tcW w:type="dxa" w:w="136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Owner</w:t>
            </w:r>
          </w:p>
        </w:tc>
        <w:tc>
          <w:tcPr>
            <w:tcW w:type="dxa" w:w="7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Status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7"/>
                <w:szCs w:val="17"/>
              </w:rPr>
              <w:t xml:space="preserve">AIR-001</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Bias &amp; Fairness</w:t>
            </w:r>
          </w:p>
        </w:tc>
        <w:tc>
          <w:tcPr>
            <w:tcBorders>
              <w:top w:val="single" w:color="CCCCCC" w:sz="1"/>
              <w:left w:val="single" w:color="CCCCCC" w:sz="1"/>
              <w:bottom w:val="single" w:color="CCCCCC" w:sz="1"/>
              <w:right w:val="single" w:color="CCCCCC" w:sz="1"/>
            </w:tcBorders>
            <w:shd w:fill="1A6B72" w:val="clear"/>
            <w:tcMar>
              <w:top w:type="dxa" w:w="80"/>
              <w:left w:type="dxa" w:w="60"/>
              <w:bottom w:type="dxa" w:w="80"/>
              <w:right w:type="dxa" w:w="60"/>
            </w:tcMar>
          </w:tcPr>
          <w:p>
            <w:pPr>
              <w:spacing w:before="0" w:after="0"/>
              <w:jc w:val="center"/>
            </w:pPr>
            <w:r>
              <w:rPr>
                <w:rFonts w:ascii="Arial" w:cs="Arial" w:eastAsia="Arial" w:hAnsi="Arial"/>
                <w:b/>
                <w:bCs/>
                <w:color w:val="FFFFFF"/>
                <w:sz w:val="16"/>
                <w:szCs w:val="16"/>
              </w:rPr>
              <w:t xml:space="preserve">MAP</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Algorithmic bias in resume screening produces disparate outcomes for protected classes (race, gender, age, disability)</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4/5</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5/5</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20</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6"/>
                <w:szCs w:val="16"/>
              </w:rPr>
              <w:t xml:space="preserve">Chief People Officer</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Open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7"/>
                <w:szCs w:val="17"/>
              </w:rPr>
              <w:t xml:space="preserve">AIR-002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Transparency</w:t>
            </w:r>
          </w:p>
        </w:tc>
        <w:tc>
          <w:tcPr>
            <w:tcBorders>
              <w:top w:val="single" w:color="CCCCCC" w:sz="1"/>
              <w:left w:val="single" w:color="CCCCCC" w:sz="1"/>
              <w:bottom w:val="single" w:color="CCCCCC" w:sz="1"/>
              <w:right w:val="single" w:color="CCCCCC" w:sz="1"/>
            </w:tcBorders>
            <w:shd w:fill="2E4799" w:val="clear"/>
            <w:tcMar>
              <w:top w:type="dxa" w:w="80"/>
              <w:left w:type="dxa" w:w="60"/>
              <w:bottom w:type="dxa" w:w="80"/>
              <w:right w:type="dxa" w:w="60"/>
            </w:tcMar>
          </w:tcPr>
          <w:p>
            <w:pPr>
              <w:spacing w:before="0" w:after="0"/>
              <w:jc w:val="center"/>
            </w:pPr>
            <w:r>
              <w:rPr>
                <w:rFonts w:ascii="Arial" w:cs="Arial" w:eastAsia="Arial" w:hAnsi="Arial"/>
                <w:b/>
                <w:bCs/>
                <w:color w:val="FFFFFF"/>
                <w:sz w:val="16"/>
                <w:szCs w:val="16"/>
              </w:rPr>
              <w:t xml:space="preserve">GOVERN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Candidates receive no explanation for AI-driven rejection decisions, violating explainability expectations and emerging regulations</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4/5</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4/5</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6"/>
                <w:szCs w:val="16"/>
              </w:rPr>
              <w:t xml:space="preserve">Chief Compliance Officer</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Open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7"/>
                <w:szCs w:val="17"/>
              </w:rPr>
              <w:t xml:space="preserve">AIR-003</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Data Privacy</w:t>
            </w:r>
          </w:p>
        </w:tc>
        <w:tc>
          <w:tcPr>
            <w:tcBorders>
              <w:top w:val="single" w:color="CCCCCC" w:sz="1"/>
              <w:left w:val="single" w:color="CCCCCC" w:sz="1"/>
              <w:bottom w:val="single" w:color="CCCCCC" w:sz="1"/>
              <w:right w:val="single" w:color="CCCCCC" w:sz="1"/>
            </w:tcBorders>
            <w:shd w:fill="4A235A" w:val="clear"/>
            <w:tcMar>
              <w:top w:type="dxa" w:w="80"/>
              <w:left w:type="dxa" w:w="60"/>
              <w:bottom w:type="dxa" w:w="80"/>
              <w:right w:type="dxa" w:w="60"/>
            </w:tcMar>
          </w:tcPr>
          <w:p>
            <w:pPr>
              <w:spacing w:before="0" w:after="0"/>
              <w:jc w:val="center"/>
            </w:pPr>
            <w:r>
              <w:rPr>
                <w:rFonts w:ascii="Arial" w:cs="Arial" w:eastAsia="Arial" w:hAnsi="Arial"/>
                <w:b/>
                <w:bCs/>
                <w:color w:val="FFFFFF"/>
                <w:sz w:val="16"/>
                <w:szCs w:val="16"/>
              </w:rPr>
              <w:t xml:space="preserve">MEASURE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Resume data including PII processed by AI model without documented consent, retention policy, or data minimization controls</w:t>
            </w:r>
          </w:p>
        </w:tc>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3/5</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5/5</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15</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6"/>
                <w:szCs w:val="16"/>
              </w:rPr>
              <w:t xml:space="preserve">Data Protection Officer</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Open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7"/>
                <w:szCs w:val="17"/>
              </w:rPr>
              <w:t xml:space="preserve">AIR-004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Model Security</w:t>
            </w:r>
          </w:p>
        </w:tc>
        <w:tc>
          <w:tcPr>
            <w:tcBorders>
              <w:top w:val="single" w:color="CCCCCC" w:sz="1"/>
              <w:left w:val="single" w:color="CCCCCC" w:sz="1"/>
              <w:bottom w:val="single" w:color="CCCCCC" w:sz="1"/>
              <w:right w:val="single" w:color="CCCCCC" w:sz="1"/>
            </w:tcBorders>
            <w:shd w:fill="1A5C3A" w:val="clear"/>
            <w:tcMar>
              <w:top w:type="dxa" w:w="80"/>
              <w:left w:type="dxa" w:w="60"/>
              <w:bottom w:type="dxa" w:w="80"/>
              <w:right w:type="dxa" w:w="60"/>
            </w:tcMar>
          </w:tcPr>
          <w:p>
            <w:pPr>
              <w:spacing w:before="0" w:after="0"/>
              <w:jc w:val="center"/>
            </w:pPr>
            <w:r>
              <w:rPr>
                <w:rFonts w:ascii="Arial" w:cs="Arial" w:eastAsia="Arial" w:hAnsi="Arial"/>
                <w:b/>
                <w:bCs/>
                <w:color w:val="FFFFFF"/>
                <w:sz w:val="16"/>
                <w:szCs w:val="16"/>
              </w:rPr>
              <w:t xml:space="preserve">MANAGE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AI model vulnerable to adversarial inputs — candidates can manipulate resume keywords to game screening outcomes</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4/5</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3/5</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6"/>
                <w:szCs w:val="16"/>
              </w:rPr>
              <w:t xml:space="preserve">AI Engineering Lead</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Open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7"/>
                <w:szCs w:val="17"/>
              </w:rPr>
              <w:t xml:space="preserve">AIR-005</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Accountability</w:t>
            </w:r>
          </w:p>
        </w:tc>
        <w:tc>
          <w:tcPr>
            <w:tcBorders>
              <w:top w:val="single" w:color="CCCCCC" w:sz="1"/>
              <w:left w:val="single" w:color="CCCCCC" w:sz="1"/>
              <w:bottom w:val="single" w:color="CCCCCC" w:sz="1"/>
              <w:right w:val="single" w:color="CCCCCC" w:sz="1"/>
            </w:tcBorders>
            <w:shd w:fill="2E4799" w:val="clear"/>
            <w:tcMar>
              <w:top w:type="dxa" w:w="80"/>
              <w:left w:type="dxa" w:w="60"/>
              <w:bottom w:type="dxa" w:w="80"/>
              <w:right w:type="dxa" w:w="60"/>
            </w:tcMar>
          </w:tcPr>
          <w:p>
            <w:pPr>
              <w:spacing w:before="0" w:after="0"/>
              <w:jc w:val="center"/>
            </w:pPr>
            <w:r>
              <w:rPr>
                <w:rFonts w:ascii="Arial" w:cs="Arial" w:eastAsia="Arial" w:hAnsi="Arial"/>
                <w:b/>
                <w:bCs/>
                <w:color w:val="FFFFFF"/>
                <w:sz w:val="16"/>
                <w:szCs w:val="16"/>
              </w:rPr>
              <w:t xml:space="preserve">GOVERN</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No defined human oversight or appeal process for AI screening decisions — no single owner accountable for model outcomes</w:t>
            </w:r>
          </w:p>
        </w:tc>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3/5</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4/5</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12</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6"/>
                <w:szCs w:val="16"/>
              </w:rPr>
              <w:t xml:space="preserve">Chief Compliance Officer</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Open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7"/>
                <w:szCs w:val="17"/>
              </w:rPr>
              <w:t xml:space="preserve">AIR-006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Model Drift</w:t>
            </w:r>
          </w:p>
        </w:tc>
        <w:tc>
          <w:tcPr>
            <w:tcBorders>
              <w:top w:val="single" w:color="CCCCCC" w:sz="1"/>
              <w:left w:val="single" w:color="CCCCCC" w:sz="1"/>
              <w:bottom w:val="single" w:color="CCCCCC" w:sz="1"/>
              <w:right w:val="single" w:color="CCCCCC" w:sz="1"/>
            </w:tcBorders>
            <w:shd w:fill="4A235A" w:val="clear"/>
            <w:tcMar>
              <w:top w:type="dxa" w:w="80"/>
              <w:left w:type="dxa" w:w="60"/>
              <w:bottom w:type="dxa" w:w="80"/>
              <w:right w:type="dxa" w:w="60"/>
            </w:tcMar>
          </w:tcPr>
          <w:p>
            <w:pPr>
              <w:spacing w:before="0" w:after="0"/>
              <w:jc w:val="center"/>
            </w:pPr>
            <w:r>
              <w:rPr>
                <w:rFonts w:ascii="Arial" w:cs="Arial" w:eastAsia="Arial" w:hAnsi="Arial"/>
                <w:b/>
                <w:bCs/>
                <w:color w:val="FFFFFF"/>
                <w:sz w:val="16"/>
                <w:szCs w:val="16"/>
              </w:rPr>
              <w:t xml:space="preserve">MEASURE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AI model performance degrades over time as labor market conditions change — no monitoring or retraining schedule in place</w:t>
            </w:r>
          </w:p>
        </w:tc>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3/5</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4/5</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6"/>
                <w:szCs w:val="16"/>
              </w:rPr>
              <w:t xml:space="preserve">AI Engineering Lead</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Open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7"/>
                <w:szCs w:val="17"/>
              </w:rPr>
              <w:t xml:space="preserve">AIR-007</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Third-Party Risk</w:t>
            </w:r>
          </w:p>
        </w:tc>
        <w:tc>
          <w:tcPr>
            <w:tcBorders>
              <w:top w:val="single" w:color="CCCCCC" w:sz="1"/>
              <w:left w:val="single" w:color="CCCCCC" w:sz="1"/>
              <w:bottom w:val="single" w:color="CCCCCC" w:sz="1"/>
              <w:right w:val="single" w:color="CCCCCC" w:sz="1"/>
            </w:tcBorders>
            <w:shd w:fill="1A6B72" w:val="clear"/>
            <w:tcMar>
              <w:top w:type="dxa" w:w="80"/>
              <w:left w:type="dxa" w:w="60"/>
              <w:bottom w:type="dxa" w:w="80"/>
              <w:right w:type="dxa" w:w="60"/>
            </w:tcMar>
          </w:tcPr>
          <w:p>
            <w:pPr>
              <w:spacing w:before="0" w:after="0"/>
              <w:jc w:val="center"/>
            </w:pPr>
            <w:r>
              <w:rPr>
                <w:rFonts w:ascii="Arial" w:cs="Arial" w:eastAsia="Arial" w:hAnsi="Arial"/>
                <w:b/>
                <w:bCs/>
                <w:color w:val="FFFFFF"/>
                <w:sz w:val="16"/>
                <w:szCs w:val="16"/>
              </w:rPr>
              <w:t xml:space="preserve">MAP</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Reliance on third-party AI vendor with no AI-specific contractual controls, audit rights, or model transparency requirements</w:t>
            </w:r>
          </w:p>
        </w:tc>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3/5</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4/5</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12</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6"/>
                <w:szCs w:val="16"/>
              </w:rPr>
              <w:t xml:space="preserve">Chief Procurement Officer</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Open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7"/>
                <w:szCs w:val="17"/>
              </w:rPr>
              <w:t xml:space="preserve">AIR-008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Legal &amp; Regulatory</w:t>
            </w:r>
          </w:p>
        </w:tc>
        <w:tc>
          <w:tcPr>
            <w:tcBorders>
              <w:top w:val="single" w:color="CCCCCC" w:sz="1"/>
              <w:left w:val="single" w:color="CCCCCC" w:sz="1"/>
              <w:bottom w:val="single" w:color="CCCCCC" w:sz="1"/>
              <w:right w:val="single" w:color="CCCCCC" w:sz="1"/>
            </w:tcBorders>
            <w:shd w:fill="2E4799" w:val="clear"/>
            <w:tcMar>
              <w:top w:type="dxa" w:w="80"/>
              <w:left w:type="dxa" w:w="60"/>
              <w:bottom w:type="dxa" w:w="80"/>
              <w:right w:type="dxa" w:w="60"/>
            </w:tcMar>
          </w:tcPr>
          <w:p>
            <w:pPr>
              <w:spacing w:before="0" w:after="0"/>
              <w:jc w:val="center"/>
            </w:pPr>
            <w:r>
              <w:rPr>
                <w:rFonts w:ascii="Arial" w:cs="Arial" w:eastAsia="Arial" w:hAnsi="Arial"/>
                <w:b/>
                <w:bCs/>
                <w:color w:val="FFFFFF"/>
                <w:sz w:val="16"/>
                <w:szCs w:val="16"/>
              </w:rPr>
              <w:t xml:space="preserve">GOVERN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Non-compliance with emerging AI hiring regulations including NYC Local Law 144 (automated employment decision tools)</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4/5</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5/5</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6"/>
                <w:szCs w:val="16"/>
              </w:rPr>
              <w:t xml:space="preserve">Chief Compliance Officer</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Open</w:t>
            </w:r>
          </w:p>
        </w:tc>
      </w:tr>
    </w:tbl>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Bdr>
          <w:bottom w:val="single" w:color="2E4799" w:sz="6" w:space="2"/>
        </w:pBdr>
        <w:spacing w:before="160" w:after="80"/>
      </w:pPr>
    </w:p>
    <w:p>
      <w:pPr>
        <w:spacing w:before="80" w:after="60"/>
      </w:pPr>
      <w:r>
        <w:rPr>
          <w:rFonts w:ascii="Arial" w:cs="Arial" w:eastAsia="Arial" w:hAnsi="Arial"/>
          <w:b/>
          <w:bCs/>
          <w:color w:val="1B3A5C"/>
          <w:sz w:val="28"/>
          <w:szCs w:val="28"/>
        </w:rPr>
        <w:t xml:space="preserve">Section 3.1</w:t>
      </w:r>
      <w:r>
        <w:rPr>
          <w:rFonts w:ascii="Arial" w:cs="Arial" w:eastAsia="Arial" w:hAnsi="Arial"/>
          <w:i/>
          <w:iCs/>
          <w:color w:val="666666"/>
          <w:sz w:val="22"/>
          <w:szCs w:val="22"/>
        </w:rPr>
        <w:t xml:space="preserve">  —  Risk Detail Cards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E4799" w:sz="2"/>
              <w:left w:val="single" w:color="2E4799" w:sz="2"/>
              <w:bottom w:val="single" w:color="2E4799" w:sz="2"/>
              <w:right w:val="single" w:color="2E4799" w:sz="2"/>
            </w:tcBorders>
            <w:shd w:fill="1A6B72"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AIR-001  |  Bias &amp; Fairness  |  RMF Function: MAP</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Algorithmic bias in resume screening produces disparate outcomes for protected classes (race, gender, age, disability)</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Likelihood</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4 / 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Impact</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5 / 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 Score</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20  —  CRITICAL</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Recommended Controls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Fairness audits using disparate impact testing; diverse training data requirements; human review of all AI rejections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Accountable Owner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Chief People Officer</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E4799" w:sz="2"/>
              <w:left w:val="single" w:color="2E4799" w:sz="2"/>
              <w:bottom w:val="single" w:color="2E4799" w:sz="2"/>
              <w:right w:val="single" w:color="2E4799" w:sz="2"/>
            </w:tcBorders>
            <w:shd w:fill="2E4799"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AIR-002  |  Transparency  |  RMF Function: GOVERN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Candidates receive no explanation for AI-driven rejection decisions, violating explainability expectations and emerging regulations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Likelihood</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4 / 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Impact</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4 / 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 Score</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16  —  HIGH</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Recommended Controls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Implement explainable AI (XAI) mechanisms; provide candidates with decision rationale; document model decision logic</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Accountable Owner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Chief Compliance Officer</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E4799" w:sz="2"/>
              <w:left w:val="single" w:color="2E4799" w:sz="2"/>
              <w:bottom w:val="single" w:color="2E4799" w:sz="2"/>
              <w:right w:val="single" w:color="2E4799" w:sz="2"/>
            </w:tcBorders>
            <w:shd w:fill="4A235A"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AIR-003  |  Data Privacy  |  RMF Function: MEASURE</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Resume data including PII processed by AI model without documented consent, retention policy, or data minimization controls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Likelihood</w:t>
            </w:r>
          </w:p>
        </w:tc>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3 / 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Impact</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5 / 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 Score</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15  —  HIGH</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Recommended Controls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Implement consent management; define data retention and deletion schedules; apply data minimization to training datasets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Accountable Owner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Data Protection Officer</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E4799" w:sz="2"/>
              <w:left w:val="single" w:color="2E4799" w:sz="2"/>
              <w:bottom w:val="single" w:color="2E4799" w:sz="2"/>
              <w:right w:val="single" w:color="2E4799" w:sz="2"/>
            </w:tcBorders>
            <w:shd w:fill="1A5C3A"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AIR-004  |  Model Security  |  RMF Function: MANAGE</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AI model vulnerable to adversarial inputs — candidates can manipulate resume keywords to game screening outcomes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Likelihood</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4 / 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Impact</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3 / 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 Score</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12  —  HIGH</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Recommended Controls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Adversarial input testing; input validation; model robustness testing; anomaly detection on screening patterns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Accountable Owner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AI Engineering Lead</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E4799" w:sz="2"/>
              <w:left w:val="single" w:color="2E4799" w:sz="2"/>
              <w:bottom w:val="single" w:color="2E4799" w:sz="2"/>
              <w:right w:val="single" w:color="2E4799" w:sz="2"/>
            </w:tcBorders>
            <w:shd w:fill="2E4799"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AIR-005  |  Accountability  |  RMF Function: GOVERN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No defined human oversight or appeal process for AI screening decisions — no single owner accountable for model outcomes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Likelihood</w:t>
            </w:r>
          </w:p>
        </w:tc>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3 / 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Impact</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4 / 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 Score</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12  —  HIGH</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Recommended Controls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Designate AI Accountability Officer; establish appeals process; define escalation path for disputed decisions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Accountable Owner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Chief Compliance Officer</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E4799" w:sz="2"/>
              <w:left w:val="single" w:color="2E4799" w:sz="2"/>
              <w:bottom w:val="single" w:color="2E4799" w:sz="2"/>
              <w:right w:val="single" w:color="2E4799" w:sz="2"/>
            </w:tcBorders>
            <w:shd w:fill="4A235A"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AIR-006  |  Model Drift  |  RMF Function: MEASURE</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AI model performance degrades over time as labor market conditions change — no monitoring or retraining schedule in place</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Likelihood</w:t>
            </w:r>
          </w:p>
        </w:tc>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3 / 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Impact</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4 / 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 Score</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12  —  HIGH</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Recommended Controls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Implement continuous performance monitoring; establish retraining triggers; track accuracy and fairness metrics over time</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Accountable Owner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AI Engineering Lead</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E4799" w:sz="2"/>
              <w:left w:val="single" w:color="2E4799" w:sz="2"/>
              <w:bottom w:val="single" w:color="2E4799" w:sz="2"/>
              <w:right w:val="single" w:color="2E4799" w:sz="2"/>
            </w:tcBorders>
            <w:shd w:fill="1A6B72"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AIR-007  |  Third-Party Risk  |  RMF Function: MAP</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Reliance on third-party AI vendor with no AI-specific contractual controls, audit rights, or model transparency requirements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Likelihood</w:t>
            </w:r>
          </w:p>
        </w:tc>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3 / 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Impact</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4 / 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 Score</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12  —  HIGH</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Recommended Controls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Add AI governance clauses to vendor contracts; require SOC 2 Type II and model cards; establish right to audit</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Accountable Owner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Chief Procurement Officer</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2E4799" w:sz="2"/>
              <w:left w:val="single" w:color="2E4799" w:sz="2"/>
              <w:bottom w:val="single" w:color="2E4799" w:sz="2"/>
              <w:right w:val="single" w:color="2E4799" w:sz="2"/>
            </w:tcBorders>
            <w:shd w:fill="2E4799"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AIR-008  |  Legal &amp; Regulatory  |  RMF Function: GOVERN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Non-compliance with emerging AI hiring regulations including NYC Local Law 144 (automated employment decision tools)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Likelihood</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4 / 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Impact</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5 / 5</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Risk Score</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20  —  CRITICAL</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Recommended Controls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Conduct annual bias audits per NYC LL144; publish audit results; notify candidates of AI use in hiring</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9"/>
                <w:szCs w:val="19"/>
              </w:rPr>
              <w:t xml:space="preserve">Accountable Owner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9"/>
                <w:szCs w:val="19"/>
              </w:rPr>
              <w:t xml:space="preserve">Chief Compliance Officer</w:t>
            </w:r>
          </w:p>
        </w:tc>
      </w:tr>
    </w:tbl>
    <w:p>
      <w:r>
        <w:br w:type="page"/>
      </w:r>
    </w:p>
    <w:p>
      <w:pPr>
        <w:pBdr>
          <w:bottom w:val="single" w:color="2E4799" w:sz="6" w:space="2"/>
        </w:pBdr>
        <w:spacing w:before="160" w:after="80"/>
      </w:pPr>
    </w:p>
    <w:p>
      <w:pPr>
        <w:spacing w:before="80" w:after="60"/>
      </w:pPr>
      <w:r>
        <w:rPr>
          <w:rFonts w:ascii="Arial" w:cs="Arial" w:eastAsia="Arial" w:hAnsi="Arial"/>
          <w:b/>
          <w:bCs/>
          <w:color w:val="1B3A5C"/>
          <w:sz w:val="28"/>
          <w:szCs w:val="28"/>
        </w:rPr>
        <w:t xml:space="preserve">Section 4</w:t>
      </w:r>
      <w:r>
        <w:rPr>
          <w:rFonts w:ascii="Arial" w:cs="Arial" w:eastAsia="Arial" w:hAnsi="Arial"/>
          <w:i/>
          <w:iCs/>
          <w:color w:val="666666"/>
          <w:sz w:val="22"/>
          <w:szCs w:val="22"/>
        </w:rPr>
        <w:t xml:space="preserve">  —  NIST AI RMF Gap Analysis</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following gap analysis evaluates the organization’s current AI governance posture against eight NIST AI RMF subcategory requirements across all four functions. Each gap is rated by severity and accompanied by a specific recommendation.</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200"/>
        <w:gridCol w:w="2360"/>
        <w:gridCol w:w="800"/>
        <w:gridCol w:w="2200"/>
      </w:tblGrid>
      <w:tr>
        <w:tc>
          <w:tcPr>
            <w:tcW w:type="dxa" w:w="8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Function</w:t>
            </w:r>
          </w:p>
        </w:tc>
        <w:tc>
          <w:tcPr>
            <w:tcW w:type="dxa" w:w="10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Subcategory</w:t>
            </w:r>
          </w:p>
        </w:tc>
        <w:tc>
          <w:tcPr>
            <w:tcW w:type="dxa" w:w="22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Requirement</w:t>
            </w:r>
          </w:p>
        </w:tc>
        <w:tc>
          <w:tcPr>
            <w:tcW w:type="dxa" w:w="236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Current State</w:t>
            </w:r>
          </w:p>
        </w:tc>
        <w:tc>
          <w:tcPr>
            <w:tcW w:type="dxa" w:w="8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Gap</w:t>
            </w:r>
          </w:p>
        </w:tc>
        <w:tc>
          <w:tcPr>
            <w:tcW w:type="dxa" w:w="22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Recommendation</w:t>
            </w:r>
          </w:p>
        </w:tc>
      </w:tr>
      <w:tr>
        <w:tc>
          <w:tcPr>
            <w:tcBorders>
              <w:top w:val="single" w:color="CCCCCC" w:sz="1"/>
              <w:left w:val="single" w:color="CCCCCC" w:sz="1"/>
              <w:bottom w:val="single" w:color="CCCCCC" w:sz="1"/>
              <w:right w:val="single" w:color="CCCCCC" w:sz="1"/>
            </w:tcBorders>
            <w:shd w:fill="2E4799" w:val="clear"/>
            <w:tcMar>
              <w:top w:type="dxa" w:w="80"/>
              <w:left w:type="dxa" w:w="60"/>
              <w:bottom w:type="dxa" w:w="80"/>
              <w:right w:type="dxa" w:w="60"/>
            </w:tcMar>
          </w:tcPr>
          <w:p>
            <w:pPr>
              <w:spacing w:before="0" w:after="0"/>
              <w:jc w:val="center"/>
            </w:pPr>
            <w:r>
              <w:rPr>
                <w:rFonts w:ascii="Arial" w:cs="Arial" w:eastAsia="Arial" w:hAnsi="Arial"/>
                <w:b/>
                <w:bCs/>
                <w:color w:val="FFFFFF"/>
                <w:sz w:val="16"/>
                <w:szCs w:val="16"/>
              </w:rPr>
              <w:t xml:space="preserve">GOVERN</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7"/>
                <w:szCs w:val="17"/>
              </w:rPr>
              <w:t xml:space="preserve">GOVERN 1.1</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Policies, processes, and accountability structures are established for AI risk management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No formal AI governance policy exists. AI deployment decisions made ad hoc without documented accountability.</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CRITICAL</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Develop and publish an AI Governance Policy; designate an AI Accountability Officer; establish an AI Risk Committee</w:t>
            </w:r>
          </w:p>
        </w:tc>
      </w:tr>
      <w:tr>
        <w:tc>
          <w:tcPr>
            <w:tcBorders>
              <w:top w:val="single" w:color="CCCCCC" w:sz="1"/>
              <w:left w:val="single" w:color="CCCCCC" w:sz="1"/>
              <w:bottom w:val="single" w:color="CCCCCC" w:sz="1"/>
              <w:right w:val="single" w:color="CCCCCC" w:sz="1"/>
            </w:tcBorders>
            <w:shd w:fill="2E4799" w:val="clear"/>
            <w:tcMar>
              <w:top w:type="dxa" w:w="80"/>
              <w:left w:type="dxa" w:w="60"/>
              <w:bottom w:type="dxa" w:w="80"/>
              <w:right w:type="dxa" w:w="60"/>
            </w:tcMar>
          </w:tcPr>
          <w:p>
            <w:pPr>
              <w:spacing w:before="0" w:after="0"/>
              <w:jc w:val="center"/>
            </w:pPr>
            <w:r>
              <w:rPr>
                <w:rFonts w:ascii="Arial" w:cs="Arial" w:eastAsia="Arial" w:hAnsi="Arial"/>
                <w:b/>
                <w:bCs/>
                <w:color w:val="FFFFFF"/>
                <w:sz w:val="16"/>
                <w:szCs w:val="16"/>
              </w:rPr>
              <w:t xml:space="preserve">GOVERN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7"/>
                <w:szCs w:val="17"/>
              </w:rPr>
              <w:t xml:space="preserve">GOVERN 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Roles and responsibilities for AI risk management are defined and assigned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No defined roles for AI oversight. Engineering team owns model but has no compliance or ethics mandate.</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Define AI-specific roles: AI Product Owner, AI Ethics Reviewer, Data Protection Officer with AI mandate</w:t>
            </w:r>
          </w:p>
        </w:tc>
      </w:tr>
      <w:tr>
        <w:tc>
          <w:tcPr>
            <w:tcBorders>
              <w:top w:val="single" w:color="CCCCCC" w:sz="1"/>
              <w:left w:val="single" w:color="CCCCCC" w:sz="1"/>
              <w:bottom w:val="single" w:color="CCCCCC" w:sz="1"/>
              <w:right w:val="single" w:color="CCCCCC" w:sz="1"/>
            </w:tcBorders>
            <w:shd w:fill="1A6B72" w:val="clear"/>
            <w:tcMar>
              <w:top w:type="dxa" w:w="80"/>
              <w:left w:type="dxa" w:w="60"/>
              <w:bottom w:type="dxa" w:w="80"/>
              <w:right w:type="dxa" w:w="60"/>
            </w:tcMar>
          </w:tcPr>
          <w:p>
            <w:pPr>
              <w:spacing w:before="0" w:after="0"/>
              <w:jc w:val="center"/>
            </w:pPr>
            <w:r>
              <w:rPr>
                <w:rFonts w:ascii="Arial" w:cs="Arial" w:eastAsia="Arial" w:hAnsi="Arial"/>
                <w:b/>
                <w:bCs/>
                <w:color w:val="FFFFFF"/>
                <w:sz w:val="16"/>
                <w:szCs w:val="16"/>
              </w:rPr>
              <w:t xml:space="preserve">MAP</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7"/>
                <w:szCs w:val="17"/>
              </w:rPr>
              <w:t xml:space="preserve">MAP 1.1</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Context is established for the AI system including intended use, affected populations, and potential impacts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Intended use documented in product spec but affected populations (job candidates) and societal impacts not formally assessed.</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HIGH</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Conduct AI Impact Assessment documenting affected populations, potential harms, and societal implications</w:t>
            </w:r>
          </w:p>
        </w:tc>
      </w:tr>
      <w:tr>
        <w:tc>
          <w:tcPr>
            <w:tcBorders>
              <w:top w:val="single" w:color="CCCCCC" w:sz="1"/>
              <w:left w:val="single" w:color="CCCCCC" w:sz="1"/>
              <w:bottom w:val="single" w:color="CCCCCC" w:sz="1"/>
              <w:right w:val="single" w:color="CCCCCC" w:sz="1"/>
            </w:tcBorders>
            <w:shd w:fill="1A6B72" w:val="clear"/>
            <w:tcMar>
              <w:top w:type="dxa" w:w="80"/>
              <w:left w:type="dxa" w:w="60"/>
              <w:bottom w:type="dxa" w:w="80"/>
              <w:right w:type="dxa" w:w="60"/>
            </w:tcMar>
          </w:tcPr>
          <w:p>
            <w:pPr>
              <w:spacing w:before="0" w:after="0"/>
              <w:jc w:val="center"/>
            </w:pPr>
            <w:r>
              <w:rPr>
                <w:rFonts w:ascii="Arial" w:cs="Arial" w:eastAsia="Arial" w:hAnsi="Arial"/>
                <w:b/>
                <w:bCs/>
                <w:color w:val="FFFFFF"/>
                <w:sz w:val="16"/>
                <w:szCs w:val="16"/>
              </w:rPr>
              <w:t xml:space="preserve">MAP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7"/>
                <w:szCs w:val="17"/>
              </w:rPr>
              <w:t xml:space="preserve">MAP 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Scientific findings, legal requirements, and stakeholder feedback are considered in AI deployment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No legal review of AI hiring regulations conducted. NYC Local Law 144 requirements not assessed.</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CRITICAL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Conduct legal review against NYC LL144, EEOC guidelines, and applicable state AI hiring laws</w:t>
            </w:r>
          </w:p>
        </w:tc>
      </w:tr>
      <w:tr>
        <w:tc>
          <w:tcPr>
            <w:tcBorders>
              <w:top w:val="single" w:color="CCCCCC" w:sz="1"/>
              <w:left w:val="single" w:color="CCCCCC" w:sz="1"/>
              <w:bottom w:val="single" w:color="CCCCCC" w:sz="1"/>
              <w:right w:val="single" w:color="CCCCCC" w:sz="1"/>
            </w:tcBorders>
            <w:shd w:fill="4A235A" w:val="clear"/>
            <w:tcMar>
              <w:top w:type="dxa" w:w="80"/>
              <w:left w:type="dxa" w:w="60"/>
              <w:bottom w:type="dxa" w:w="80"/>
              <w:right w:type="dxa" w:w="60"/>
            </w:tcMar>
          </w:tcPr>
          <w:p>
            <w:pPr>
              <w:spacing w:before="0" w:after="0"/>
              <w:jc w:val="center"/>
            </w:pPr>
            <w:r>
              <w:rPr>
                <w:rFonts w:ascii="Arial" w:cs="Arial" w:eastAsia="Arial" w:hAnsi="Arial"/>
                <w:b/>
                <w:bCs/>
                <w:color w:val="FFFFFF"/>
                <w:sz w:val="16"/>
                <w:szCs w:val="16"/>
              </w:rPr>
              <w:t xml:space="preserve">MEASURE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7"/>
                <w:szCs w:val="17"/>
              </w:rPr>
              <w:t xml:space="preserve">MEASURE 2.5</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AI system fairness and bias are evaluated using appropriate metrics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No bias testing or fairness evaluation has been conducted on the screening model.</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CRITICAL</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Implement disparate impact testing across protected classes; conduct pre-deployment and annual fairness audits</w:t>
            </w:r>
          </w:p>
        </w:tc>
      </w:tr>
      <w:tr>
        <w:tc>
          <w:tcPr>
            <w:tcBorders>
              <w:top w:val="single" w:color="CCCCCC" w:sz="1"/>
              <w:left w:val="single" w:color="CCCCCC" w:sz="1"/>
              <w:bottom w:val="single" w:color="CCCCCC" w:sz="1"/>
              <w:right w:val="single" w:color="CCCCCC" w:sz="1"/>
            </w:tcBorders>
            <w:shd w:fill="4A235A" w:val="clear"/>
            <w:tcMar>
              <w:top w:type="dxa" w:w="80"/>
              <w:left w:type="dxa" w:w="60"/>
              <w:bottom w:type="dxa" w:w="80"/>
              <w:right w:type="dxa" w:w="60"/>
            </w:tcMar>
          </w:tcPr>
          <w:p>
            <w:pPr>
              <w:spacing w:before="0" w:after="0"/>
              <w:jc w:val="center"/>
            </w:pPr>
            <w:r>
              <w:rPr>
                <w:rFonts w:ascii="Arial" w:cs="Arial" w:eastAsia="Arial" w:hAnsi="Arial"/>
                <w:b/>
                <w:bCs/>
                <w:color w:val="FFFFFF"/>
                <w:sz w:val="16"/>
                <w:szCs w:val="16"/>
              </w:rPr>
              <w:t xml:space="preserve">MEASURE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7"/>
                <w:szCs w:val="17"/>
              </w:rPr>
              <w:t xml:space="preserve">MEASURE 2.9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Privacy risks of AI systems are assessed and managed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Resume PII processed without documented privacy impact assessment or data minimization controls.</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Conduct AI Privacy Impact Assessment; implement consent management and data retention controls</w:t>
            </w:r>
          </w:p>
        </w:tc>
      </w:tr>
      <w:tr>
        <w:tc>
          <w:tcPr>
            <w:tcBorders>
              <w:top w:val="single" w:color="CCCCCC" w:sz="1"/>
              <w:left w:val="single" w:color="CCCCCC" w:sz="1"/>
              <w:bottom w:val="single" w:color="CCCCCC" w:sz="1"/>
              <w:right w:val="single" w:color="CCCCCC" w:sz="1"/>
            </w:tcBorders>
            <w:shd w:fill="1A5C3A" w:val="clear"/>
            <w:tcMar>
              <w:top w:type="dxa" w:w="80"/>
              <w:left w:type="dxa" w:w="60"/>
              <w:bottom w:type="dxa" w:w="80"/>
              <w:right w:type="dxa" w:w="60"/>
            </w:tcMar>
          </w:tcPr>
          <w:p>
            <w:pPr>
              <w:spacing w:before="0" w:after="0"/>
              <w:jc w:val="center"/>
            </w:pPr>
            <w:r>
              <w:rPr>
                <w:rFonts w:ascii="Arial" w:cs="Arial" w:eastAsia="Arial" w:hAnsi="Arial"/>
                <w:b/>
                <w:bCs/>
                <w:color w:val="FFFFFF"/>
                <w:sz w:val="16"/>
                <w:szCs w:val="16"/>
              </w:rPr>
              <w:t xml:space="preserve">MANAGE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7"/>
                <w:szCs w:val="17"/>
              </w:rPr>
              <w:t xml:space="preserve">MANAGE 1.3</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Responses to identified AI risks are planned and implemented</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No formal risk response process exists. Identified issues are addressed informally without documentation.</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HIGH</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Establish AI risk response playbook; integrate AI risks into enterprise risk register and POA&amp;M</w:t>
            </w:r>
          </w:p>
        </w:tc>
      </w:tr>
      <w:tr>
        <w:tc>
          <w:tcPr>
            <w:tcBorders>
              <w:top w:val="single" w:color="CCCCCC" w:sz="1"/>
              <w:left w:val="single" w:color="CCCCCC" w:sz="1"/>
              <w:bottom w:val="single" w:color="CCCCCC" w:sz="1"/>
              <w:right w:val="single" w:color="CCCCCC" w:sz="1"/>
            </w:tcBorders>
            <w:shd w:fill="1A5C3A" w:val="clear"/>
            <w:tcMar>
              <w:top w:type="dxa" w:w="80"/>
              <w:left w:type="dxa" w:w="60"/>
              <w:bottom w:type="dxa" w:w="80"/>
              <w:right w:type="dxa" w:w="60"/>
            </w:tcMar>
          </w:tcPr>
          <w:p>
            <w:pPr>
              <w:spacing w:before="0" w:after="0"/>
              <w:jc w:val="center"/>
            </w:pPr>
            <w:r>
              <w:rPr>
                <w:rFonts w:ascii="Arial" w:cs="Arial" w:eastAsia="Arial" w:hAnsi="Arial"/>
                <w:b/>
                <w:bCs/>
                <w:color w:val="FFFFFF"/>
                <w:sz w:val="16"/>
                <w:szCs w:val="16"/>
              </w:rPr>
              <w:t xml:space="preserve">MANAGE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7"/>
                <w:szCs w:val="17"/>
              </w:rPr>
              <w:t xml:space="preserve">MANAGE 4.1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Post-deployment AI system performance is monitored and incidents are reported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No monitoring or performance tracking in place post-deployment. No incident reporting process for AI failures.</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Implement continuous monitoring dashboard; establish AI incident reporting and escalation process</w:t>
            </w:r>
          </w:p>
        </w:tc>
      </w:tr>
    </w:tbl>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r>
        <w:br w:type="page"/>
      </w:r>
    </w:p>
    <w:p>
      <w:pPr>
        <w:pBdr>
          <w:bottom w:val="single" w:color="2E4799" w:sz="6" w:space="2"/>
        </w:pBdr>
        <w:spacing w:before="160" w:after="80"/>
      </w:pPr>
    </w:p>
    <w:p>
      <w:pPr>
        <w:spacing w:before="80" w:after="60"/>
      </w:pPr>
      <w:r>
        <w:rPr>
          <w:rFonts w:ascii="Arial" w:cs="Arial" w:eastAsia="Arial" w:hAnsi="Arial"/>
          <w:b/>
          <w:bCs/>
          <w:color w:val="1B3A5C"/>
          <w:sz w:val="28"/>
          <w:szCs w:val="28"/>
        </w:rPr>
        <w:t xml:space="preserve">Section 5</w:t>
      </w:r>
      <w:r>
        <w:rPr>
          <w:rFonts w:ascii="Arial" w:cs="Arial" w:eastAsia="Arial" w:hAnsi="Arial"/>
          <w:i/>
          <w:iCs/>
          <w:color w:val="666666"/>
          <w:sz w:val="22"/>
          <w:szCs w:val="22"/>
        </w:rPr>
        <w:t xml:space="preserve">  —  Remediation Roadmap</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Remediation actions are prioritized across three phases based on risk severity, regulatory urgency, and implementation complexity.</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3760"/>
        <w:gridCol w:w="1800"/>
        <w:gridCol w:w="2200"/>
      </w:tblGrid>
      <w:tr>
        <w:tc>
          <w:tcPr>
            <w:tcW w:type="dxa" w:w="9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Phase</w:t>
            </w:r>
          </w:p>
        </w:tc>
        <w:tc>
          <w:tcPr>
            <w:tcW w:type="dxa" w:w="7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Priority</w:t>
            </w:r>
          </w:p>
        </w:tc>
        <w:tc>
          <w:tcPr>
            <w:tcW w:type="dxa" w:w="376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Action</w:t>
            </w:r>
          </w:p>
        </w:tc>
        <w:tc>
          <w:tcPr>
            <w:tcW w:type="dxa" w:w="18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Owner</w:t>
            </w:r>
          </w:p>
        </w:tc>
        <w:tc>
          <w:tcPr>
            <w:tcW w:type="dxa" w:w="22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Timeline</w:t>
            </w:r>
          </w:p>
        </w:tc>
      </w:tr>
      <w:tr>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6"/>
                <w:szCs w:val="16"/>
              </w:rPr>
              <w:t xml:space="preserve">1 — Immediate</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CRITICAL</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Halt AI screening for any role until bias audit is completed and NYC LL144 compliance is confirmed</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Chief Compliance Officer</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Within 30 days</w:t>
            </w:r>
          </w:p>
        </w:tc>
      </w:tr>
      <w:tr>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6"/>
                <w:szCs w:val="16"/>
              </w:rPr>
              <w:t xml:space="preserve">1 — Immediate</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CRITICAL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Commission independent disparate impact bias audit across all protected classes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Chief People Officer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Within 30 days</w:t>
            </w:r>
          </w:p>
        </w:tc>
      </w:tr>
      <w:tr>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6"/>
                <w:szCs w:val="16"/>
              </w:rPr>
              <w:t xml:space="preserve">1 — Immediate</w:t>
            </w:r>
          </w:p>
        </w:tc>
        <w:tc>
          <w:tcPr>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CRITICAL</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Develop and publish AI Governance Policy; designate AI Accountability Officer</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Chief Compliance Officer</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Within 30 days</w:t>
            </w:r>
          </w:p>
        </w:tc>
      </w:tr>
      <w:tr>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6"/>
                <w:szCs w:val="16"/>
              </w:rPr>
              <w:t xml:space="preserve">2 — Short-term</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Conduct legal review against NYC Local Law 144, EEOC guidelines, and applicable state AI hiring laws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Chief Compliance Officer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30-60 days</w:t>
            </w:r>
          </w:p>
        </w:tc>
      </w:tr>
      <w:tr>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6"/>
                <w:szCs w:val="16"/>
              </w:rPr>
              <w:t xml:space="preserve">2 — Short-term</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HIGH</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Implement consent management; notify candidates AI is used in screening process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Data Protection Officer</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30-60 days</w:t>
            </w:r>
          </w:p>
        </w:tc>
      </w:tr>
      <w:tr>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6"/>
                <w:szCs w:val="16"/>
              </w:rPr>
              <w:t xml:space="preserve">2 — Short-term</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Add AI governance clauses to vendor contract; require model card and audit rights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Chief Procurement Officer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30-60 days</w:t>
            </w:r>
          </w:p>
        </w:tc>
      </w:tr>
      <w:tr>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6"/>
                <w:szCs w:val="16"/>
              </w:rPr>
              <w:t xml:space="preserve">2 — Short-term</w:t>
            </w:r>
          </w:p>
        </w:tc>
        <w:tc>
          <w:tcPr>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HIGH</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Deploy explainable AI (XAI) mechanism; provide candidates with decision rationale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AI Engineering Lead</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45-90 days</w:t>
            </w:r>
          </w:p>
        </w:tc>
      </w:tr>
      <w:tr>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6"/>
                <w:szCs w:val="16"/>
              </w:rPr>
              <w:t xml:space="preserve">3 — Medium-term</w:t>
            </w:r>
          </w:p>
        </w:tc>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MODERATE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Implement continuous monitoring dashboard tracking fairness and performance metrics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AI Engineering Lead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60-90 days</w:t>
            </w:r>
          </w:p>
        </w:tc>
      </w:tr>
      <w:tr>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6"/>
                <w:szCs w:val="16"/>
              </w:rPr>
              <w:t xml:space="preserve">3 — Medium-term</w:t>
            </w:r>
          </w:p>
        </w:tc>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MODERATE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Establish AI incident response process and integrate AI risks into enterprise risk register</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Chief Compliance Officer</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60-90 days</w:t>
            </w:r>
          </w:p>
        </w:tc>
      </w:tr>
      <w:tr>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6"/>
                <w:szCs w:val="16"/>
              </w:rPr>
              <w:t xml:space="preserve">3 — Medium-term</w:t>
            </w:r>
          </w:p>
        </w:tc>
        <w:tc>
          <w:tcPr>
            <w:tcBorders>
              <w:top w:val="single" w:color="CCCCCC" w:sz="1"/>
              <w:left w:val="single" w:color="CCCCCC" w:sz="1"/>
              <w:bottom w:val="single" w:color="CCCCCC" w:sz="1"/>
              <w:right w:val="single" w:color="CCCCCC" w:sz="1"/>
            </w:tcBorders>
            <w:shd w:fill="D4A017"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MODERATE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Define model retraining schedule and performance degradation thresholds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7"/>
                <w:szCs w:val="17"/>
              </w:rPr>
              <w:t xml:space="preserve">AI Engineering Lead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11111"/>
                <w:sz w:val="17"/>
                <w:szCs w:val="17"/>
              </w:rPr>
              <w:t xml:space="preserve">90 days</w:t>
            </w:r>
          </w:p>
        </w:tc>
      </w:tr>
    </w:tbl>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r>
        <w:br w:type="page"/>
      </w:r>
    </w:p>
    <w:p>
      <w:pPr>
        <w:pBdr>
          <w:bottom w:val="single" w:color="2E4799" w:sz="6" w:space="2"/>
        </w:pBdr>
        <w:spacing w:before="160" w:after="80"/>
      </w:pPr>
    </w:p>
    <w:p>
      <w:pPr>
        <w:spacing w:before="80" w:after="60"/>
      </w:pPr>
      <w:r>
        <w:rPr>
          <w:rFonts w:ascii="Arial" w:cs="Arial" w:eastAsia="Arial" w:hAnsi="Arial"/>
          <w:b/>
          <w:bCs/>
          <w:color w:val="1B3A5C"/>
          <w:sz w:val="28"/>
          <w:szCs w:val="28"/>
        </w:rPr>
        <w:t xml:space="preserve">Section 6</w:t>
      </w:r>
      <w:r>
        <w:rPr>
          <w:rFonts w:ascii="Arial" w:cs="Arial" w:eastAsia="Arial" w:hAnsi="Arial"/>
          <w:i/>
          <w:iCs/>
          <w:color w:val="666666"/>
          <w:sz w:val="22"/>
          <w:szCs w:val="22"/>
        </w:rPr>
        <w:t xml:space="preserve">  —  AI Regulatory Landscape — Hiring Tools</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AI-powered hiring tools are subject to a rapidly evolving regulatory environment. The following regulations apply directly to the organization’s use case and must be addressed in the governance program.</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80"/>
        <w:gridCol w:w="2880"/>
      </w:tblGrid>
      <w:tr>
        <w:tc>
          <w:tcPr>
            <w:tcW w:type="dxa" w:w="20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Regulation</w:t>
            </w:r>
          </w:p>
        </w:tc>
        <w:tc>
          <w:tcPr>
            <w:tcW w:type="dxa" w:w="160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Jurisdiction</w:t>
            </w:r>
          </w:p>
        </w:tc>
        <w:tc>
          <w:tcPr>
            <w:tcW w:type="dxa" w:w="288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Key Requirements</w:t>
            </w:r>
          </w:p>
        </w:tc>
        <w:tc>
          <w:tcPr>
            <w:tcW w:type="dxa" w:w="2880"/>
            <w:gridSpan w:val="1"/>
            <w:tcBorders>
              <w:top w:val="single" w:color="2E4799" w:sz="2"/>
              <w:left w:val="single" w:color="2E4799" w:sz="2"/>
              <w:bottom w:val="single" w:color="2E4799" w:sz="2"/>
              <w:right w:val="single" w:color="2E4799" w:sz="2"/>
            </w:tcBorders>
            <w:shd w:fill="1B3A5C" w:val="clear"/>
            <w:tcMar>
              <w:top w:type="dxa" w:w="100"/>
              <w:left w:type="dxa" w:w="120"/>
              <w:bottom w:type="dxa" w:w="100"/>
              <w:right w:type="dxa" w:w="120"/>
            </w:tcMar>
          </w:tcPr>
          <w:p>
            <w:pPr>
              <w:spacing w:before="0" w:after="0"/>
              <w:jc w:val="center"/>
            </w:pPr>
            <w:r>
              <w:rPr>
                <w:rFonts w:ascii="Arial" w:cs="Arial" w:eastAsia="Arial" w:hAnsi="Arial"/>
                <w:b/>
                <w:bCs/>
                <w:color w:val="FFFFFF"/>
                <w:sz w:val="19"/>
                <w:szCs w:val="19"/>
              </w:rPr>
              <w:t xml:space="preserve">Compliance Gap</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8"/>
                <w:szCs w:val="18"/>
              </w:rPr>
              <w:t xml:space="preserve">NYC Local Law 144 (2023)</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New York City</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Annual independent bias audit required for all automated employment decision tools (AEDTs); results must be published; candidates must be notified AI is used</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No bias audit conducted; no candidate notification in place; non-compliant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8"/>
                <w:szCs w:val="18"/>
              </w:rPr>
              <w:t xml:space="preserve">EEOC Guidance on AI Hiring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Federal (US)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AI hiring tools must not produce disparate impact on protected classes under Title VII; employer remains liable for AI-driven discrimination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No disparate impact testing; no documentation of protected class outcomes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8"/>
                <w:szCs w:val="18"/>
              </w:rPr>
              <w:t xml:space="preserve">NIST AI RMF (AI 100-1)</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Federal Best Practice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Voluntary framework for managing AI risks across Govern, Map, Measure, and Manage functions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Significant gaps across all four functions as documented in Section 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8"/>
                <w:szCs w:val="18"/>
              </w:rPr>
              <w:t xml:space="preserve">Illinois AI Video Interview 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Illinois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Requires employer consent and disclosure before using AI to analyze video interviews; restricts data sharing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Scope depends on hiring locations; legal review recommended</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bCs/>
                <w:i w:val="false"/>
                <w:iCs w:val="false"/>
                <w:color w:val="1B3A5C"/>
                <w:sz w:val="18"/>
                <w:szCs w:val="18"/>
              </w:rPr>
              <w:t xml:space="preserve">Colorado AI Act (2024)</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Colorado</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High-risk AI systems in employment must conduct impact assessments and disclose AI use to affected individuals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11111"/>
                <w:sz w:val="18"/>
                <w:szCs w:val="18"/>
              </w:rPr>
              <w:t xml:space="preserve">No impact assessment conducted; no disclosure mechanism in place</w:t>
            </w:r>
          </w:p>
        </w:tc>
      </w:tr>
    </w:tbl>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Bdr>
          <w:bottom w:val="single" w:color="2E4799" w:sz="6" w:space="2"/>
        </w:pBdr>
        <w:spacing w:before="160" w:after="80"/>
      </w:pPr>
    </w:p>
    <w:p>
      <w:pPr>
        <w:spacing w:before="80" w:after="60"/>
      </w:pPr>
      <w:r>
        <w:rPr>
          <w:rFonts w:ascii="Arial" w:cs="Arial" w:eastAsia="Arial" w:hAnsi="Arial"/>
          <w:b/>
          <w:bCs/>
          <w:color w:val="1B3A5C"/>
          <w:sz w:val="28"/>
          <w:szCs w:val="28"/>
        </w:rPr>
        <w:t xml:space="preserve">References</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National Institute of Standards and Technology. (2023). Artificial Intelligence Risk Management Framework (AI RMF 1.0) (NIST AI 100-1). U.S. Department of Commerce.</w:t>
      </w:r>
    </w:p>
    <w:p>
      <w:pPr>
        <w:spacing w:before="60" w:after="60"/>
      </w:pPr>
      <w:r>
        <w:rPr>
          <w:rFonts w:ascii="Arial" w:cs="Arial" w:eastAsia="Arial" w:hAnsi="Arial"/>
          <w:sz w:val="20"/>
          <w:szCs w:val="20"/>
        </w:rPr>
        <w:t xml:space="preserve">National Institute of Standards and Technology. (2020). NIST SP 800-53 Rev. 5 — Security and Privacy Controls for Information Systems and Organizations.</w:t>
      </w:r>
    </w:p>
    <w:p>
      <w:pPr>
        <w:spacing w:before="60" w:after="60"/>
      </w:pPr>
      <w:r>
        <w:rPr>
          <w:rFonts w:ascii="Arial" w:cs="Arial" w:eastAsia="Arial" w:hAnsi="Arial"/>
          <w:sz w:val="20"/>
          <w:szCs w:val="20"/>
        </w:rPr>
        <w:t xml:space="preserve">New York City Council. (2021). Local Law 144 — Automated Employment Decision Tools. City of New York.</w:t>
      </w:r>
    </w:p>
    <w:p>
      <w:pPr>
        <w:spacing w:before="60" w:after="60"/>
      </w:pPr>
      <w:r>
        <w:rPr>
          <w:rFonts w:ascii="Arial" w:cs="Arial" w:eastAsia="Arial" w:hAnsi="Arial"/>
          <w:sz w:val="20"/>
          <w:szCs w:val="20"/>
        </w:rPr>
        <w:t xml:space="preserve">U.S. Equal Employment Opportunity Commission (EEOC). (2023). Artificial Intelligence and Algorithmic Fairness Initiative.</w:t>
      </w:r>
    </w:p>
    <w:p>
      <w:pPr>
        <w:spacing w:before="60" w:after="60"/>
      </w:pPr>
      <w:r>
        <w:rPr>
          <w:rFonts w:ascii="Arial" w:cs="Arial" w:eastAsia="Arial" w:hAnsi="Arial"/>
          <w:sz w:val="20"/>
          <w:szCs w:val="20"/>
        </w:rPr>
        <w:t xml:space="preserve">Colorado General Assembly. (2024). SB 205 — Colorado Artificial Intelligence Act.</w:t>
      </w:r>
    </w:p>
    <w:p>
      <w:pPr>
        <w:spacing w:before="60" w:after="60"/>
      </w:pPr>
      <w:r>
        <w:rPr>
          <w:rFonts w:ascii="Arial" w:cs="Arial" w:eastAsia="Arial" w:hAnsi="Arial"/>
          <w:sz w:val="20"/>
          <w:szCs w:val="20"/>
        </w:rPr>
        <w:t xml:space="preserve">Illinois General Assembly. (2019). Artificial Intelligence Video Interview Act (820 ILCS 42).</w:t>
      </w:r>
    </w:p>
    <w:p>
      <w:pPr>
        <w:spacing w:before="60" w:after="60"/>
      </w:pPr>
      <w:r>
        <w:rPr>
          <w:rFonts w:ascii="Arial" w:cs="Arial" w:eastAsia="Arial" w:hAnsi="Arial"/>
          <w:sz w:val="20"/>
          <w:szCs w:val="20"/>
        </w:rPr>
        <w:t xml:space="preserve">Executive Office of the President. (2023). Executive Order 14110 — Safe, Secure, and Trustworthy Development and Use of Artificial Intelligence.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2026-03-17T21:41:00.076Z</dcterms:created>
  <dcterms:modified xsi:type="dcterms:W3CDTF">2026-03-17T21:41:00.077Z</dcterms:modified>
</cp:coreProperties>
</file>

<file path=docProps/custom.xml><?xml version="1.0" encoding="utf-8"?>
<Properties xmlns="http://schemas.openxmlformats.org/officeDocument/2006/custom-properties" xmlns:vt="http://schemas.openxmlformats.org/officeDocument/2006/docPropsVTypes"/>
</file>