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0"/>
        <w:jc w:val="center"/>
      </w:pPr>
      <w:r>
        <w:rPr>
          <w:rFonts w:ascii="Arial" w:cs="Arial" w:eastAsia="Arial" w:hAnsi="Arial"/>
          <w:b/>
          <w:bCs/>
          <w:color w:val="888888"/>
          <w:sz w:val="22"/>
          <w:szCs w:val="22"/>
        </w:rPr>
        <w:t xml:space="preserve">PENETRATION TESTING ADVISORY</w:t>
      </w:r>
    </w:p>
    <w:p>
      <w:pPr>
        <w:spacing w:before="120" w:after="120"/>
        <w:jc w:val="center"/>
      </w:pPr>
      <w:r>
        <w:rPr>
          <w:rFonts w:ascii="Arial" w:cs="Arial" w:eastAsia="Arial" w:hAnsi="Arial"/>
          <w:b/>
          <w:bCs/>
          <w:color w:val="1B3A5C"/>
          <w:sz w:val="40"/>
          <w:szCs w:val="40"/>
        </w:rPr>
        <w:t xml:space="preserve">Penetration Test Engagement Plan Review</w:t>
      </w:r>
    </w:p>
    <w:p>
      <w:pPr>
        <w:spacing w:before="60" w:after="60"/>
        <w:jc w:val="center"/>
      </w:pPr>
      <w:r>
        <w:rPr>
          <w:rFonts w:ascii="Arial" w:cs="Arial" w:eastAsia="Arial" w:hAnsi="Arial"/>
          <w:i/>
          <w:iCs/>
          <w:color w:val="4A235A"/>
          <w:sz w:val="24"/>
          <w:szCs w:val="24"/>
        </w:rPr>
        <w:t xml:space="preserve">Healthcare Environment  |  Misalignment Analysis  |  Remediation Recommendations</w:t>
      </w:r>
    </w:p>
    <w:p>
      <w:pPr>
        <w:pBdr>
          <w:bottom w:val="single" w:color="4A235A" w:sz="8" w:space="1"/>
        </w:pBdr>
        <w:spacing w:before="60" w:after="60"/>
      </w:pPr>
    </w:p>
    <w:p>
      <w:pPr>
        <w:spacing w:before="120" w:after="60"/>
        <w:jc w:val="center"/>
      </w:pPr>
      <w:r>
        <w:rPr>
          <w:rFonts w:ascii="Arial" w:cs="Arial" w:eastAsia="Arial" w:hAnsi="Arial"/>
          <w:color w:val="444444"/>
          <w:sz w:val="22"/>
          <w:szCs w:val="22"/>
        </w:rPr>
        <w:t xml:space="preserve">Prepared by: Tamia Williams</w:t>
      </w:r>
    </w:p>
    <w:p>
      <w:pPr>
        <w:spacing w:before="40" w:after="40"/>
        <w:jc w:val="center"/>
      </w:pPr>
      <w:r>
        <w:rPr>
          <w:rFonts w:ascii="Arial" w:cs="Arial" w:eastAsia="Arial" w:hAnsi="Arial"/>
          <w:color w:val="666666"/>
          <w:sz w:val="20"/>
          <w:szCs w:val="20"/>
        </w:rPr>
        <w:t xml:space="preserve">Review Date: 2024  |  Classification: Portfolio Sample</w:t>
      </w:r>
    </w:p>
    <w:p>
      <w:pPr>
        <w:spacing w:before="40" w:after="480"/>
        <w:jc w:val="center"/>
      </w:pPr>
      <w:r>
        <w:rPr>
          <w:rFonts w:ascii="Arial" w:cs="Arial" w:eastAsia="Arial" w:hAnsi="Arial"/>
          <w:i/>
          <w:iCs/>
          <w:color w:val="666666"/>
          <w:sz w:val="20"/>
          <w:szCs w:val="20"/>
        </w:rPr>
        <w:t xml:space="preserve">Frameworks: NIST SP 800-115  |  HIPAA Security Rule  |  PTES  |  CVSS  |  OWASP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2C5F8A" w:sz="2"/>
              <w:left w:val="single" w:color="2C5F8A" w:sz="2"/>
              <w:bottom w:val="single" w:color="2C5F8A" w:sz="2"/>
              <w:right w:val="single" w:color="2C5F8A" w:sz="2"/>
            </w:tcBorders>
            <w:shd w:fill="4A235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Misalignment Areas</w:t>
            </w:r>
          </w:p>
        </w:tc>
        <w:tc>
          <w:tcPr>
            <w:tcW w:type="dxa" w:w="2340"/>
            <w:gridSpan w:val="1"/>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Critical Gaps</w:t>
            </w:r>
          </w:p>
        </w:tc>
        <w:tc>
          <w:tcPr>
            <w:tcW w:type="dxa" w:w="2340"/>
            <w:gridSpan w:val="1"/>
            <w:tcBorders>
              <w:top w:val="single" w:color="2C5F8A" w:sz="2"/>
              <w:left w:val="single" w:color="2C5F8A" w:sz="2"/>
              <w:bottom w:val="single" w:color="2C5F8A" w:sz="2"/>
              <w:right w:val="single" w:color="2C5F8A" w:sz="2"/>
            </w:tcBorders>
            <w:shd w:fill="D35400"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Recommendations</w:t>
            </w:r>
          </w:p>
        </w:tc>
        <w:tc>
          <w:tcPr>
            <w:tcW w:type="dxa" w:w="234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Frameworks Applied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4A235A"/>
                <w:sz w:val="32"/>
                <w:szCs w:val="32"/>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C0392B"/>
                <w:sz w:val="32"/>
                <w:szCs w:val="32"/>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D35400"/>
                <w:sz w:val="32"/>
                <w:szCs w:val="32"/>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1B3A5C"/>
                <w:sz w:val="32"/>
                <w:szCs w:val="32"/>
              </w:rPr>
              <w:t xml:space="preserve">4</w:t>
            </w:r>
          </w:p>
        </w:tc>
      </w:tr>
    </w:tbl>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1</w:t>
      </w:r>
      <w:r>
        <w:rPr>
          <w:rFonts w:ascii="Arial" w:cs="Arial" w:eastAsia="Arial" w:hAnsi="Arial"/>
          <w:i/>
          <w:iCs/>
          <w:color w:val="666666"/>
          <w:sz w:val="22"/>
          <w:szCs w:val="22"/>
        </w:rPr>
        <w:t xml:space="preserve">  —  Executive Summary</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Engagement Context  </w:t>
      </w:r>
      <w:r>
        <w:rPr>
          <w:rFonts w:ascii="Arial" w:cs="Arial" w:eastAsia="Arial" w:hAnsi="Arial"/>
          <w:sz w:val="20"/>
          <w:szCs w:val="20"/>
        </w:rPr>
        <w:t xml:space="preserve">This report presents an independent evaluation of a proposed penetration testing engagement plan for a regional medical center preparing to deploy a newly modernized patient records system. The hospital engaged a penetration testing firm to validate whether existing security controls hold up under real attack conditions prior to go-live. This review assesses whether that engagement plan is properly structured, operationally safe, and aligned with applicable healthcare compliance frameworks.</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Reviewer’s Role  </w:t>
      </w:r>
      <w:r>
        <w:rPr>
          <w:rFonts w:ascii="Arial" w:cs="Arial" w:eastAsia="Arial" w:hAnsi="Arial"/>
          <w:sz w:val="20"/>
          <w:szCs w:val="20"/>
        </w:rPr>
        <w:t xml:space="preserve">As the reviewing analyst, the objective of this report is to identify areas where the proposed engagement plan conflicts with the client’s goals, organizational functions, and regulatory obligations — and to deliver specific, actionable recommendations that bring the plan into alignment before testing begins.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Critical Problems Found in the Plan</w:t>
            </w:r>
          </w:p>
        </w:tc>
        <w:tc>
          <w:tcPr>
            <w:tcW w:type="dxa" w:w="468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What This Review Recommends</w:t>
            </w:r>
          </w:p>
        </w:tc>
      </w:tr>
      <w:tr>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spacing w:before="60" w:after="60"/>
            </w:pPr>
            <w:r>
              <w:rPr>
                <w:rFonts w:ascii="Arial" w:cs="Arial" w:eastAsia="Arial" w:hAnsi="Arial"/>
                <w:sz w:val="20"/>
                <w:szCs w:val="20"/>
              </w:rPr>
              <w:t xml:space="preserve">❗  No Rules of Engagement or stop conditions defined</w:t>
            </w:r>
          </w:p>
          <w:p>
            <w:pPr>
              <w:spacing w:before="60" w:after="60"/>
            </w:pPr>
            <w:r>
              <w:rPr>
                <w:rFonts w:ascii="Arial" w:cs="Arial" w:eastAsia="Arial" w:hAnsi="Arial"/>
                <w:sz w:val="20"/>
                <w:szCs w:val="20"/>
              </w:rPr>
              <w:t xml:space="preserve">❗  Full system takeover of McAfee server — no operational safeguards</w:t>
            </w:r>
          </w:p>
          <w:p>
            <w:pPr>
              <w:spacing w:before="60" w:after="60"/>
            </w:pPr>
            <w:r>
              <w:rPr>
                <w:rFonts w:ascii="Arial" w:cs="Arial" w:eastAsia="Arial" w:hAnsi="Arial"/>
                <w:sz w:val="20"/>
                <w:szCs w:val="20"/>
              </w:rPr>
              <w:t xml:space="preserve">❗  Real domain passwords collected with no handling procedures</w:t>
            </w:r>
          </w:p>
          <w:p>
            <w:pPr>
              <w:spacing w:before="60" w:after="60"/>
            </w:pPr>
            <w:r>
              <w:rPr>
                <w:rFonts w:ascii="Arial" w:cs="Arial" w:eastAsia="Arial" w:hAnsi="Arial"/>
                <w:sz w:val="20"/>
                <w:szCs w:val="20"/>
              </w:rPr>
              <w:t xml:space="preserve">❗  No reporting deliverables, severity ratings, or CVSS scoring</w:t>
            </w:r>
          </w:p>
          <w:p>
            <w:pPr>
              <w:spacing w:before="60" w:after="60"/>
            </w:pPr>
            <w:r>
              <w:rPr>
                <w:rFonts w:ascii="Arial" w:cs="Arial" w:eastAsia="Arial" w:hAnsi="Arial"/>
                <w:sz w:val="20"/>
                <w:szCs w:val="20"/>
              </w:rPr>
              <w:t xml:space="preserve">❗  No ePHI data handling or destruction procedures</w:t>
            </w:r>
          </w:p>
          <w:p>
            <w:pPr>
              <w:spacing w:before="60" w:after="60"/>
            </w:pPr>
            <w:r>
              <w:rPr>
                <w:rFonts w:ascii="Arial" w:cs="Arial" w:eastAsia="Arial" w:hAnsi="Arial"/>
                <w:sz w:val="20"/>
                <w:szCs w:val="20"/>
              </w:rPr>
              <w:t xml:space="preserve">❗  Reporting phase entirely absent from plan</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before="60" w:after="60"/>
            </w:pPr>
            <w:r>
              <w:rPr>
                <w:rFonts w:ascii="Arial" w:cs="Arial" w:eastAsia="Arial" w:hAnsi="Arial"/>
                <w:sz w:val="20"/>
                <w:szCs w:val="20"/>
              </w:rPr>
              <w:t xml:space="preserve">✅  Add formal ROE section per NIST SP 800-115 planning phase</w:t>
            </w:r>
          </w:p>
          <w:p>
            <w:pPr>
              <w:spacing w:before="60" w:after="60"/>
            </w:pPr>
            <w:r>
              <w:rPr>
                <w:rFonts w:ascii="Arial" w:cs="Arial" w:eastAsia="Arial" w:hAnsi="Arial"/>
                <w:sz w:val="20"/>
                <w:szCs w:val="20"/>
              </w:rPr>
              <w:t xml:space="preserve">✅  Replace McAfee takeover with controlled proof-of-concept</w:t>
            </w:r>
          </w:p>
          <w:p>
            <w:pPr>
              <w:spacing w:before="60" w:after="60"/>
            </w:pPr>
            <w:r>
              <w:rPr>
                <w:rFonts w:ascii="Arial" w:cs="Arial" w:eastAsia="Arial" w:hAnsi="Arial"/>
                <w:sz w:val="20"/>
                <w:szCs w:val="20"/>
              </w:rPr>
              <w:t xml:space="preserve">✅  Implement simulated credential capture — no real passwords retained</w:t>
            </w:r>
          </w:p>
          <w:p>
            <w:pPr>
              <w:spacing w:before="60" w:after="60"/>
            </w:pPr>
            <w:r>
              <w:rPr>
                <w:rFonts w:ascii="Arial" w:cs="Arial" w:eastAsia="Arial" w:hAnsi="Arial"/>
                <w:sz w:val="20"/>
                <w:szCs w:val="20"/>
              </w:rPr>
              <w:t xml:space="preserve">✅  Define report deliverables with CVSS-rated findings</w:t>
            </w:r>
          </w:p>
          <w:p>
            <w:pPr>
              <w:spacing w:before="60" w:after="60"/>
            </w:pPr>
            <w:r>
              <w:rPr>
                <w:rFonts w:ascii="Arial" w:cs="Arial" w:eastAsia="Arial" w:hAnsi="Arial"/>
                <w:sz w:val="20"/>
                <w:szCs w:val="20"/>
              </w:rPr>
              <w:t xml:space="preserve">✅  Add ePHI handling and post-engagement data destruction procedures</w:t>
            </w:r>
          </w:p>
          <w:p>
            <w:pPr>
              <w:spacing w:before="60" w:after="60"/>
            </w:pPr>
            <w:r>
              <w:rPr>
                <w:rFonts w:ascii="Arial" w:cs="Arial" w:eastAsia="Arial" w:hAnsi="Arial"/>
                <w:sz w:val="20"/>
                <w:szCs w:val="20"/>
              </w:rPr>
              <w:t xml:space="preserve">✅  Require post-test user notification and awareness training</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Overall Assessment  </w:t>
      </w:r>
      <w:r>
        <w:rPr>
          <w:rFonts w:ascii="Arial" w:cs="Arial" w:eastAsia="Arial" w:hAnsi="Arial"/>
          <w:sz w:val="20"/>
          <w:szCs w:val="20"/>
        </w:rPr>
        <w:t xml:space="preserve">The proposed engagement plan addresses the discovery and attack phases of penetration testing but is critically incomplete in planning and entirely missing a reporting phase. Three gaps rise to the level of Critical or High severity: the absence of Rules of Engagement, the uncontrolled McAfee server takeover objective, and the lack of ePHI handling procedures. If executed as written, the plan creates operational, legal, and compliance risk for the client organization. The recommendations in this report must be addressed before the engagement proceeds.</w:t>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2</w:t>
      </w:r>
      <w:r>
        <w:rPr>
          <w:rFonts w:ascii="Arial" w:cs="Arial" w:eastAsia="Arial" w:hAnsi="Arial"/>
          <w:i/>
          <w:iCs/>
          <w:color w:val="666666"/>
          <w:sz w:val="22"/>
          <w:szCs w:val="22"/>
        </w:rPr>
        <w:t xml:space="preserve">  —  Client Alignment Evaluation</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following table maps each identified misalignment to the specific organizational area it affects, the nature of the conflict, and the severity of the risk introduced.</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360"/>
        <w:gridCol w:w="1800"/>
      </w:tblGrid>
      <w:tr>
        <w:tc>
          <w:tcPr>
            <w:tcW w:type="dxa" w:w="14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Area</w:t>
            </w:r>
          </w:p>
        </w:tc>
        <w:tc>
          <w:tcPr>
            <w:tcW w:type="dxa" w:w="2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Issue</w:t>
            </w:r>
          </w:p>
        </w:tc>
        <w:tc>
          <w:tcPr>
            <w:tcW w:type="dxa" w:w="336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Business Impact</w:t>
            </w:r>
          </w:p>
        </w:tc>
        <w:tc>
          <w:tcPr>
            <w:tcW w:type="dxa" w:w="1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Severity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Client Goals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Plan instructs testers to pursue complete system takeover of the McAfee security server and use directory traversal to locate patient data.</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Directly conflicts with goal of protecting patient data and maintaining operational stability. Risk of disrupting infrastructure before go-live.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Organizational Objectives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No defined success criteria, severity thresholds, or structured reporting deliverables included in the plan.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Without structured output, findings cannot be prioritized for remediation. Hospital may be unable to act before system deployment.</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IT Functions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Plan targets the McAfee endpoint security server as a primary compromise target without operational safeguards.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Compromising the endpoint security server could disable protection across the entire internal network during testing.</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Processes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Social engineering component instructs testers to collect real domain usernames and passwords with no credential handling or invalidation procedures.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Real credentials obtained during testing are left unsecured, creating credential misuse risk and gaps in authentication process integrity.</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Practices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Employee awareness evaluated only through vishing; no simulated credential capture, post-test notification, or awareness training included.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Plan does not fully align with security awareness goals. Real passwords at risk; no remediation loop for staff who disclosed credentials.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MODERATE</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2.1</w:t>
      </w:r>
      <w:r>
        <w:rPr>
          <w:rFonts w:ascii="Arial" w:cs="Arial" w:eastAsia="Arial" w:hAnsi="Arial"/>
          <w:i/>
          <w:iCs/>
          <w:color w:val="666666"/>
          <w:sz w:val="22"/>
          <w:szCs w:val="22"/>
        </w:rPr>
        <w:t xml:space="preserve">  —  Misalignment Detail</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Client Goals  —  HIGH Severity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Issue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Plan instructs testers to pursue complete system takeover of the McAfee security server and use directory traversal to locate patient data.</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Directly conflicts with goal of protecting patient data and maintaining operational stability. Risk of disrupting infrastructure before go-live.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Severity</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Organizational Objectives  —  HIGH Severity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Issue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No defined success criteria, severity thresholds, or structured reporting deliverables included in the plan.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Without structured output, findings cannot be prioritized for remediation. Hospital may be unable to act before system deployment.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Severity</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IT Functions  —  CRITICAL Severity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Issue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Plan targets the McAfee endpoint security server as a primary compromise target without operational safeguards.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Compromising the endpoint security server could disable protection across the entire internal network during testing.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Severity</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D35400"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Processes  —  HIGH Severity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Issue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Social engineering component instructs testers to collect real domain usernames and passwords with no credential handling or invalidation procedures.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Real credentials obtained during testing are left unsecured, creating credential misuse risk and gaps in authentication process integrity.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Severity</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D35400"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Practices  —  MODERATE Severity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Issue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Employee awareness evaluated only through vishing; no simulated credential capture, post-test notification, or awareness training included.</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Plan does not fully align with security awareness goals. Real passwords at risk; no remediation loop for staff who disclosed credentials.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Severity</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MODERATE</w:t>
            </w:r>
          </w:p>
        </w:tc>
      </w:tr>
    </w:tbl>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3</w:t>
      </w:r>
      <w:r>
        <w:rPr>
          <w:rFonts w:ascii="Arial" w:cs="Arial" w:eastAsia="Arial" w:hAnsi="Arial"/>
          <w:i/>
          <w:iCs/>
          <w:color w:val="666666"/>
          <w:sz w:val="22"/>
          <w:szCs w:val="22"/>
        </w:rPr>
        <w:t xml:space="preserve">  —  Framework &amp; Best Practice Comparison</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engagement plan was evaluated against four applicable frameworks and best practices. Each comparison identifies what the framework requires, the plan’s current status, and the specific gap identified.</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300"/>
        <w:gridCol w:w="900"/>
        <w:gridCol w:w="2860"/>
      </w:tblGrid>
      <w:tr>
        <w:tc>
          <w:tcPr>
            <w:tcW w:type="dxa" w:w="15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Framework</w:t>
            </w:r>
          </w:p>
        </w:tc>
        <w:tc>
          <w:tcPr>
            <w:tcW w:type="dxa" w:w="1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Area</w:t>
            </w:r>
          </w:p>
        </w:tc>
        <w:tc>
          <w:tcPr>
            <w:tcW w:type="dxa" w:w="23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Requirement</w:t>
            </w:r>
          </w:p>
        </w:tc>
        <w:tc>
          <w:tcPr>
            <w:tcW w:type="dxa" w:w="9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Status</w:t>
            </w:r>
          </w:p>
        </w:tc>
        <w:tc>
          <w:tcPr>
            <w:tcW w:type="dxa" w:w="286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Gap Identified</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NIST SP 800-115</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Rules of Engagement &amp; Scope Control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Planning phase must define authorized targets, excluded systems, stop conditions, escalation contacts, and level of intrusiveness permitted.</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GAP</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Plan identifies testing areas but omits excluded systems, stop conditions, testing windows, and escalation contacts. Targets McAfee server for full takeover with no operational boundaries defined.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PTES Guidelines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Risk-Based Reporting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Reports must include executive summary, severity-rated findings (CVSS), reproducible steps, and prioritized remediation recommendations.</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Plan describes reconnaissance, scanning, and exploitation phases but includes no reporting deliverables, severity ratings, or remediation guidance. Reporting phase is entirely absent.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HIPAA Security Rule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ePHI Data Handling</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Administrative, physical, and technical safeguards must protect ePHI at all stages including during security testing.</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GAP</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Plan acknowledges HIPAA data may be accessible during testing but defines no procedures for collecting, storing, redacting, or destroying ePHI encountered during the engagement.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NIST SP 800-115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Phase Completeness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Four structured phases required: Planning, Discovery, Attack, and Reporting — each with defined inputs, activities, and outputs.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Discovery and Attack phases are addressed through scanning and exploitation activities. Planning phase is incomplete; Reporting phase is entirely absent from the plan.</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160" w:after="60"/>
      </w:pPr>
      <w:r>
        <w:rPr>
          <w:rFonts w:ascii="Arial" w:cs="Arial" w:eastAsia="Arial" w:hAnsi="Arial"/>
          <w:b/>
          <w:bCs/>
          <w:color w:val="2C5F8A"/>
          <w:sz w:val="22"/>
          <w:szCs w:val="22"/>
        </w:rPr>
        <w:t xml:space="preserve">NIST SP 800-115 — Technical Guide to Information Security Testing</w:t>
      </w:r>
    </w:p>
    <w:p>
      <w:pPr>
        <w:spacing w:before="60" w:after="60"/>
      </w:pPr>
      <w:r>
        <w:rPr>
          <w:rFonts w:ascii="Arial" w:cs="Arial" w:eastAsia="Arial" w:hAnsi="Arial"/>
          <w:sz w:val="20"/>
          <w:szCs w:val="20"/>
        </w:rPr>
        <w:t xml:space="preserve">NIST SP 800-115 provides the authoritative framework for structured security testing in federal and regulated environments. It defines four required phases: Planning, Discovery, Attack, and Reporting. The current engagement plan addresses the Discovery and Attack phases through scanning and exploitation activities but is critically incomplete in Planning and entirely absent in Reporting. The Planning phase lacks formal authorization documentation, Rules of Engagement, and data handling procedures. Without a Reporting phase, the hospital receives no structured findings, severity ratings, or remediation guidance before go-live.</w:t>
      </w:r>
    </w:p>
    <w:p>
      <w:pPr>
        <w:spacing w:before="40" w:after="40"/>
      </w:pPr>
      <w:r>
        <w:rPr>
          <w:rFonts w:ascii="Arial" w:cs="Arial" w:eastAsia="Arial" w:hAnsi="Arial"/>
          <w:sz w:val="20"/>
          <w:szCs w:val="20"/>
        </w:rPr>
        <w:t xml:space="preserve"/>
      </w:r>
    </w:p>
    <w:p>
      <w:pPr>
        <w:spacing w:before="160" w:after="60"/>
      </w:pPr>
      <w:r>
        <w:rPr>
          <w:rFonts w:ascii="Arial" w:cs="Arial" w:eastAsia="Arial" w:hAnsi="Arial"/>
          <w:b/>
          <w:bCs/>
          <w:color w:val="2C5F8A"/>
          <w:sz w:val="22"/>
          <w:szCs w:val="22"/>
        </w:rPr>
        <w:t xml:space="preserve">PTES — Penetration Testing Execution Standard</w:t>
      </w:r>
    </w:p>
    <w:p>
      <w:pPr>
        <w:spacing w:before="60" w:after="60"/>
      </w:pPr>
      <w:r>
        <w:rPr>
          <w:rFonts w:ascii="Arial" w:cs="Arial" w:eastAsia="Arial" w:hAnsi="Arial"/>
          <w:sz w:val="20"/>
          <w:szCs w:val="20"/>
        </w:rPr>
        <w:t xml:space="preserve">PTES technical guidelines require penetration test reports to include an executive summary, detailed technical findings with reproducible steps, CVSS-rated severity scores, and prioritized remediation recommendations. The current plan describes testing activities in sequence but defines no reporting deliverables. This gap means the client organization cannot act on findings in a structured, risk-prioritized way — which directly undermines the purpose of conducting the assessment before system deployment.</w:t>
      </w:r>
    </w:p>
    <w:p>
      <w:pPr>
        <w:spacing w:before="40" w:after="40"/>
      </w:pPr>
      <w:r>
        <w:rPr>
          <w:rFonts w:ascii="Arial" w:cs="Arial" w:eastAsia="Arial" w:hAnsi="Arial"/>
          <w:sz w:val="20"/>
          <w:szCs w:val="20"/>
        </w:rPr>
        <w:t xml:space="preserve"/>
      </w:r>
    </w:p>
    <w:p>
      <w:pPr>
        <w:spacing w:before="160" w:after="60"/>
      </w:pPr>
      <w:r>
        <w:rPr>
          <w:rFonts w:ascii="Arial" w:cs="Arial" w:eastAsia="Arial" w:hAnsi="Arial"/>
          <w:b/>
          <w:bCs/>
          <w:color w:val="2C5F8A"/>
          <w:sz w:val="22"/>
          <w:szCs w:val="22"/>
        </w:rPr>
        <w:t xml:space="preserve">HIPAA Security Rule</w:t>
      </w:r>
    </w:p>
    <w:p>
      <w:pPr>
        <w:spacing w:before="60" w:after="60"/>
      </w:pPr>
      <w:r>
        <w:rPr>
          <w:rFonts w:ascii="Arial" w:cs="Arial" w:eastAsia="Arial" w:hAnsi="Arial"/>
          <w:sz w:val="20"/>
          <w:szCs w:val="20"/>
        </w:rPr>
        <w:t xml:space="preserve">As a covered entity handling electronic protected health information (ePHI), the client organization is subject to HIPAA Security Rule requirements at all stages of operations — including during security testing. The current plan acknowledges that HIPAA-protected data may be accessible during testing but includes no procedures for handling, storing, redacting, or destroying ePHI encountered by testers. This creates a direct compliance exposure: the testing firm could obtain and retain patient data without any defined legal or procedural controls.</w:t>
      </w:r>
    </w:p>
    <w:p>
      <w:pPr>
        <w:spacing w:before="40" w:after="40"/>
      </w:pPr>
      <w:r>
        <w:rPr>
          <w:rFonts w:ascii="Arial" w:cs="Arial" w:eastAsia="Arial" w:hAnsi="Arial"/>
          <w:sz w:val="20"/>
          <w:szCs w:val="20"/>
        </w:rPr>
        <w:t xml:space="preserve"/>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4</w:t>
      </w:r>
      <w:r>
        <w:rPr>
          <w:rFonts w:ascii="Arial" w:cs="Arial" w:eastAsia="Arial" w:hAnsi="Arial"/>
          <w:i/>
          <w:iCs/>
          <w:color w:val="666666"/>
          <w:sz w:val="22"/>
          <w:szCs w:val="22"/>
        </w:rPr>
        <w:t xml:space="preserve">  —  Recommendations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R-001  |  Establish Formal Rules of Engagement and Operational Safeguards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NIST SP 800-115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Priority</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Problem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The plan lacks authorized target boundaries, excluded systems, stop conditions, testing windows, and escalation contacts. The McAfee server takeover objective introduces unacceptable operational risk.</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Add a formal Rules of Engagement (ROE) section defining: authorized targets and explicitly excluded systems; testing time windows (off-hours for high-risk activities); escalation contacts and stop conditions; and replace the 'complete system takeover' objective with a controlled proof-of-concept that demonstrates privilege escalation without disabling security services.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Aligns 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111111"/>
                <w:sz w:val="19"/>
                <w:szCs w:val="19"/>
              </w:rPr>
              <w:t xml:space="preserve">NIST SP 800-115 Planning Phase</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R-002  |  Add Structured Reporting Requirements and ePHI Data Handling Procedures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PTES + HIPAA Security Rule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Priority</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Problem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No reporting deliverables, severity ratings, or ePHI handling procedures are defined. Hospital cannot act on findings without structured output, and uncontrolled ePHI exposure creates compliance violations.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Define explicit report deliverables including: executive summary for leadership; severity-rated findings using CVSS scoring; remediation priorities tied to the go-live timeline; and ePHI data handling procedures covering collection, storage, redaction, and post-engagement destruction of any patient data encountered during testing.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Aligns 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111111"/>
                <w:sz w:val="19"/>
                <w:szCs w:val="19"/>
              </w:rPr>
              <w:t xml:space="preserve">PTES Reporting Guidelines; HIPAA Security Rule §164.312</w:t>
            </w:r>
          </w:p>
        </w:tc>
      </w:tr>
    </w:tbl>
    <w:p>
      <w:pPr>
        <w:spacing w:before="40" w:after="40"/>
      </w:pPr>
      <w:r>
        <w:rPr>
          <w:rFonts w:ascii="Arial" w:cs="Arial" w:eastAsia="Arial" w:hAnsi="Arial"/>
          <w:sz w:val="20"/>
          <w:szCs w:val="20"/>
        </w:rPr>
        <w:t xml:space="preserve"/>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5</w:t>
      </w:r>
      <w:r>
        <w:rPr>
          <w:rFonts w:ascii="Arial" w:cs="Arial" w:eastAsia="Arial" w:hAnsi="Arial"/>
          <w:i/>
          <w:iCs/>
          <w:color w:val="666666"/>
          <w:sz w:val="22"/>
          <w:szCs w:val="22"/>
        </w:rPr>
        <w:t xml:space="preserve">  —  Proposed Solutions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following solutions address the two highest-priority operational risks identified in the engagement plan review. Both solutions allow the engagement to proceed safely while maintaining the integrity of the testing objectives.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4A235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S-001  |  Full System Takeover of McAfee Security Server</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C0392B"/>
                <w:sz w:val="19"/>
                <w:szCs w:val="19"/>
              </w:rPr>
              <w:t xml:space="preserve">Disabling endpoint protection across the entire hospital network during testing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Replace full takeover objective with controlled proof-of-concept validation. Demonstrate privilege escalation to administrative access without executing commands that disable security services. Document the attack path and potential impact without operationalizing the compromise.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111111"/>
                <w:sz w:val="19"/>
                <w:szCs w:val="19"/>
              </w:rPr>
              <w:t xml:space="preserve">NIST SP 800-115 — Limiting intrusiveness of attack activities to prevent unintended harm</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4A235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S-002  |  Real Credential Collection During Social Engineering (Vishing)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C0392B"/>
                <w:sz w:val="19"/>
                <w:szCs w:val="19"/>
              </w:rPr>
              <w:t xml:space="preserve">Actual domain passwords collected, stored insecurely, and never invalidated after testing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Implement a simulated credential capture mechanism that records whether an employee disclosed credentials without retaining actual values. Follow immediately with user notification and targeted security awareness training for employees who disclosed credentials.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111111"/>
                <w:sz w:val="19"/>
                <w:szCs w:val="19"/>
              </w:rPr>
              <w:t xml:space="preserve">HIPAA Administrative Safeguard Requirements; PTES Social Engineering Guidelines</w:t>
            </w:r>
          </w:p>
        </w:tc>
      </w:tr>
    </w:tbl>
    <w:p>
      <w:pPr>
        <w:spacing w:before="40" w:after="40"/>
      </w:pPr>
      <w:r>
        <w:rPr>
          <w:rFonts w:ascii="Arial" w:cs="Arial" w:eastAsia="Arial" w:hAnsi="Arial"/>
          <w:sz w:val="20"/>
          <w:szCs w:val="20"/>
        </w:rPr>
        <w:t xml:space="preserve"/>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6</w:t>
      </w:r>
      <w:r>
        <w:rPr>
          <w:rFonts w:ascii="Arial" w:cs="Arial" w:eastAsia="Arial" w:hAnsi="Arial"/>
          <w:i/>
          <w:iCs/>
          <w:color w:val="666666"/>
          <w:sz w:val="22"/>
          <w:szCs w:val="22"/>
        </w:rPr>
        <w:t xml:space="preserve">  —  Engagement Scope Summary</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following table summarizes the three testing areas included in the proposed engagement plan, their current status relative to best practices, and what additions are required before testing should proceed.</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c>
          <w:tcPr>
            <w:tcW w:type="dxa" w:w="1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Testing Area</w:t>
            </w:r>
          </w:p>
        </w:tc>
        <w:tc>
          <w:tcPr>
            <w:tcW w:type="dxa" w:w="22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Tools / Methods</w:t>
            </w:r>
          </w:p>
        </w:tc>
        <w:tc>
          <w:tcPr>
            <w:tcW w:type="dxa" w:w="16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Current Status</w:t>
            </w:r>
          </w:p>
        </w:tc>
        <w:tc>
          <w:tcPr>
            <w:tcW w:type="dxa" w:w="376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Required Additions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Internal Network Testing</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Nmap (port scanning), vulnerability scanning, privilege escalation attempts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PARTIAL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Define excluded systems; add stop conditions; restrict Active Directory escalation scope; document success criteria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External Network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Burp Suite, Nmap; reconnaissance of internet-facing hosts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Define scope boundaries for external assets; document out-of-scope third-party systems; add escalation contacts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Social Engineering (Vishing)</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Phone-based IT support impersonation to elicit domain credentials</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INADEQUATE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Replace real credential collection with simulated capture; add post-test user notification; include mandatory awareness training</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References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U.S. Department of Health &amp; Human Services. (2023). Summary of the HIPAA Security Rule. https://www.hhs.gov/hipaa/for-professionals/security/laws-regulations/index.html</w:t>
      </w:r>
    </w:p>
    <w:p>
      <w:pPr>
        <w:spacing w:before="60" w:after="60"/>
      </w:pPr>
      <w:r>
        <w:rPr>
          <w:rFonts w:ascii="Arial" w:cs="Arial" w:eastAsia="Arial" w:hAnsi="Arial"/>
          <w:sz w:val="20"/>
          <w:szCs w:val="20"/>
        </w:rPr>
        <w:t xml:space="preserve">National Institute of Standards and Technology. (2008). NIST SP 800-115 — Technical guide to information security testing and assessment. U.S. Department of Commerce.</w:t>
      </w:r>
    </w:p>
    <w:p>
      <w:pPr>
        <w:spacing w:before="60" w:after="60"/>
      </w:pPr>
      <w:r>
        <w:rPr>
          <w:rFonts w:ascii="Arial" w:cs="Arial" w:eastAsia="Arial" w:hAnsi="Arial"/>
          <w:sz w:val="20"/>
          <w:szCs w:val="20"/>
        </w:rPr>
        <w:t xml:space="preserve">National Institute of Standards and Technology. (2018). Framework for improving critical infrastructure cybersecurity (Version 1.1).</w:t>
      </w:r>
    </w:p>
    <w:p>
      <w:pPr>
        <w:spacing w:before="60" w:after="60"/>
      </w:pPr>
      <w:r>
        <w:rPr>
          <w:rFonts w:ascii="Arial" w:cs="Arial" w:eastAsia="Arial" w:hAnsi="Arial"/>
          <w:sz w:val="20"/>
          <w:szCs w:val="20"/>
        </w:rPr>
        <w:t xml:space="preserve">Penetration Testing Execution Standard (PTES). (2014). PTES technical guidelines. http://www.pentest-standard.org/</w:t>
      </w:r>
    </w:p>
    <w:p>
      <w:pPr>
        <w:spacing w:before="60" w:after="60"/>
      </w:pPr>
      <w:r>
        <w:rPr>
          <w:rFonts w:ascii="Arial" w:cs="Arial" w:eastAsia="Arial" w:hAnsi="Arial"/>
          <w:sz w:val="20"/>
          <w:szCs w:val="20"/>
        </w:rPr>
        <w:t xml:space="preserve">Open Web Application Security Project (OWASP). (2023). OWASP Web Security Testing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2026-03-17T17:48:31.776Z</dcterms:created>
  <dcterms:modified xsi:type="dcterms:W3CDTF">2026-03-17T17:48:31.776Z</dcterms:modified>
</cp:coreProperties>
</file>

<file path=docProps/custom.xml><?xml version="1.0" encoding="utf-8"?>
<Properties xmlns="http://schemas.openxmlformats.org/officeDocument/2006/custom-properties" xmlns:vt="http://schemas.openxmlformats.org/officeDocument/2006/docPropsVTypes"/>
</file>