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60D1FF" w14:textId="77777777" w:rsidR="00000000" w:rsidRDefault="00000000">
      <w:pPr>
        <w:jc w:val="center"/>
        <w:divId w:val="2120946876"/>
        <w:rPr>
          <w:rFonts w:eastAsia="Times New Roman"/>
          <w:color w:val="000000"/>
          <w:sz w:val="48"/>
          <w:szCs w:val="48"/>
          <w:lang w:val="es-ES"/>
        </w:rPr>
      </w:pPr>
      <w:r>
        <w:rPr>
          <w:rFonts w:eastAsia="Times New Roman"/>
          <w:color w:val="000000"/>
          <w:sz w:val="48"/>
          <w:szCs w:val="48"/>
          <w:lang w:val="es-ES"/>
        </w:rPr>
        <w:t>Análisis e Implementación de un Objeto Virtual de Aprendizaje (OVA) Interactivo para la Asimilación de Conceptos Formales en la Teoría General de Sistemas</w:t>
      </w:r>
    </w:p>
    <w:p w14:paraId="7D6502CB" w14:textId="3FDD9A1E" w:rsidR="00000000" w:rsidRDefault="00E842B1">
      <w:pPr>
        <w:jc w:val="center"/>
        <w:divId w:val="1861511400"/>
        <w:rPr>
          <w:rFonts w:eastAsia="Times New Roman"/>
          <w:color w:val="000000"/>
          <w:sz w:val="22"/>
          <w:szCs w:val="22"/>
          <w:lang w:val="es-ES"/>
        </w:rPr>
      </w:pPr>
      <w:proofErr w:type="spellStart"/>
      <w:r>
        <w:rPr>
          <w:rStyle w:val="Fuerte"/>
          <w:rFonts w:eastAsia="Times New Roman"/>
          <w:color w:val="000000"/>
          <w:sz w:val="22"/>
          <w:szCs w:val="22"/>
          <w:lang w:val="es-ES"/>
        </w:rPr>
        <w:t>Jhon</w:t>
      </w:r>
      <w:proofErr w:type="spellEnd"/>
      <w:r>
        <w:rPr>
          <w:rStyle w:val="Fuerte"/>
          <w:rFonts w:eastAsia="Times New Roman"/>
          <w:color w:val="000000"/>
          <w:sz w:val="22"/>
          <w:szCs w:val="22"/>
          <w:lang w:val="es-ES"/>
        </w:rPr>
        <w:t xml:space="preserve"> Alexander </w:t>
      </w:r>
      <w:proofErr w:type="spellStart"/>
      <w:r>
        <w:rPr>
          <w:rStyle w:val="Fuerte"/>
          <w:rFonts w:eastAsia="Times New Roman"/>
          <w:color w:val="000000"/>
          <w:sz w:val="22"/>
          <w:szCs w:val="22"/>
          <w:lang w:val="es-ES"/>
        </w:rPr>
        <w:t>Arevalo</w:t>
      </w:r>
      <w:proofErr w:type="spellEnd"/>
      <w:r>
        <w:rPr>
          <w:rStyle w:val="Fuerte"/>
          <w:rFonts w:eastAsia="Times New Roman"/>
          <w:color w:val="000000"/>
          <w:sz w:val="22"/>
          <w:szCs w:val="22"/>
          <w:lang w:val="es-ES"/>
        </w:rPr>
        <w:t xml:space="preserve"> Ropero</w:t>
      </w:r>
    </w:p>
    <w:p w14:paraId="272919D0" w14:textId="77777777" w:rsidR="00000000" w:rsidRDefault="00000000">
      <w:pPr>
        <w:jc w:val="center"/>
        <w:divId w:val="1090203747"/>
        <w:rPr>
          <w:rFonts w:eastAsia="Times New Roman"/>
          <w:i/>
          <w:iCs/>
          <w:color w:val="333333"/>
          <w:sz w:val="20"/>
          <w:szCs w:val="20"/>
          <w:lang w:val="es-ES"/>
        </w:rPr>
      </w:pPr>
      <w:r>
        <w:rPr>
          <w:rFonts w:eastAsia="Times New Roman"/>
          <w:i/>
          <w:iCs/>
          <w:color w:val="333333"/>
          <w:sz w:val="20"/>
          <w:szCs w:val="20"/>
          <w:lang w:val="es-ES"/>
        </w:rPr>
        <w:t>Facultad de Ingeniería, Programa de Ingeniería de Sistemas</w:t>
      </w:r>
      <w:r>
        <w:rPr>
          <w:rFonts w:eastAsia="Times New Roman"/>
          <w:i/>
          <w:iCs/>
          <w:color w:val="333333"/>
          <w:sz w:val="20"/>
          <w:szCs w:val="20"/>
          <w:lang w:val="es-ES"/>
        </w:rPr>
        <w:br/>
        <w:t>Asignatura: Teoría General de Sistemas (TGS)</w:t>
      </w:r>
      <w:r>
        <w:rPr>
          <w:rFonts w:eastAsia="Times New Roman"/>
          <w:i/>
          <w:iCs/>
          <w:color w:val="333333"/>
          <w:sz w:val="20"/>
          <w:szCs w:val="20"/>
          <w:lang w:val="es-ES"/>
        </w:rPr>
        <w:br/>
        <w:t xml:space="preserve">Docente Catedrático </w:t>
      </w:r>
    </w:p>
    <w:p w14:paraId="6ED001F9" w14:textId="77777777" w:rsidR="00000000" w:rsidRDefault="00000000">
      <w:pPr>
        <w:jc w:val="both"/>
        <w:divId w:val="544174223"/>
        <w:rPr>
          <w:rFonts w:eastAsia="Times New Roman"/>
          <w:b/>
          <w:bCs/>
          <w:i/>
          <w:iCs/>
          <w:color w:val="000000"/>
          <w:sz w:val="18"/>
          <w:szCs w:val="18"/>
          <w:lang w:val="es-ES"/>
        </w:rPr>
      </w:pPr>
      <w:r>
        <w:rPr>
          <w:rFonts w:eastAsia="Times New Roman"/>
          <w:b/>
          <w:bCs/>
          <w:i/>
          <w:iCs/>
          <w:color w:val="000000"/>
          <w:sz w:val="18"/>
          <w:szCs w:val="18"/>
          <w:lang w:val="es-ES"/>
        </w:rPr>
        <w:t>Resumen—</w:t>
      </w:r>
    </w:p>
    <w:p w14:paraId="3CE89D40" w14:textId="77777777" w:rsidR="00000000" w:rsidRDefault="00000000">
      <w:pPr>
        <w:jc w:val="both"/>
        <w:divId w:val="1482621671"/>
        <w:rPr>
          <w:rFonts w:eastAsia="Times New Roman"/>
          <w:color w:val="000000"/>
          <w:sz w:val="18"/>
          <w:szCs w:val="18"/>
          <w:lang w:val="es-ES"/>
        </w:rPr>
      </w:pPr>
      <w:r>
        <w:rPr>
          <w:rFonts w:eastAsia="Times New Roman"/>
          <w:color w:val="000000"/>
          <w:sz w:val="18"/>
          <w:szCs w:val="18"/>
          <w:lang w:val="es-ES"/>
        </w:rPr>
        <w:t xml:space="preserve">El presente artículo expone el diseño, la metodología y los fundamentos cibernéticos de un Objeto Virtual de Aprendizaje (OVA) desarrollado para la enseñanza-aprendizaje de las definiciones formales básicas de la Teoría General de Sistemas (TGS): entrada, proceso, salida y retroalimentación. Frente a la naturaleza abstracta de estos conceptos seminales, propuestos por Karl Ludwig </w:t>
      </w:r>
      <w:proofErr w:type="spellStart"/>
      <w:r>
        <w:rPr>
          <w:rFonts w:eastAsia="Times New Roman"/>
          <w:color w:val="000000"/>
          <w:sz w:val="18"/>
          <w:szCs w:val="18"/>
          <w:lang w:val="es-ES"/>
        </w:rPr>
        <w:t>von</w:t>
      </w:r>
      <w:proofErr w:type="spellEnd"/>
      <w:r>
        <w:rPr>
          <w:rFonts w:eastAsia="Times New Roman"/>
          <w:color w:val="000000"/>
          <w:sz w:val="18"/>
          <w:szCs w:val="18"/>
          <w:lang w:val="es-ES"/>
        </w:rPr>
        <w:t xml:space="preserve"> Bertalanffy y Norbert Wiener, se propone una arquitectura de software interactiva de código abierto (HTML, CSS y JavaScript). Dicha herramienta incorpora simulaciones dinámicas y técnicas de gamificación, permitiendo a los estudiantes experimentar activamente la homeostasis (lazo de control negativo) y el colapso dinámico (lazo de control positivo). Se evalúa el impacto metodológico de esta plataforma mediante simulaciones cuantitativas del equilibrio biológico en un ecosistema controlado, logrando demostrar que la interacción visual directa facilita una asimilación cognitiva superior respecto a las cátedras expositivas tradicionales.</w:t>
      </w:r>
    </w:p>
    <w:p w14:paraId="42E57A64" w14:textId="77777777" w:rsidR="00000000" w:rsidRDefault="00000000">
      <w:pPr>
        <w:jc w:val="both"/>
        <w:divId w:val="988747362"/>
        <w:rPr>
          <w:rFonts w:eastAsia="Times New Roman"/>
          <w:b/>
          <w:bCs/>
          <w:i/>
          <w:iCs/>
          <w:color w:val="000000"/>
          <w:sz w:val="18"/>
          <w:szCs w:val="18"/>
          <w:lang w:val="es-ES"/>
        </w:rPr>
      </w:pPr>
      <w:r>
        <w:rPr>
          <w:rFonts w:eastAsia="Times New Roman"/>
          <w:b/>
          <w:bCs/>
          <w:i/>
          <w:iCs/>
          <w:color w:val="000000"/>
          <w:sz w:val="18"/>
          <w:szCs w:val="18"/>
          <w:lang w:val="es-ES"/>
        </w:rPr>
        <w:t>Palabras clave—</w:t>
      </w:r>
    </w:p>
    <w:p w14:paraId="78951582" w14:textId="77777777" w:rsidR="00000000" w:rsidRDefault="00000000">
      <w:pPr>
        <w:jc w:val="both"/>
        <w:divId w:val="1006206350"/>
        <w:rPr>
          <w:rFonts w:eastAsia="Times New Roman"/>
          <w:color w:val="000000"/>
          <w:sz w:val="18"/>
          <w:szCs w:val="18"/>
          <w:lang w:val="es-ES"/>
        </w:rPr>
      </w:pPr>
      <w:r>
        <w:rPr>
          <w:rFonts w:eastAsia="Times New Roman"/>
          <w:color w:val="000000"/>
          <w:sz w:val="18"/>
          <w:szCs w:val="18"/>
          <w:lang w:val="es-ES"/>
        </w:rPr>
        <w:t>Objeto Virtual de Aprendizaje (OVA), Teoría General de Sistemas (TGS), Retroalimentación, Homeostasis, Cibernética, Educación Activa.</w:t>
      </w:r>
    </w:p>
    <w:p w14:paraId="0A670B80" w14:textId="77777777" w:rsidR="00000000" w:rsidRDefault="00000000">
      <w:pPr>
        <w:pStyle w:val="Ttulo1"/>
        <w:rPr>
          <w:rFonts w:eastAsia="Times New Roman"/>
          <w:color w:val="000000"/>
          <w:lang w:val="es-ES"/>
        </w:rPr>
      </w:pPr>
      <w:r>
        <w:rPr>
          <w:rFonts w:eastAsia="Times New Roman"/>
          <w:color w:val="000000"/>
          <w:lang w:val="es-ES"/>
        </w:rPr>
        <w:t>I. Introducción</w:t>
      </w:r>
    </w:p>
    <w:p w14:paraId="2E30D6F0" w14:textId="77777777" w:rsidR="00000000" w:rsidRDefault="00000000">
      <w:pPr>
        <w:pStyle w:val="NormalWeb"/>
        <w:jc w:val="both"/>
        <w:rPr>
          <w:color w:val="000000"/>
          <w:sz w:val="20"/>
          <w:szCs w:val="20"/>
          <w:lang w:val="es-ES"/>
        </w:rPr>
      </w:pPr>
      <w:r>
        <w:rPr>
          <w:color w:val="000000"/>
          <w:sz w:val="20"/>
          <w:szCs w:val="20"/>
          <w:lang w:val="es-ES"/>
        </w:rPr>
        <w:t xml:space="preserve">La Teoría General de Sistemas (TGS), formulada a mediados del siglo XX por el biólogo Karl Ludwig </w:t>
      </w:r>
      <w:proofErr w:type="spellStart"/>
      <w:r>
        <w:rPr>
          <w:color w:val="000000"/>
          <w:sz w:val="20"/>
          <w:szCs w:val="20"/>
          <w:lang w:val="es-ES"/>
        </w:rPr>
        <w:t>von</w:t>
      </w:r>
      <w:proofErr w:type="spellEnd"/>
      <w:r>
        <w:rPr>
          <w:color w:val="000000"/>
          <w:sz w:val="20"/>
          <w:szCs w:val="20"/>
          <w:lang w:val="es-ES"/>
        </w:rPr>
        <w:t xml:space="preserve"> Bertalanffy, surgió con el fin de proporcionar un marco metodológico e integrador común para las ciencias físicas, biológicas y sociales [1]. Uno de los desafíos constantes en la formación académica en ingeniería consiste en lograr que el estudiante transite desde la asimilación memorística de fórmulas y taxonomías hacia una comprensión holística y sistémica de la realidad dinámica. Los sistemas complejos abiertos —aquellos que mantienen intercambios constantes de energía, materia e información con su entorno— no pueden ser analizados mediante el reduccionismo clásico cartesiano.</w:t>
      </w:r>
    </w:p>
    <w:p w14:paraId="22B279D3" w14:textId="77777777" w:rsidR="00000000" w:rsidRDefault="00000000">
      <w:pPr>
        <w:pStyle w:val="NormalWeb"/>
        <w:jc w:val="both"/>
        <w:rPr>
          <w:color w:val="000000"/>
          <w:sz w:val="20"/>
          <w:szCs w:val="20"/>
          <w:lang w:val="es-ES"/>
        </w:rPr>
      </w:pPr>
      <w:r>
        <w:rPr>
          <w:color w:val="000000"/>
          <w:sz w:val="20"/>
          <w:szCs w:val="20"/>
          <w:lang w:val="es-ES"/>
        </w:rPr>
        <w:t>En este escenario, conceptos como la corriente de entrada (input), el proceso de transformación (sinergia interna y caja negra), la corriente de salida (output) y la cibernética del control mediante lazos de retroalimentación (</w:t>
      </w:r>
      <w:proofErr w:type="spellStart"/>
      <w:r>
        <w:rPr>
          <w:color w:val="000000"/>
          <w:sz w:val="20"/>
          <w:szCs w:val="20"/>
          <w:lang w:val="es-ES"/>
        </w:rPr>
        <w:t>feedback</w:t>
      </w:r>
      <w:proofErr w:type="spellEnd"/>
      <w:r>
        <w:rPr>
          <w:color w:val="000000"/>
          <w:sz w:val="20"/>
          <w:szCs w:val="20"/>
          <w:lang w:val="es-ES"/>
        </w:rPr>
        <w:t>) suelen resultar esquivos o excesivamente abstractos para el alumnado. El presente artículo detalla el diseño, la justificación estructural y el análisis funcional de un Objeto Virtual de Aprendizaje (OVA) concebido como un entorno de aprendizaje activo de alta gama visual. A través de este recurso de software, el estudiante se transforma en un agente activo que altera variables perturbadoras del entorno para presenciar, en tiempo real, el comportamiento dinámico de los sistemas reales.</w:t>
      </w:r>
    </w:p>
    <w:p w14:paraId="33F855D1" w14:textId="77777777" w:rsidR="00000000" w:rsidRDefault="00000000">
      <w:pPr>
        <w:pStyle w:val="Ttulo1"/>
        <w:rPr>
          <w:rFonts w:eastAsia="Times New Roman"/>
          <w:color w:val="000000"/>
          <w:lang w:val="es-ES"/>
        </w:rPr>
      </w:pPr>
      <w:r>
        <w:rPr>
          <w:rFonts w:eastAsia="Times New Roman"/>
          <w:color w:val="000000"/>
          <w:lang w:val="es-ES"/>
        </w:rPr>
        <w:t>II. Contexto y Justificación del Recurso</w:t>
      </w:r>
    </w:p>
    <w:p w14:paraId="5900F550" w14:textId="77777777" w:rsidR="00000000" w:rsidRDefault="00000000">
      <w:pPr>
        <w:pStyle w:val="NormalWeb"/>
        <w:jc w:val="both"/>
        <w:rPr>
          <w:color w:val="000000"/>
          <w:sz w:val="20"/>
          <w:szCs w:val="20"/>
          <w:lang w:val="es-ES"/>
        </w:rPr>
      </w:pPr>
      <w:r>
        <w:rPr>
          <w:color w:val="000000"/>
          <w:sz w:val="20"/>
          <w:szCs w:val="20"/>
          <w:lang w:val="es-ES"/>
        </w:rPr>
        <w:t>El diseño instruccional moderno demanda que los materiales didácticos sean interactivos, accesibles y con una experiencia de usuario (UX) sobresaliente para mantener el enfoque del estudiante. El OVA desarrollado se diseñó bajo una estética de vanguardia denominada "</w:t>
      </w:r>
      <w:proofErr w:type="spellStart"/>
      <w:r>
        <w:rPr>
          <w:color w:val="000000"/>
          <w:sz w:val="20"/>
          <w:szCs w:val="20"/>
          <w:lang w:val="es-ES"/>
        </w:rPr>
        <w:t>Cyber</w:t>
      </w:r>
      <w:proofErr w:type="spellEnd"/>
      <w:r>
        <w:rPr>
          <w:color w:val="000000"/>
          <w:sz w:val="20"/>
          <w:szCs w:val="20"/>
          <w:lang w:val="es-ES"/>
        </w:rPr>
        <w:t>-Tech", la cual incorpora técnicas de desarrollo visual contemporáneas, tales como el *</w:t>
      </w:r>
      <w:proofErr w:type="spellStart"/>
      <w:r>
        <w:rPr>
          <w:color w:val="000000"/>
          <w:sz w:val="20"/>
          <w:szCs w:val="20"/>
          <w:lang w:val="es-ES"/>
        </w:rPr>
        <w:t>glassmorphism</w:t>
      </w:r>
      <w:proofErr w:type="spellEnd"/>
      <w:r>
        <w:rPr>
          <w:color w:val="000000"/>
          <w:sz w:val="20"/>
          <w:szCs w:val="20"/>
          <w:lang w:val="es-ES"/>
        </w:rPr>
        <w:t xml:space="preserve">* (efecto de cristal translúcido), contrastes cromáticos </w:t>
      </w:r>
      <w:r>
        <w:rPr>
          <w:color w:val="000000"/>
          <w:sz w:val="20"/>
          <w:szCs w:val="20"/>
          <w:lang w:val="es-ES"/>
        </w:rPr>
        <w:lastRenderedPageBreak/>
        <w:t xml:space="preserve">HSL adaptados de alta legibilidad en modo oscuro, y tipografía limpia de Google Fonts (*Outfit* y *Space </w:t>
      </w:r>
      <w:proofErr w:type="spellStart"/>
      <w:r>
        <w:rPr>
          <w:color w:val="000000"/>
          <w:sz w:val="20"/>
          <w:szCs w:val="20"/>
          <w:lang w:val="es-ES"/>
        </w:rPr>
        <w:t>Grotesk</w:t>
      </w:r>
      <w:proofErr w:type="spellEnd"/>
      <w:r>
        <w:rPr>
          <w:color w:val="000000"/>
          <w:sz w:val="20"/>
          <w:szCs w:val="20"/>
          <w:lang w:val="es-ES"/>
        </w:rPr>
        <w:t>*).</w:t>
      </w:r>
    </w:p>
    <w:p w14:paraId="14CFD55B" w14:textId="77777777" w:rsidR="00000000" w:rsidRDefault="00000000">
      <w:pPr>
        <w:pStyle w:val="NormalWeb"/>
        <w:jc w:val="both"/>
        <w:rPr>
          <w:color w:val="000000"/>
          <w:sz w:val="20"/>
          <w:szCs w:val="20"/>
          <w:lang w:val="es-ES"/>
        </w:rPr>
      </w:pPr>
      <w:r>
        <w:rPr>
          <w:color w:val="000000"/>
          <w:sz w:val="20"/>
          <w:szCs w:val="20"/>
          <w:lang w:val="es-ES"/>
        </w:rPr>
        <w:t>La justificación de esta propuesta radica en que la interactividad visual rompe el paradigma pasivo de la educación tradicional. El OVA no solo expone las bases conceptuales, sino que proporciona un laboratorio virtual interactivo de lazo cerrado. Al brindar retroalimentación inmediata durante los ejercicios de clasificación (gamificación) y las simulaciones termodinámicas, se estimula la consolidación de la memoria a largo plazo a través de la experimentación (aprendizaje vivencial o pragmático).</w:t>
      </w:r>
    </w:p>
    <w:p w14:paraId="0438CEFE" w14:textId="77777777" w:rsidR="00000000" w:rsidRDefault="00000000">
      <w:pPr>
        <w:pStyle w:val="Ttulo1"/>
        <w:rPr>
          <w:rFonts w:eastAsia="Times New Roman"/>
          <w:color w:val="000000"/>
          <w:lang w:val="es-ES"/>
        </w:rPr>
      </w:pPr>
      <w:r>
        <w:rPr>
          <w:rFonts w:eastAsia="Times New Roman"/>
          <w:color w:val="000000"/>
          <w:lang w:val="es-ES"/>
        </w:rPr>
        <w:t>III. Marco Conceptual de las Definiciones Formales</w:t>
      </w:r>
    </w:p>
    <w:p w14:paraId="12698BF7" w14:textId="77777777" w:rsidR="00000000" w:rsidRDefault="00000000">
      <w:pPr>
        <w:pStyle w:val="NormalWeb"/>
        <w:jc w:val="both"/>
        <w:rPr>
          <w:color w:val="000000"/>
          <w:sz w:val="20"/>
          <w:szCs w:val="20"/>
          <w:lang w:val="es-ES"/>
        </w:rPr>
      </w:pPr>
      <w:r>
        <w:rPr>
          <w:color w:val="000000"/>
          <w:sz w:val="20"/>
          <w:szCs w:val="20"/>
          <w:lang w:val="es-ES"/>
        </w:rPr>
        <w:t>La base analítica del sistema propuesto descansa sobre la estructura formal de un sistema abierto, descrita matemáticamente a través de los cuatro componentes clave analizados a continuación:</w:t>
      </w:r>
    </w:p>
    <w:p w14:paraId="762B4437" w14:textId="77777777" w:rsidR="00000000" w:rsidRDefault="00000000">
      <w:pPr>
        <w:pStyle w:val="Ttulo2"/>
        <w:rPr>
          <w:rFonts w:eastAsia="Times New Roman"/>
          <w:color w:val="000000"/>
          <w:lang w:val="es-ES"/>
        </w:rPr>
      </w:pPr>
      <w:r>
        <w:rPr>
          <w:rFonts w:eastAsia="Times New Roman"/>
          <w:color w:val="000000"/>
          <w:lang w:val="es-ES"/>
        </w:rPr>
        <w:t>A. Entrada (Input)</w:t>
      </w:r>
    </w:p>
    <w:p w14:paraId="74E4E8BD" w14:textId="77777777" w:rsidR="00000000" w:rsidRDefault="00000000">
      <w:pPr>
        <w:pStyle w:val="NormalWeb"/>
        <w:jc w:val="both"/>
        <w:rPr>
          <w:color w:val="000000"/>
          <w:sz w:val="20"/>
          <w:szCs w:val="20"/>
          <w:lang w:val="es-ES"/>
        </w:rPr>
      </w:pPr>
      <w:r>
        <w:rPr>
          <w:color w:val="000000"/>
          <w:sz w:val="20"/>
          <w:szCs w:val="20"/>
          <w:lang w:val="es-ES"/>
        </w:rPr>
        <w:t>Representa la fuerza de arranque, importación o alimentación que introduce recursos indispensables al sistema desde el medio ambiente. Ningún sistema abierto posee autarquía total; depende del entorno para recibir materia prima (recursos tangibles), energía (fuerzas electromotrices, térmicas, metabólicas) e información (señales de orientación, datos iniciales) [2]. Desde la termodinámica, la entrada es el canal mediante el cual el sistema importa *</w:t>
      </w:r>
      <w:proofErr w:type="spellStart"/>
      <w:r>
        <w:rPr>
          <w:color w:val="000000"/>
          <w:sz w:val="20"/>
          <w:szCs w:val="20"/>
          <w:lang w:val="es-ES"/>
        </w:rPr>
        <w:t>negentropía</w:t>
      </w:r>
      <w:proofErr w:type="spellEnd"/>
      <w:r>
        <w:rPr>
          <w:color w:val="000000"/>
          <w:sz w:val="20"/>
          <w:szCs w:val="20"/>
          <w:lang w:val="es-ES"/>
        </w:rPr>
        <w:t>* (orden) para contrarrestar la degradación.</w:t>
      </w:r>
    </w:p>
    <w:p w14:paraId="0CC1971F" w14:textId="77777777" w:rsidR="00000000" w:rsidRDefault="00000000">
      <w:pPr>
        <w:pStyle w:val="Ttulo2"/>
        <w:rPr>
          <w:rFonts w:eastAsia="Times New Roman"/>
          <w:color w:val="000000"/>
          <w:lang w:val="es-ES"/>
        </w:rPr>
      </w:pPr>
      <w:r>
        <w:rPr>
          <w:rFonts w:eastAsia="Times New Roman"/>
          <w:color w:val="000000"/>
          <w:lang w:val="es-ES"/>
        </w:rPr>
        <w:t>B. Proceso (Transformación o Caja Negra)</w:t>
      </w:r>
    </w:p>
    <w:p w14:paraId="79CF287F" w14:textId="77777777" w:rsidR="00000000" w:rsidRDefault="00000000">
      <w:pPr>
        <w:pStyle w:val="NormalWeb"/>
        <w:jc w:val="both"/>
        <w:rPr>
          <w:color w:val="000000"/>
          <w:sz w:val="20"/>
          <w:szCs w:val="20"/>
          <w:lang w:val="es-ES"/>
        </w:rPr>
      </w:pPr>
      <w:r>
        <w:rPr>
          <w:color w:val="000000"/>
          <w:sz w:val="20"/>
          <w:szCs w:val="20"/>
          <w:lang w:val="es-ES"/>
        </w:rPr>
        <w:t xml:space="preserve">Consiste en la corriente de cambio interno y sinergia donde las entradas son reestructuradas, metabolizadas o alteradas </w:t>
      </w:r>
      <w:proofErr w:type="gramStart"/>
      <w:r>
        <w:rPr>
          <w:color w:val="000000"/>
          <w:sz w:val="20"/>
          <w:szCs w:val="20"/>
          <w:lang w:val="es-ES"/>
        </w:rPr>
        <w:t>químicamente, físicamente o lógicamente</w:t>
      </w:r>
      <w:proofErr w:type="gramEnd"/>
      <w:r>
        <w:rPr>
          <w:color w:val="000000"/>
          <w:sz w:val="20"/>
          <w:szCs w:val="20"/>
          <w:lang w:val="es-ES"/>
        </w:rPr>
        <w:t xml:space="preserve"> para generar salidas. El término **Caja Negra** (*Black Box*) se aplica cuando el mecanismo interno es de tal complejidad o inaccesibilidad que solo nos interesa evaluar las relaciones de transferencia causa-efecto (qué sale del sistema a partir de determinados estímulos de entrada) [3].</w:t>
      </w:r>
    </w:p>
    <w:p w14:paraId="1B517EBC" w14:textId="77777777" w:rsidR="00000000" w:rsidRDefault="00000000">
      <w:pPr>
        <w:pStyle w:val="Ttulo2"/>
        <w:rPr>
          <w:rFonts w:eastAsia="Times New Roman"/>
          <w:color w:val="000000"/>
          <w:lang w:val="es-ES"/>
        </w:rPr>
      </w:pPr>
      <w:r>
        <w:rPr>
          <w:rFonts w:eastAsia="Times New Roman"/>
          <w:color w:val="000000"/>
          <w:lang w:val="es-ES"/>
        </w:rPr>
        <w:t>C. Salida (Output)</w:t>
      </w:r>
    </w:p>
    <w:p w14:paraId="2077A9AC" w14:textId="77777777" w:rsidR="00000000" w:rsidRDefault="00000000">
      <w:pPr>
        <w:pStyle w:val="NormalWeb"/>
        <w:jc w:val="both"/>
        <w:rPr>
          <w:color w:val="000000"/>
          <w:sz w:val="20"/>
          <w:szCs w:val="20"/>
          <w:lang w:val="es-ES"/>
        </w:rPr>
      </w:pPr>
      <w:r>
        <w:rPr>
          <w:color w:val="000000"/>
          <w:sz w:val="20"/>
          <w:szCs w:val="20"/>
          <w:lang w:val="es-ES"/>
        </w:rPr>
        <w:t>Corresponde a la exportación de los resultados del procesamiento hacia el exterior. Cumple el propósito sistémico (bienes y servicios útiles) pero inevitablemente incluye la disipación de calor, fugas y subproductos degradados (desechos) que aumentan la entropía del entorno receptor.</w:t>
      </w:r>
    </w:p>
    <w:p w14:paraId="29B4E7E1" w14:textId="77777777" w:rsidR="00000000" w:rsidRDefault="00000000">
      <w:pPr>
        <w:pStyle w:val="Ttulo2"/>
        <w:rPr>
          <w:rFonts w:eastAsia="Times New Roman"/>
          <w:color w:val="000000"/>
          <w:lang w:val="es-ES"/>
        </w:rPr>
      </w:pPr>
      <w:r>
        <w:rPr>
          <w:rFonts w:eastAsia="Times New Roman"/>
          <w:color w:val="000000"/>
          <w:lang w:val="es-ES"/>
        </w:rPr>
        <w:t>D. Retroalimentación (</w:t>
      </w:r>
      <w:proofErr w:type="spellStart"/>
      <w:r>
        <w:rPr>
          <w:rFonts w:eastAsia="Times New Roman"/>
          <w:color w:val="000000"/>
          <w:lang w:val="es-ES"/>
        </w:rPr>
        <w:t>Feedback</w:t>
      </w:r>
      <w:proofErr w:type="spellEnd"/>
      <w:r>
        <w:rPr>
          <w:rFonts w:eastAsia="Times New Roman"/>
          <w:color w:val="000000"/>
          <w:lang w:val="es-ES"/>
        </w:rPr>
        <w:t xml:space="preserve"> </w:t>
      </w:r>
      <w:proofErr w:type="spellStart"/>
      <w:r>
        <w:rPr>
          <w:rFonts w:eastAsia="Times New Roman"/>
          <w:color w:val="000000"/>
          <w:lang w:val="es-ES"/>
        </w:rPr>
        <w:t>Loops</w:t>
      </w:r>
      <w:proofErr w:type="spellEnd"/>
      <w:r>
        <w:rPr>
          <w:rFonts w:eastAsia="Times New Roman"/>
          <w:color w:val="000000"/>
          <w:lang w:val="es-ES"/>
        </w:rPr>
        <w:t>)</w:t>
      </w:r>
    </w:p>
    <w:p w14:paraId="1C3065A7" w14:textId="77777777" w:rsidR="00000000" w:rsidRDefault="00000000">
      <w:pPr>
        <w:pStyle w:val="NormalWeb"/>
        <w:jc w:val="both"/>
        <w:rPr>
          <w:color w:val="000000"/>
          <w:sz w:val="20"/>
          <w:szCs w:val="20"/>
          <w:lang w:val="es-ES"/>
        </w:rPr>
      </w:pPr>
      <w:r>
        <w:rPr>
          <w:color w:val="000000"/>
          <w:sz w:val="20"/>
          <w:szCs w:val="20"/>
          <w:lang w:val="es-ES"/>
        </w:rPr>
        <w:t>Es la función regulatoria descrita por la Cibernética de Norbert Wiener [4]. Ocurre cuando parte de la salida de un sistema regresa a la entrada en forma de información de control. Existen dos lazos fundamentales con efectos contrapuestos sobre la estabilidad dinámica del sistema:</w:t>
      </w:r>
    </w:p>
    <w:p w14:paraId="07B87304" w14:textId="77777777" w:rsidR="00000000" w:rsidRDefault="00000000">
      <w:pPr>
        <w:numPr>
          <w:ilvl w:val="0"/>
          <w:numId w:val="1"/>
        </w:numPr>
        <w:spacing w:before="100" w:beforeAutospacing="1" w:after="60"/>
        <w:ind w:left="1080"/>
        <w:jc w:val="both"/>
        <w:rPr>
          <w:rFonts w:eastAsia="Times New Roman"/>
          <w:color w:val="000000"/>
          <w:sz w:val="20"/>
          <w:szCs w:val="20"/>
          <w:lang w:val="es-ES"/>
        </w:rPr>
      </w:pPr>
      <w:r>
        <w:rPr>
          <w:rStyle w:val="Fuerte"/>
          <w:rFonts w:eastAsia="Times New Roman"/>
          <w:color w:val="000000"/>
          <w:sz w:val="20"/>
          <w:szCs w:val="20"/>
          <w:lang w:val="es-ES"/>
        </w:rPr>
        <w:t>Retroalimentación Negativa (Estabilizadora):</w:t>
      </w:r>
      <w:r>
        <w:rPr>
          <w:rFonts w:eastAsia="Times New Roman"/>
          <w:color w:val="000000"/>
          <w:sz w:val="20"/>
          <w:szCs w:val="20"/>
          <w:lang w:val="es-ES"/>
        </w:rPr>
        <w:t xml:space="preserve"> Corrige la desviación reduciendo la potencia del sistema si se excede la meta, o aumentándola si queda corto. Mantiene el equilibrio dinámico o **Homeostasis** (ej. la regulación de temperatura corporal, el equilibrio ecológico).</w:t>
      </w:r>
    </w:p>
    <w:p w14:paraId="4A210E89" w14:textId="77777777" w:rsidR="00000000" w:rsidRDefault="00000000">
      <w:pPr>
        <w:numPr>
          <w:ilvl w:val="0"/>
          <w:numId w:val="1"/>
        </w:numPr>
        <w:spacing w:before="100" w:beforeAutospacing="1" w:after="60"/>
        <w:ind w:left="1080"/>
        <w:jc w:val="both"/>
        <w:rPr>
          <w:rFonts w:eastAsia="Times New Roman"/>
          <w:color w:val="000000"/>
          <w:sz w:val="20"/>
          <w:szCs w:val="20"/>
          <w:lang w:val="es-ES"/>
        </w:rPr>
      </w:pPr>
      <w:r>
        <w:rPr>
          <w:rStyle w:val="Fuerte"/>
          <w:rFonts w:eastAsia="Times New Roman"/>
          <w:color w:val="000000"/>
          <w:sz w:val="20"/>
          <w:szCs w:val="20"/>
          <w:lang w:val="es-ES"/>
        </w:rPr>
        <w:t>Retroalimentación Positiva (Caótica/Amplificadora):</w:t>
      </w:r>
      <w:r>
        <w:rPr>
          <w:rFonts w:eastAsia="Times New Roman"/>
          <w:color w:val="000000"/>
          <w:sz w:val="20"/>
          <w:szCs w:val="20"/>
          <w:lang w:val="es-ES"/>
        </w:rPr>
        <w:t xml:space="preserve"> Refuerza y amplifica la desviación inicial en el mismo sentido, provocando crecimiento exponencial o una espiral destructiva fuera de límites (ej. el acople de sonido, el crecimiento poblacional descontrolado, pánicos económicos).</w:t>
      </w:r>
    </w:p>
    <w:p w14:paraId="71376C71" w14:textId="77777777" w:rsidR="00000000" w:rsidRDefault="00000000">
      <w:pPr>
        <w:pStyle w:val="Ttulo1"/>
        <w:rPr>
          <w:rFonts w:eastAsia="Times New Roman"/>
          <w:color w:val="000000"/>
          <w:lang w:val="es-ES"/>
        </w:rPr>
      </w:pPr>
      <w:r>
        <w:rPr>
          <w:rFonts w:eastAsia="Times New Roman"/>
          <w:color w:val="000000"/>
          <w:lang w:val="es-ES"/>
        </w:rPr>
        <w:t>IV. Metodología e Implementación de Software</w:t>
      </w:r>
    </w:p>
    <w:p w14:paraId="7648209C" w14:textId="77777777" w:rsidR="00000000" w:rsidRDefault="00000000">
      <w:pPr>
        <w:pStyle w:val="NormalWeb"/>
        <w:jc w:val="both"/>
        <w:rPr>
          <w:color w:val="000000"/>
          <w:sz w:val="20"/>
          <w:szCs w:val="20"/>
          <w:lang w:val="es-ES"/>
        </w:rPr>
      </w:pPr>
      <w:r>
        <w:rPr>
          <w:color w:val="000000"/>
          <w:sz w:val="20"/>
          <w:szCs w:val="20"/>
          <w:lang w:val="es-ES"/>
        </w:rPr>
        <w:t>La plataforma interactiva se programó en lenguajes nativos del lado del cliente para garantizar accesibilidad universal sin dependencias de red o de instalación. Los componentes desarrollados se dividen en:</w:t>
      </w:r>
    </w:p>
    <w:p w14:paraId="481800B9" w14:textId="77777777" w:rsidR="00000000" w:rsidRDefault="00000000">
      <w:pPr>
        <w:pStyle w:val="Ttulo2"/>
        <w:rPr>
          <w:rFonts w:eastAsia="Times New Roman"/>
          <w:color w:val="000000"/>
          <w:lang w:val="es-ES"/>
        </w:rPr>
      </w:pPr>
      <w:r>
        <w:rPr>
          <w:rFonts w:eastAsia="Times New Roman"/>
          <w:color w:val="000000"/>
          <w:lang w:val="es-ES"/>
        </w:rPr>
        <w:t>A. Módulo Conceptual Interactivo</w:t>
      </w:r>
    </w:p>
    <w:p w14:paraId="5BE0A361" w14:textId="77777777" w:rsidR="00000000" w:rsidRDefault="00000000">
      <w:pPr>
        <w:pStyle w:val="NormalWeb"/>
        <w:jc w:val="both"/>
        <w:rPr>
          <w:color w:val="000000"/>
          <w:sz w:val="20"/>
          <w:szCs w:val="20"/>
          <w:lang w:val="es-ES"/>
        </w:rPr>
      </w:pPr>
      <w:r>
        <w:rPr>
          <w:color w:val="000000"/>
          <w:sz w:val="20"/>
          <w:szCs w:val="20"/>
          <w:lang w:val="es-ES"/>
        </w:rPr>
        <w:t xml:space="preserve">Incorpora un diagrama dinámico en formato de Gráficos Vectoriales </w:t>
      </w:r>
      <w:proofErr w:type="spellStart"/>
      <w:r>
        <w:rPr>
          <w:color w:val="000000"/>
          <w:sz w:val="20"/>
          <w:szCs w:val="20"/>
          <w:lang w:val="es-ES"/>
        </w:rPr>
        <w:t>Redimensionables</w:t>
      </w:r>
      <w:proofErr w:type="spellEnd"/>
      <w:r>
        <w:rPr>
          <w:color w:val="000000"/>
          <w:sz w:val="20"/>
          <w:szCs w:val="20"/>
          <w:lang w:val="es-ES"/>
        </w:rPr>
        <w:t xml:space="preserve"> (SVG). Al hacer clic en los nodos de Entrada, Proceso o Salida, se activa un manejador de eventos en JavaScript que lee arreglos de </w:t>
      </w:r>
      <w:r>
        <w:rPr>
          <w:color w:val="000000"/>
          <w:sz w:val="20"/>
          <w:szCs w:val="20"/>
          <w:lang w:val="es-ES"/>
        </w:rPr>
        <w:lastRenderedPageBreak/>
        <w:t>objetos detallados y actualiza un contenedor dinámico con citas académicas y ejemplos. Las tuberías de interconexión SVG pulsan y animan sus guiones (`</w:t>
      </w:r>
      <w:proofErr w:type="spellStart"/>
      <w:r>
        <w:rPr>
          <w:color w:val="000000"/>
          <w:sz w:val="20"/>
          <w:szCs w:val="20"/>
          <w:lang w:val="es-ES"/>
        </w:rPr>
        <w:t>stroke-dasharray</w:t>
      </w:r>
      <w:proofErr w:type="spellEnd"/>
      <w:r>
        <w:rPr>
          <w:color w:val="000000"/>
          <w:sz w:val="20"/>
          <w:szCs w:val="20"/>
          <w:lang w:val="es-ES"/>
        </w:rPr>
        <w:t>`) simulando el flujo de los recursos en tiempo real.</w:t>
      </w:r>
    </w:p>
    <w:p w14:paraId="53E8A8D6" w14:textId="77777777" w:rsidR="00000000" w:rsidRDefault="00000000">
      <w:pPr>
        <w:pStyle w:val="Ttulo2"/>
        <w:rPr>
          <w:rFonts w:eastAsia="Times New Roman"/>
          <w:color w:val="000000"/>
          <w:lang w:val="es-ES"/>
        </w:rPr>
      </w:pPr>
      <w:r>
        <w:rPr>
          <w:rFonts w:eastAsia="Times New Roman"/>
          <w:color w:val="000000"/>
          <w:lang w:val="es-ES"/>
        </w:rPr>
        <w:t>B. Juego 1: "</w:t>
      </w:r>
      <w:proofErr w:type="spellStart"/>
      <w:r>
        <w:rPr>
          <w:rFonts w:eastAsia="Times New Roman"/>
          <w:color w:val="000000"/>
          <w:lang w:val="es-ES"/>
        </w:rPr>
        <w:t>System</w:t>
      </w:r>
      <w:proofErr w:type="spellEnd"/>
      <w:r>
        <w:rPr>
          <w:rFonts w:eastAsia="Times New Roman"/>
          <w:color w:val="000000"/>
          <w:lang w:val="es-ES"/>
        </w:rPr>
        <w:t xml:space="preserve"> </w:t>
      </w:r>
      <w:proofErr w:type="spellStart"/>
      <w:r>
        <w:rPr>
          <w:rFonts w:eastAsia="Times New Roman"/>
          <w:color w:val="000000"/>
          <w:lang w:val="es-ES"/>
        </w:rPr>
        <w:t>Architect</w:t>
      </w:r>
      <w:proofErr w:type="spellEnd"/>
      <w:r>
        <w:rPr>
          <w:rFonts w:eastAsia="Times New Roman"/>
          <w:color w:val="000000"/>
          <w:lang w:val="es-ES"/>
        </w:rPr>
        <w:t>"</w:t>
      </w:r>
    </w:p>
    <w:p w14:paraId="1FA20976" w14:textId="77777777" w:rsidR="00000000" w:rsidRDefault="00000000">
      <w:pPr>
        <w:pStyle w:val="NormalWeb"/>
        <w:jc w:val="both"/>
        <w:rPr>
          <w:color w:val="000000"/>
          <w:sz w:val="20"/>
          <w:szCs w:val="20"/>
          <w:lang w:val="es-ES"/>
        </w:rPr>
      </w:pPr>
      <w:r>
        <w:rPr>
          <w:color w:val="000000"/>
          <w:sz w:val="20"/>
          <w:szCs w:val="20"/>
          <w:lang w:val="es-ES"/>
        </w:rPr>
        <w:t>Diseñado bajo mecánicas de gamificación. Propone al estudiante la reconstrucción funcional de dos sistemas con diferentes naturalezas (un Cajero Automático y una Planta Purificadora). El usuario clasifica los componentes flotantes mediante arrastre (*drag-and-</w:t>
      </w:r>
      <w:proofErr w:type="spellStart"/>
      <w:r>
        <w:rPr>
          <w:color w:val="000000"/>
          <w:sz w:val="20"/>
          <w:szCs w:val="20"/>
          <w:lang w:val="es-ES"/>
        </w:rPr>
        <w:t>drop</w:t>
      </w:r>
      <w:proofErr w:type="spellEnd"/>
      <w:r>
        <w:rPr>
          <w:color w:val="000000"/>
          <w:sz w:val="20"/>
          <w:szCs w:val="20"/>
          <w:lang w:val="es-ES"/>
        </w:rPr>
        <w:t>*) o por clics táctiles. El sistema valida si el rol del componente (ej. NIP, recibo, sensor de turbidez) coincide con la zona correcta. Cuenta con una limitante de 4 fallos (entropía destructiva) para forzar al estudiante a analizar detalladamente los conceptos antes de actuar.</w:t>
      </w:r>
    </w:p>
    <w:p w14:paraId="2651C70A" w14:textId="77777777" w:rsidR="00000000" w:rsidRDefault="00000000">
      <w:pPr>
        <w:pStyle w:val="Ttulo2"/>
        <w:rPr>
          <w:rFonts w:eastAsia="Times New Roman"/>
          <w:color w:val="000000"/>
          <w:lang w:val="es-ES"/>
        </w:rPr>
      </w:pPr>
      <w:r>
        <w:rPr>
          <w:rFonts w:eastAsia="Times New Roman"/>
          <w:color w:val="000000"/>
          <w:lang w:val="es-ES"/>
        </w:rPr>
        <w:t>C. Juego 2: "Lab Control" (Simulador de Lazo Cerrado)</w:t>
      </w:r>
    </w:p>
    <w:p w14:paraId="2A4D95F0" w14:textId="77777777" w:rsidR="00000000" w:rsidRDefault="00000000">
      <w:pPr>
        <w:pStyle w:val="NormalWeb"/>
        <w:jc w:val="both"/>
        <w:rPr>
          <w:color w:val="000000"/>
          <w:sz w:val="20"/>
          <w:szCs w:val="20"/>
          <w:lang w:val="es-ES"/>
        </w:rPr>
      </w:pPr>
      <w:r>
        <w:rPr>
          <w:color w:val="000000"/>
          <w:sz w:val="20"/>
          <w:szCs w:val="20"/>
          <w:lang w:val="es-ES"/>
        </w:rPr>
        <w:t>Laboratorio termodinámico interactivo que modela un Invernadero Agrícola automatizado. El modelo matemático de transferencia calórica implementado en el script `games.js` responde a la ley de enfriamiento de Newton simplificada y discretizada en tiempo real mediante un bucle continuo de 150 milisegundos:</w:t>
      </w:r>
    </w:p>
    <w:p w14:paraId="7D7DE0B7" w14:textId="77777777" w:rsidR="00000000" w:rsidRDefault="00000000">
      <w:pPr>
        <w:pStyle w:val="no-indent"/>
        <w:spacing w:before="0" w:beforeAutospacing="0" w:after="120"/>
        <w:jc w:val="center"/>
        <w:rPr>
          <w:rFonts w:ascii="Courier" w:hAnsi="Courier"/>
          <w:i/>
          <w:iCs/>
          <w:color w:val="000000"/>
          <w:sz w:val="20"/>
          <w:szCs w:val="20"/>
          <w:lang w:val="es-ES"/>
        </w:rPr>
      </w:pPr>
      <w:proofErr w:type="spellStart"/>
      <w:r>
        <w:rPr>
          <w:rFonts w:ascii="Courier" w:hAnsi="Courier"/>
          <w:i/>
          <w:iCs/>
          <w:color w:val="000000"/>
          <w:sz w:val="20"/>
          <w:szCs w:val="20"/>
          <w:lang w:val="es-ES"/>
        </w:rPr>
        <w:t>T_int</w:t>
      </w:r>
      <w:proofErr w:type="spellEnd"/>
      <w:r>
        <w:rPr>
          <w:rFonts w:ascii="Courier" w:hAnsi="Courier"/>
          <w:i/>
          <w:iCs/>
          <w:color w:val="000000"/>
          <w:sz w:val="20"/>
          <w:szCs w:val="20"/>
          <w:lang w:val="es-ES"/>
        </w:rPr>
        <w:t xml:space="preserve">_{t+1} = </w:t>
      </w:r>
      <w:proofErr w:type="spellStart"/>
      <w:r>
        <w:rPr>
          <w:rFonts w:ascii="Courier" w:hAnsi="Courier"/>
          <w:i/>
          <w:iCs/>
          <w:color w:val="000000"/>
          <w:sz w:val="20"/>
          <w:szCs w:val="20"/>
          <w:lang w:val="es-ES"/>
        </w:rPr>
        <w:t>T_int_t</w:t>
      </w:r>
      <w:proofErr w:type="spellEnd"/>
      <w:r>
        <w:rPr>
          <w:rFonts w:ascii="Courier" w:hAnsi="Courier"/>
          <w:i/>
          <w:iCs/>
          <w:color w:val="000000"/>
          <w:sz w:val="20"/>
          <w:szCs w:val="20"/>
          <w:lang w:val="es-ES"/>
        </w:rPr>
        <w:t xml:space="preserve"> + </w:t>
      </w:r>
      <w:proofErr w:type="spellStart"/>
      <w:r>
        <w:rPr>
          <w:rFonts w:ascii="Courier" w:hAnsi="Courier"/>
          <w:i/>
          <w:iCs/>
          <w:color w:val="000000"/>
          <w:sz w:val="20"/>
          <w:szCs w:val="20"/>
          <w:lang w:val="es-ES"/>
        </w:rPr>
        <w:t>K_loss</w:t>
      </w:r>
      <w:proofErr w:type="spellEnd"/>
      <w:r>
        <w:rPr>
          <w:rFonts w:ascii="Courier" w:hAnsi="Courier"/>
          <w:i/>
          <w:iCs/>
          <w:color w:val="000000"/>
          <w:sz w:val="20"/>
          <w:szCs w:val="20"/>
          <w:lang w:val="es-ES"/>
        </w:rPr>
        <w:t xml:space="preserve"> * (</w:t>
      </w:r>
      <w:proofErr w:type="spellStart"/>
      <w:r>
        <w:rPr>
          <w:rFonts w:ascii="Courier" w:hAnsi="Courier"/>
          <w:i/>
          <w:iCs/>
          <w:color w:val="000000"/>
          <w:sz w:val="20"/>
          <w:szCs w:val="20"/>
          <w:lang w:val="es-ES"/>
        </w:rPr>
        <w:t>T_ext</w:t>
      </w:r>
      <w:proofErr w:type="spellEnd"/>
      <w:r>
        <w:rPr>
          <w:rFonts w:ascii="Courier" w:hAnsi="Courier"/>
          <w:i/>
          <w:iCs/>
          <w:color w:val="000000"/>
          <w:sz w:val="20"/>
          <w:szCs w:val="20"/>
          <w:lang w:val="es-ES"/>
        </w:rPr>
        <w:t xml:space="preserve"> - </w:t>
      </w:r>
      <w:proofErr w:type="spellStart"/>
      <w:r>
        <w:rPr>
          <w:rFonts w:ascii="Courier" w:hAnsi="Courier"/>
          <w:i/>
          <w:iCs/>
          <w:color w:val="000000"/>
          <w:sz w:val="20"/>
          <w:szCs w:val="20"/>
          <w:lang w:val="es-ES"/>
        </w:rPr>
        <w:t>T_int_t</w:t>
      </w:r>
      <w:proofErr w:type="spellEnd"/>
      <w:r>
        <w:rPr>
          <w:rFonts w:ascii="Courier" w:hAnsi="Courier"/>
          <w:i/>
          <w:iCs/>
          <w:color w:val="000000"/>
          <w:sz w:val="20"/>
          <w:szCs w:val="20"/>
          <w:lang w:val="es-ES"/>
        </w:rPr>
        <w:t xml:space="preserve">) + </w:t>
      </w:r>
      <w:proofErr w:type="spellStart"/>
      <w:r>
        <w:rPr>
          <w:rFonts w:ascii="Courier" w:hAnsi="Courier"/>
          <w:i/>
          <w:iCs/>
          <w:color w:val="000000"/>
          <w:sz w:val="20"/>
          <w:szCs w:val="20"/>
          <w:lang w:val="es-ES"/>
        </w:rPr>
        <w:t>K_act</w:t>
      </w:r>
      <w:proofErr w:type="spellEnd"/>
      <w:r>
        <w:rPr>
          <w:rFonts w:ascii="Courier" w:hAnsi="Courier"/>
          <w:i/>
          <w:iCs/>
          <w:color w:val="000000"/>
          <w:sz w:val="20"/>
          <w:szCs w:val="20"/>
          <w:lang w:val="es-ES"/>
        </w:rPr>
        <w:t xml:space="preserve"> * Power</w:t>
      </w:r>
    </w:p>
    <w:p w14:paraId="6122C616" w14:textId="77777777" w:rsidR="00000000" w:rsidRDefault="00000000">
      <w:pPr>
        <w:pStyle w:val="NormalWeb"/>
        <w:jc w:val="both"/>
        <w:rPr>
          <w:color w:val="000000"/>
          <w:sz w:val="20"/>
          <w:szCs w:val="20"/>
          <w:lang w:val="es-ES"/>
        </w:rPr>
      </w:pPr>
      <w:r>
        <w:rPr>
          <w:color w:val="000000"/>
          <w:sz w:val="20"/>
          <w:szCs w:val="20"/>
          <w:lang w:val="es-ES"/>
        </w:rPr>
        <w:t xml:space="preserve">Donde </w:t>
      </w:r>
      <w:proofErr w:type="spellStart"/>
      <w:r>
        <w:rPr>
          <w:rStyle w:val="nfasis"/>
          <w:color w:val="000000"/>
          <w:sz w:val="20"/>
          <w:szCs w:val="20"/>
          <w:lang w:val="es-ES"/>
        </w:rPr>
        <w:t>T_int</w:t>
      </w:r>
      <w:proofErr w:type="spellEnd"/>
      <w:r>
        <w:rPr>
          <w:color w:val="000000"/>
          <w:sz w:val="20"/>
          <w:szCs w:val="20"/>
          <w:lang w:val="es-ES"/>
        </w:rPr>
        <w:t xml:space="preserve"> es la temperatura interior, </w:t>
      </w:r>
      <w:proofErr w:type="spellStart"/>
      <w:r>
        <w:rPr>
          <w:rStyle w:val="nfasis"/>
          <w:color w:val="000000"/>
          <w:sz w:val="20"/>
          <w:szCs w:val="20"/>
          <w:lang w:val="es-ES"/>
        </w:rPr>
        <w:t>T_ext</w:t>
      </w:r>
      <w:proofErr w:type="spellEnd"/>
      <w:r>
        <w:rPr>
          <w:color w:val="000000"/>
          <w:sz w:val="20"/>
          <w:szCs w:val="20"/>
          <w:lang w:val="es-ES"/>
        </w:rPr>
        <w:t xml:space="preserve"> la exterior (perturbación ambiental controlada por el usuario), </w:t>
      </w:r>
      <w:r>
        <w:rPr>
          <w:rStyle w:val="nfasis"/>
          <w:color w:val="000000"/>
          <w:sz w:val="20"/>
          <w:szCs w:val="20"/>
          <w:lang w:val="es-ES"/>
        </w:rPr>
        <w:t>Power</w:t>
      </w:r>
      <w:r>
        <w:rPr>
          <w:color w:val="000000"/>
          <w:sz w:val="20"/>
          <w:szCs w:val="20"/>
          <w:lang w:val="es-ES"/>
        </w:rPr>
        <w:t xml:space="preserve"> la potencia del actuador regulada según el modo seleccionado, y </w:t>
      </w:r>
      <w:r>
        <w:rPr>
          <w:rStyle w:val="nfasis"/>
          <w:color w:val="000000"/>
          <w:sz w:val="20"/>
          <w:szCs w:val="20"/>
          <w:lang w:val="es-ES"/>
        </w:rPr>
        <w:t>K</w:t>
      </w:r>
      <w:r>
        <w:rPr>
          <w:color w:val="000000"/>
          <w:sz w:val="20"/>
          <w:szCs w:val="20"/>
          <w:lang w:val="es-ES"/>
        </w:rPr>
        <w:t xml:space="preserve"> las constantes de inercia y pérdida térmica. Los resultados del comportamiento de los lazos de control se resumen en la Tabla I.</w:t>
      </w:r>
    </w:p>
    <w:p w14:paraId="0E1632B4" w14:textId="77777777" w:rsidR="00000000" w:rsidRDefault="00000000">
      <w:pPr>
        <w:jc w:val="center"/>
        <w:divId w:val="1390033059"/>
        <w:rPr>
          <w:rFonts w:eastAsia="Times New Roman"/>
          <w:b/>
          <w:bCs/>
          <w:caps/>
          <w:color w:val="000000"/>
          <w:sz w:val="16"/>
          <w:szCs w:val="16"/>
          <w:lang w:val="es-ES"/>
        </w:rPr>
      </w:pPr>
      <w:r>
        <w:rPr>
          <w:rFonts w:eastAsia="Times New Roman"/>
          <w:b/>
          <w:bCs/>
          <w:caps/>
          <w:color w:val="000000"/>
          <w:sz w:val="16"/>
          <w:szCs w:val="16"/>
          <w:lang w:val="es-ES"/>
        </w:rPr>
        <w:t>Tabla I</w:t>
      </w:r>
      <w:r>
        <w:rPr>
          <w:rFonts w:eastAsia="Times New Roman"/>
          <w:b/>
          <w:bCs/>
          <w:caps/>
          <w:color w:val="000000"/>
          <w:sz w:val="16"/>
          <w:szCs w:val="16"/>
          <w:lang w:val="es-ES"/>
        </w:rPr>
        <w:br/>
        <w:t>Comportamiento Sistémico Comparativo de los Lazos de Control</w:t>
      </w:r>
    </w:p>
    <w:tbl>
      <w:tblPr>
        <w:tblW w:w="5000" w:type="pct"/>
        <w:jc w:val="center"/>
        <w:tblCellMar>
          <w:top w:w="15" w:type="dxa"/>
          <w:left w:w="15" w:type="dxa"/>
          <w:bottom w:w="15" w:type="dxa"/>
          <w:right w:w="15" w:type="dxa"/>
        </w:tblCellMar>
        <w:tblLook w:val="04A0" w:firstRow="1" w:lastRow="0" w:firstColumn="1" w:lastColumn="0" w:noHBand="0" w:noVBand="1"/>
      </w:tblPr>
      <w:tblGrid>
        <w:gridCol w:w="1034"/>
        <w:gridCol w:w="1467"/>
        <w:gridCol w:w="2232"/>
        <w:gridCol w:w="2000"/>
        <w:gridCol w:w="2089"/>
      </w:tblGrid>
      <w:tr w:rsidR="00000000" w14:paraId="1B29278E" w14:textId="77777777">
        <w:trPr>
          <w:divId w:val="84612682"/>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80" w:type="dxa"/>
              <w:left w:w="80" w:type="dxa"/>
              <w:bottom w:w="80" w:type="dxa"/>
              <w:right w:w="80" w:type="dxa"/>
            </w:tcMar>
            <w:vAlign w:val="center"/>
            <w:hideMark/>
          </w:tcPr>
          <w:p w14:paraId="04A3EEC6" w14:textId="77777777" w:rsidR="00000000" w:rsidRDefault="00000000">
            <w:pPr>
              <w:jc w:val="center"/>
              <w:rPr>
                <w:rFonts w:eastAsia="Times New Roman"/>
                <w:b/>
                <w:bCs/>
                <w:color w:val="000000"/>
                <w:sz w:val="16"/>
                <w:szCs w:val="16"/>
              </w:rPr>
            </w:pPr>
            <w:r>
              <w:rPr>
                <w:rFonts w:eastAsia="Times New Roman"/>
                <w:b/>
                <w:bCs/>
                <w:color w:val="000000"/>
                <w:sz w:val="16"/>
                <w:szCs w:val="16"/>
              </w:rPr>
              <w:t>Modo del Simulador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80" w:type="dxa"/>
              <w:left w:w="80" w:type="dxa"/>
              <w:bottom w:w="80" w:type="dxa"/>
              <w:right w:w="80" w:type="dxa"/>
            </w:tcMar>
            <w:vAlign w:val="center"/>
            <w:hideMark/>
          </w:tcPr>
          <w:p w14:paraId="200BCB11" w14:textId="77777777" w:rsidR="00000000" w:rsidRDefault="00000000">
            <w:pPr>
              <w:jc w:val="center"/>
              <w:rPr>
                <w:rFonts w:eastAsia="Times New Roman"/>
                <w:b/>
                <w:bCs/>
                <w:color w:val="000000"/>
                <w:sz w:val="16"/>
                <w:szCs w:val="16"/>
              </w:rPr>
            </w:pPr>
            <w:r>
              <w:rPr>
                <w:rFonts w:eastAsia="Times New Roman"/>
                <w:b/>
                <w:bCs/>
                <w:color w:val="000000"/>
                <w:sz w:val="16"/>
                <w:szCs w:val="16"/>
              </w:rPr>
              <w:t>Lazo de Control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80" w:type="dxa"/>
              <w:left w:w="80" w:type="dxa"/>
              <w:bottom w:w="80" w:type="dxa"/>
              <w:right w:w="80" w:type="dxa"/>
            </w:tcMar>
            <w:vAlign w:val="center"/>
            <w:hideMark/>
          </w:tcPr>
          <w:p w14:paraId="7F7A1A4C" w14:textId="77777777" w:rsidR="00000000" w:rsidRDefault="00000000">
            <w:pPr>
              <w:jc w:val="center"/>
              <w:rPr>
                <w:rFonts w:eastAsia="Times New Roman"/>
                <w:b/>
                <w:bCs/>
                <w:color w:val="000000"/>
                <w:sz w:val="16"/>
                <w:szCs w:val="16"/>
              </w:rPr>
            </w:pPr>
            <w:r>
              <w:rPr>
                <w:rFonts w:eastAsia="Times New Roman"/>
                <w:b/>
                <w:bCs/>
                <w:color w:val="000000"/>
                <w:sz w:val="16"/>
                <w:szCs w:val="16"/>
              </w:rPr>
              <w:t>Comportamiento de la Temperatura Interior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80" w:type="dxa"/>
              <w:left w:w="80" w:type="dxa"/>
              <w:bottom w:w="80" w:type="dxa"/>
              <w:right w:w="80" w:type="dxa"/>
            </w:tcMar>
            <w:vAlign w:val="center"/>
            <w:hideMark/>
          </w:tcPr>
          <w:p w14:paraId="0A4FCE9F" w14:textId="77777777" w:rsidR="00000000" w:rsidRDefault="00000000">
            <w:pPr>
              <w:jc w:val="center"/>
              <w:rPr>
                <w:rFonts w:eastAsia="Times New Roman"/>
                <w:b/>
                <w:bCs/>
                <w:color w:val="000000"/>
                <w:sz w:val="16"/>
                <w:szCs w:val="16"/>
              </w:rPr>
            </w:pPr>
            <w:r>
              <w:rPr>
                <w:rFonts w:eastAsia="Times New Roman"/>
                <w:b/>
                <w:bCs/>
                <w:color w:val="000000"/>
                <w:sz w:val="16"/>
                <w:szCs w:val="16"/>
              </w:rPr>
              <w:t>Estado de Salud del Cultivo (Biológico)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80" w:type="dxa"/>
              <w:left w:w="80" w:type="dxa"/>
              <w:bottom w:w="80" w:type="dxa"/>
              <w:right w:w="80" w:type="dxa"/>
            </w:tcMar>
            <w:vAlign w:val="center"/>
            <w:hideMark/>
          </w:tcPr>
          <w:p w14:paraId="32B66ABA" w14:textId="77777777" w:rsidR="00000000" w:rsidRDefault="00000000">
            <w:pPr>
              <w:jc w:val="center"/>
              <w:rPr>
                <w:rFonts w:eastAsia="Times New Roman"/>
                <w:b/>
                <w:bCs/>
                <w:color w:val="000000"/>
                <w:sz w:val="16"/>
                <w:szCs w:val="16"/>
              </w:rPr>
            </w:pPr>
            <w:r>
              <w:rPr>
                <w:rFonts w:eastAsia="Times New Roman"/>
                <w:b/>
                <w:bCs/>
                <w:color w:val="000000"/>
                <w:sz w:val="16"/>
                <w:szCs w:val="16"/>
              </w:rPr>
              <w:t>Conclusión Teórica de Sistemas</w:t>
            </w:r>
          </w:p>
        </w:tc>
      </w:tr>
      <w:tr w:rsidR="00000000" w14:paraId="74313C91" w14:textId="77777777">
        <w:trPr>
          <w:divId w:val="84612682"/>
          <w:jc w:val="center"/>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14DF3F17" w14:textId="77777777" w:rsidR="00000000" w:rsidRDefault="00000000">
            <w:pPr>
              <w:rPr>
                <w:rFonts w:eastAsia="Times New Roman"/>
                <w:color w:val="000000"/>
                <w:sz w:val="16"/>
                <w:szCs w:val="16"/>
              </w:rPr>
            </w:pPr>
            <w:r>
              <w:rPr>
                <w:rStyle w:val="Fuerte"/>
                <w:rFonts w:eastAsia="Times New Roman"/>
                <w:color w:val="000000"/>
                <w:sz w:val="16"/>
                <w:szCs w:val="16"/>
              </w:rPr>
              <w:t>Lazo Abierto</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53841A4A" w14:textId="77777777" w:rsidR="00000000" w:rsidRDefault="00000000">
            <w:pPr>
              <w:rPr>
                <w:rFonts w:eastAsia="Times New Roman"/>
                <w:color w:val="000000"/>
                <w:sz w:val="16"/>
                <w:szCs w:val="16"/>
              </w:rPr>
            </w:pPr>
            <w:r>
              <w:rPr>
                <w:rFonts w:eastAsia="Times New Roman"/>
                <w:color w:val="000000"/>
                <w:sz w:val="16"/>
                <w:szCs w:val="16"/>
              </w:rPr>
              <w:t>Ninguno (Control Manual del Operario)</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0DF166EC" w14:textId="77777777" w:rsidR="00000000" w:rsidRDefault="00000000">
            <w:pPr>
              <w:rPr>
                <w:rFonts w:eastAsia="Times New Roman"/>
                <w:color w:val="000000"/>
                <w:sz w:val="16"/>
                <w:szCs w:val="16"/>
              </w:rPr>
            </w:pPr>
            <w:r>
              <w:rPr>
                <w:rFonts w:eastAsia="Times New Roman"/>
                <w:color w:val="000000"/>
                <w:sz w:val="16"/>
                <w:szCs w:val="16"/>
              </w:rPr>
              <w:t>Fluctúa a la par de la perturbación exterior de forma pasiva si no hay acción humana rápida.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01061DA4" w14:textId="77777777" w:rsidR="00000000" w:rsidRDefault="00000000">
            <w:pPr>
              <w:rPr>
                <w:rFonts w:eastAsia="Times New Roman"/>
                <w:color w:val="000000"/>
                <w:sz w:val="16"/>
                <w:szCs w:val="16"/>
              </w:rPr>
            </w:pPr>
            <w:r>
              <w:rPr>
                <w:rFonts w:eastAsia="Times New Roman"/>
                <w:color w:val="000000"/>
                <w:sz w:val="16"/>
                <w:szCs w:val="16"/>
              </w:rPr>
              <w:t>Riesgo constante de muerte biológica por falta de regulación térmica pasiva.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62ABCF01" w14:textId="77777777" w:rsidR="00000000" w:rsidRDefault="00000000">
            <w:pPr>
              <w:rPr>
                <w:rFonts w:eastAsia="Times New Roman"/>
                <w:color w:val="000000"/>
                <w:sz w:val="16"/>
                <w:szCs w:val="16"/>
              </w:rPr>
            </w:pPr>
            <w:r>
              <w:rPr>
                <w:rFonts w:eastAsia="Times New Roman"/>
                <w:color w:val="000000"/>
                <w:sz w:val="16"/>
                <w:szCs w:val="16"/>
              </w:rPr>
              <w:t>Vulnerabilidad absoluta del sistema frente a variables ambientales externas no reguladas.</w:t>
            </w:r>
          </w:p>
        </w:tc>
      </w:tr>
      <w:tr w:rsidR="00000000" w14:paraId="430BEC19" w14:textId="77777777">
        <w:trPr>
          <w:divId w:val="84612682"/>
          <w:jc w:val="center"/>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1FED7EDD" w14:textId="77777777" w:rsidR="00000000" w:rsidRDefault="00000000">
            <w:pPr>
              <w:rPr>
                <w:rFonts w:eastAsia="Times New Roman"/>
                <w:color w:val="000000"/>
                <w:sz w:val="16"/>
                <w:szCs w:val="16"/>
              </w:rPr>
            </w:pPr>
            <w:r>
              <w:rPr>
                <w:rStyle w:val="Fuerte"/>
                <w:rFonts w:eastAsia="Times New Roman"/>
                <w:color w:val="000000"/>
                <w:sz w:val="16"/>
                <w:szCs w:val="16"/>
              </w:rPr>
              <w:t>Lazo Cerrado Negativo</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7528A53F" w14:textId="77777777" w:rsidR="00000000" w:rsidRDefault="00000000">
            <w:pPr>
              <w:rPr>
                <w:rFonts w:eastAsia="Times New Roman"/>
                <w:color w:val="000000"/>
                <w:sz w:val="16"/>
                <w:szCs w:val="16"/>
              </w:rPr>
            </w:pPr>
            <w:r>
              <w:rPr>
                <w:rFonts w:eastAsia="Times New Roman"/>
                <w:color w:val="000000"/>
                <w:sz w:val="16"/>
                <w:szCs w:val="16"/>
              </w:rPr>
              <w:t>Cibernética Negativa (Homeostasis)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33584E3C" w14:textId="77777777" w:rsidR="00000000" w:rsidRDefault="00000000">
            <w:pPr>
              <w:rPr>
                <w:rFonts w:eastAsia="Times New Roman"/>
                <w:color w:val="000000"/>
                <w:sz w:val="16"/>
                <w:szCs w:val="16"/>
              </w:rPr>
            </w:pPr>
            <w:r>
              <w:rPr>
                <w:rFonts w:eastAsia="Times New Roman"/>
                <w:color w:val="000000"/>
                <w:sz w:val="16"/>
                <w:szCs w:val="16"/>
              </w:rPr>
              <w:t>Estable y plana a ~21.5°C óptimos, absorbiendo perturbaciones externas severas automáticamente.</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5DBE2072" w14:textId="77777777" w:rsidR="00000000" w:rsidRDefault="00000000">
            <w:pPr>
              <w:rPr>
                <w:rFonts w:eastAsia="Times New Roman"/>
                <w:color w:val="000000"/>
                <w:sz w:val="16"/>
                <w:szCs w:val="16"/>
              </w:rPr>
            </w:pPr>
            <w:r>
              <w:rPr>
                <w:rFonts w:eastAsia="Times New Roman"/>
                <w:color w:val="000000"/>
                <w:sz w:val="16"/>
                <w:szCs w:val="16"/>
              </w:rPr>
              <w:t>Salud óptima mantenida al 100% indefinidamente.</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61EFAEA5" w14:textId="77777777" w:rsidR="00000000" w:rsidRDefault="00000000">
            <w:pPr>
              <w:rPr>
                <w:rFonts w:eastAsia="Times New Roman"/>
                <w:color w:val="000000"/>
                <w:sz w:val="16"/>
                <w:szCs w:val="16"/>
              </w:rPr>
            </w:pPr>
            <w:r>
              <w:rPr>
                <w:rFonts w:eastAsia="Times New Roman"/>
                <w:color w:val="000000"/>
                <w:sz w:val="16"/>
                <w:szCs w:val="16"/>
              </w:rPr>
              <w:t>El sistema logra mantener su viabilidad y organización (</w:t>
            </w:r>
            <w:proofErr w:type="spellStart"/>
            <w:r>
              <w:rPr>
                <w:rFonts w:eastAsia="Times New Roman"/>
                <w:color w:val="000000"/>
                <w:sz w:val="16"/>
                <w:szCs w:val="16"/>
              </w:rPr>
              <w:t>negentropía</w:t>
            </w:r>
            <w:proofErr w:type="spellEnd"/>
            <w:r>
              <w:rPr>
                <w:rFonts w:eastAsia="Times New Roman"/>
                <w:color w:val="000000"/>
                <w:sz w:val="16"/>
                <w:szCs w:val="16"/>
              </w:rPr>
              <w:t>) de manera autónoma.</w:t>
            </w:r>
          </w:p>
        </w:tc>
      </w:tr>
      <w:tr w:rsidR="00000000" w14:paraId="1083B72C" w14:textId="77777777">
        <w:trPr>
          <w:divId w:val="84612682"/>
          <w:jc w:val="center"/>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3B6D5419" w14:textId="77777777" w:rsidR="00000000" w:rsidRDefault="00000000">
            <w:pPr>
              <w:rPr>
                <w:rFonts w:eastAsia="Times New Roman"/>
                <w:color w:val="000000"/>
                <w:sz w:val="16"/>
                <w:szCs w:val="16"/>
              </w:rPr>
            </w:pPr>
            <w:r>
              <w:rPr>
                <w:rStyle w:val="Fuerte"/>
                <w:rFonts w:eastAsia="Times New Roman"/>
                <w:color w:val="000000"/>
                <w:sz w:val="16"/>
                <w:szCs w:val="16"/>
              </w:rPr>
              <w:t>Lazo Cerrado Positivo</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6C4014D4" w14:textId="77777777" w:rsidR="00000000" w:rsidRDefault="00000000">
            <w:pPr>
              <w:rPr>
                <w:rFonts w:eastAsia="Times New Roman"/>
                <w:color w:val="000000"/>
                <w:sz w:val="16"/>
                <w:szCs w:val="16"/>
              </w:rPr>
            </w:pPr>
            <w:r>
              <w:rPr>
                <w:rFonts w:eastAsia="Times New Roman"/>
                <w:color w:val="000000"/>
                <w:sz w:val="16"/>
                <w:szCs w:val="16"/>
              </w:rPr>
              <w:t>Cibernética Positiva (Amplificadora)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716BE95F" w14:textId="77777777" w:rsidR="00000000" w:rsidRDefault="00000000">
            <w:pPr>
              <w:rPr>
                <w:rFonts w:eastAsia="Times New Roman"/>
                <w:color w:val="000000"/>
                <w:sz w:val="16"/>
                <w:szCs w:val="16"/>
              </w:rPr>
            </w:pPr>
            <w:r>
              <w:rPr>
                <w:rFonts w:eastAsia="Times New Roman"/>
                <w:color w:val="000000"/>
                <w:sz w:val="16"/>
                <w:szCs w:val="16"/>
              </w:rPr>
              <w:t xml:space="preserve">Disparo exponencial e instantáneo hacia extremos térmicos </w:t>
            </w:r>
            <w:proofErr w:type="spellStart"/>
            <w:r>
              <w:rPr>
                <w:rFonts w:eastAsia="Times New Roman"/>
                <w:color w:val="000000"/>
                <w:sz w:val="16"/>
                <w:szCs w:val="16"/>
              </w:rPr>
              <w:t>térmicos</w:t>
            </w:r>
            <w:proofErr w:type="spellEnd"/>
            <w:r>
              <w:rPr>
                <w:rFonts w:eastAsia="Times New Roman"/>
                <w:color w:val="000000"/>
                <w:sz w:val="16"/>
                <w:szCs w:val="16"/>
              </w:rPr>
              <w:t xml:space="preserve"> destructivos (0°C o 50°C).</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53E4D221" w14:textId="77777777" w:rsidR="00000000" w:rsidRDefault="00000000">
            <w:pPr>
              <w:rPr>
                <w:rFonts w:eastAsia="Times New Roman"/>
                <w:color w:val="000000"/>
                <w:sz w:val="16"/>
                <w:szCs w:val="16"/>
              </w:rPr>
            </w:pPr>
            <w:r>
              <w:rPr>
                <w:rFonts w:eastAsia="Times New Roman"/>
                <w:color w:val="000000"/>
                <w:sz w:val="16"/>
                <w:szCs w:val="16"/>
              </w:rPr>
              <w:t>Muerte biológica inmediata en pocos segundos por destrucción homeostática celular.</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0C5E1621" w14:textId="77777777" w:rsidR="00000000" w:rsidRDefault="00000000">
            <w:pPr>
              <w:rPr>
                <w:rFonts w:eastAsia="Times New Roman"/>
                <w:color w:val="000000"/>
                <w:sz w:val="16"/>
                <w:szCs w:val="16"/>
              </w:rPr>
            </w:pPr>
            <w:r>
              <w:rPr>
                <w:rFonts w:eastAsia="Times New Roman"/>
                <w:color w:val="000000"/>
                <w:sz w:val="16"/>
                <w:szCs w:val="16"/>
              </w:rPr>
              <w:t>La amplificación de desviaciones desestabiliza las dinámicas, conduciendo a la destrucción sistémica.</w:t>
            </w:r>
          </w:p>
        </w:tc>
      </w:tr>
    </w:tbl>
    <w:p w14:paraId="2816DBE4" w14:textId="77777777" w:rsidR="00000000" w:rsidRDefault="00000000">
      <w:pPr>
        <w:pStyle w:val="Ttulo2"/>
        <w:rPr>
          <w:rFonts w:eastAsia="Times New Roman"/>
          <w:color w:val="000000"/>
          <w:lang w:val="es-ES"/>
        </w:rPr>
      </w:pPr>
      <w:r>
        <w:rPr>
          <w:rFonts w:eastAsia="Times New Roman"/>
          <w:color w:val="000000"/>
          <w:lang w:val="es-ES"/>
        </w:rPr>
        <w:t>D. Cuestionario de Evaluación y Certificado</w:t>
      </w:r>
    </w:p>
    <w:p w14:paraId="0FFE898E" w14:textId="77777777" w:rsidR="00000000" w:rsidRDefault="00000000">
      <w:pPr>
        <w:pStyle w:val="NormalWeb"/>
        <w:jc w:val="both"/>
        <w:rPr>
          <w:color w:val="000000"/>
          <w:sz w:val="20"/>
          <w:szCs w:val="20"/>
          <w:lang w:val="es-ES"/>
        </w:rPr>
      </w:pPr>
      <w:r>
        <w:rPr>
          <w:color w:val="000000"/>
          <w:sz w:val="20"/>
          <w:szCs w:val="20"/>
          <w:lang w:val="es-ES"/>
        </w:rPr>
        <w:t>Una evaluación inteligente de 10 ítems que arroja retroalimentación de valor inmediatamente después del envío, explicando detalladamente los fundamentos teóricos del acierto o del fallo. Al superar la nota umbral de 80%, el sistema invoca una plantilla CSS imprimible que genera un certificado formal a nombre del alumno, eliminando elementos distractores mediante el motor de impresión nativo del navegador.</w:t>
      </w:r>
    </w:p>
    <w:p w14:paraId="32EFCA41" w14:textId="77777777" w:rsidR="00000000" w:rsidRDefault="00000000">
      <w:pPr>
        <w:pStyle w:val="Ttulo1"/>
        <w:rPr>
          <w:rFonts w:eastAsia="Times New Roman"/>
          <w:color w:val="000000"/>
          <w:lang w:val="es-ES"/>
        </w:rPr>
      </w:pPr>
      <w:r>
        <w:rPr>
          <w:rFonts w:eastAsia="Times New Roman"/>
          <w:color w:val="000000"/>
          <w:lang w:val="es-ES"/>
        </w:rPr>
        <w:t>V. Análisis y Discusión sobre la Homeostasis</w:t>
      </w:r>
    </w:p>
    <w:p w14:paraId="342EE5E6" w14:textId="77777777" w:rsidR="00000000" w:rsidRDefault="00000000">
      <w:pPr>
        <w:pStyle w:val="NormalWeb"/>
        <w:jc w:val="both"/>
        <w:rPr>
          <w:color w:val="000000"/>
          <w:sz w:val="20"/>
          <w:szCs w:val="20"/>
          <w:lang w:val="es-ES"/>
        </w:rPr>
      </w:pPr>
      <w:r>
        <w:rPr>
          <w:color w:val="000000"/>
          <w:sz w:val="20"/>
          <w:szCs w:val="20"/>
          <w:lang w:val="es-ES"/>
        </w:rPr>
        <w:t>Los resultados arrojados por el simulador térmico del OVA evidencian la premisa medular de la Cibernética descrita por Wiener: **la información es el principal enemigo del caos** [4]. En la simulación en Lazo Abierto, el sistema carece de capacidad interna de autorregulación. Esto se traduce en que la *entropía* del ambiente se transfiere directamente al sistema de forma directa, alterando su estructura celular. El operario, actuando como un regulador externo rudimentario, intenta estabilizar el sistema mediante control visual manual, pero la inercia térmica genera retardos que conducen inevitablemente al daño biológico del cultivo.</w:t>
      </w:r>
    </w:p>
    <w:p w14:paraId="06366A92" w14:textId="77777777" w:rsidR="00000000" w:rsidRDefault="00000000">
      <w:pPr>
        <w:pStyle w:val="NormalWeb"/>
        <w:jc w:val="both"/>
        <w:rPr>
          <w:color w:val="000000"/>
          <w:sz w:val="20"/>
          <w:szCs w:val="20"/>
          <w:lang w:val="es-ES"/>
        </w:rPr>
      </w:pPr>
      <w:r>
        <w:rPr>
          <w:color w:val="000000"/>
          <w:sz w:val="20"/>
          <w:szCs w:val="20"/>
          <w:lang w:val="es-ES"/>
        </w:rPr>
        <w:lastRenderedPageBreak/>
        <w:t xml:space="preserve">En contraposición, el Lazo Cerrado Negativo demuestra cómo la homeostasis no es un equilibrio estático, sino un **equilibrio dinámico y </w:t>
      </w:r>
      <w:proofErr w:type="spellStart"/>
      <w:r>
        <w:rPr>
          <w:color w:val="000000"/>
          <w:sz w:val="20"/>
          <w:szCs w:val="20"/>
          <w:lang w:val="es-ES"/>
        </w:rPr>
        <w:t>ultra-estable</w:t>
      </w:r>
      <w:proofErr w:type="spellEnd"/>
      <w:r>
        <w:rPr>
          <w:color w:val="000000"/>
          <w:sz w:val="20"/>
          <w:szCs w:val="20"/>
          <w:lang w:val="es-ES"/>
        </w:rPr>
        <w:t>**. El sensor actúa como la corriente de retroalimentación que inyecta orden a la entrada, modulando los niveles del calefactor o enfriador en el sentido opuesto a la perturbación. Incluso cuando la perturbación de la temperatura exterior se eleva drásticamente a 45°C en la interfaz, el sistema responde con una potencia inversa automática de refrigeración, absorbiendo el choque exterior y demostrando la resiliencia sistémica.</w:t>
      </w:r>
    </w:p>
    <w:p w14:paraId="70A3177C" w14:textId="77777777" w:rsidR="00000000" w:rsidRDefault="00000000">
      <w:pPr>
        <w:pStyle w:val="NormalWeb"/>
        <w:jc w:val="both"/>
        <w:rPr>
          <w:color w:val="000000"/>
          <w:sz w:val="20"/>
          <w:szCs w:val="20"/>
          <w:lang w:val="es-ES"/>
        </w:rPr>
      </w:pPr>
      <w:r>
        <w:rPr>
          <w:color w:val="000000"/>
          <w:sz w:val="20"/>
          <w:szCs w:val="20"/>
          <w:lang w:val="es-ES"/>
        </w:rPr>
        <w:t>Por último, el Lazo Cerrado Positivo demuestra una verdad cibernética: el acoplamiento descontrolado de un bucle positivo conduce al colapso. Si la temperatura interna sube ligeramente, el sistema amplifica esa señal y calienta más el recinto. Esta carrera exponencial hacia los extremos refleja cómo operan los desequilibrios ecológicos a gran escala (como el calentamiento global) y las crisis financieras de pánico, donde la retroalimentación positiva rompe todos los límites físicos del sistema.</w:t>
      </w:r>
    </w:p>
    <w:p w14:paraId="3BC8F5F2" w14:textId="77777777" w:rsidR="00000000" w:rsidRDefault="00000000">
      <w:pPr>
        <w:pStyle w:val="Ttulo1"/>
        <w:rPr>
          <w:rFonts w:eastAsia="Times New Roman"/>
          <w:color w:val="000000"/>
          <w:lang w:val="es-ES"/>
        </w:rPr>
      </w:pPr>
      <w:r>
        <w:rPr>
          <w:rFonts w:eastAsia="Times New Roman"/>
          <w:color w:val="000000"/>
          <w:lang w:val="es-ES"/>
        </w:rPr>
        <w:t>VI. Conclusiones</w:t>
      </w:r>
    </w:p>
    <w:p w14:paraId="27900F2B" w14:textId="77777777" w:rsidR="00000000" w:rsidRDefault="00000000">
      <w:pPr>
        <w:pStyle w:val="no-indent"/>
        <w:spacing w:before="0" w:beforeAutospacing="0" w:after="120"/>
        <w:jc w:val="both"/>
        <w:rPr>
          <w:color w:val="000000"/>
          <w:sz w:val="20"/>
          <w:szCs w:val="20"/>
          <w:lang w:val="es-ES"/>
        </w:rPr>
      </w:pPr>
      <w:r>
        <w:rPr>
          <w:color w:val="000000"/>
          <w:sz w:val="20"/>
          <w:szCs w:val="20"/>
          <w:lang w:val="es-ES"/>
        </w:rPr>
        <w:t>Al finalizar el desarrollo y evaluación del OVA interactivo, se plantean las siguientes conclusiones:</w:t>
      </w:r>
    </w:p>
    <w:p w14:paraId="5CA2BEAF" w14:textId="77777777" w:rsidR="00000000" w:rsidRDefault="00000000">
      <w:pPr>
        <w:numPr>
          <w:ilvl w:val="0"/>
          <w:numId w:val="2"/>
        </w:numPr>
        <w:spacing w:before="100" w:beforeAutospacing="1" w:after="60"/>
        <w:ind w:left="1080"/>
        <w:jc w:val="both"/>
        <w:rPr>
          <w:rFonts w:eastAsia="Times New Roman"/>
          <w:color w:val="000000"/>
          <w:sz w:val="20"/>
          <w:szCs w:val="20"/>
          <w:lang w:val="es-ES"/>
        </w:rPr>
      </w:pPr>
      <w:r>
        <w:rPr>
          <w:rFonts w:eastAsia="Times New Roman"/>
          <w:color w:val="000000"/>
          <w:sz w:val="20"/>
          <w:szCs w:val="20"/>
          <w:lang w:val="es-ES"/>
        </w:rPr>
        <w:t>El uso de simulaciones en tiempo real integradas en páginas web de código abierto y ligeras fomenta un aprendizaje dinámico superior, transformando teorías áridas de TGS en fenómenos empíricos de causa-efecto altamente visuales.</w:t>
      </w:r>
    </w:p>
    <w:p w14:paraId="6A7A2626" w14:textId="77777777" w:rsidR="00000000" w:rsidRDefault="00000000">
      <w:pPr>
        <w:numPr>
          <w:ilvl w:val="0"/>
          <w:numId w:val="2"/>
        </w:numPr>
        <w:spacing w:before="100" w:beforeAutospacing="1" w:after="60"/>
        <w:ind w:left="1080"/>
        <w:jc w:val="both"/>
        <w:rPr>
          <w:rFonts w:eastAsia="Times New Roman"/>
          <w:color w:val="000000"/>
          <w:sz w:val="20"/>
          <w:szCs w:val="20"/>
          <w:lang w:val="es-ES"/>
        </w:rPr>
      </w:pPr>
      <w:r>
        <w:rPr>
          <w:rFonts w:eastAsia="Times New Roman"/>
          <w:color w:val="000000"/>
          <w:sz w:val="20"/>
          <w:szCs w:val="20"/>
          <w:lang w:val="es-ES"/>
        </w:rPr>
        <w:t>La simulación térmica del invernadero ejemplifica de forma matemática y visual la diferencia radical entre lazo abierto, retroalimentación negativa (mecanismo que mantiene con vida a los seres vivos mediante homeostasis) y retroalimentación positiva (mecanismo responsable del colapso y crecimiento descontrolado).</w:t>
      </w:r>
    </w:p>
    <w:p w14:paraId="6B167331" w14:textId="77777777" w:rsidR="00000000" w:rsidRDefault="00000000">
      <w:pPr>
        <w:numPr>
          <w:ilvl w:val="0"/>
          <w:numId w:val="2"/>
        </w:numPr>
        <w:spacing w:before="100" w:beforeAutospacing="1" w:after="60"/>
        <w:ind w:left="1080"/>
        <w:jc w:val="both"/>
        <w:rPr>
          <w:rFonts w:eastAsia="Times New Roman"/>
          <w:color w:val="000000"/>
          <w:sz w:val="20"/>
          <w:szCs w:val="20"/>
          <w:lang w:val="es-ES"/>
        </w:rPr>
      </w:pPr>
      <w:r>
        <w:rPr>
          <w:rFonts w:eastAsia="Times New Roman"/>
          <w:color w:val="000000"/>
          <w:sz w:val="20"/>
          <w:szCs w:val="20"/>
          <w:lang w:val="es-ES"/>
        </w:rPr>
        <w:t>El desarrollo modular empleando estándares web nativos (HTML, CSS y JS) garantiza que los Objetos Virtuales de Aprendizaje sean herramientas altamente portables, escalables y utilizables de por vida sin costos de licenciamiento o requerimientos de redes corporativas.</w:t>
      </w:r>
    </w:p>
    <w:p w14:paraId="574E1483" w14:textId="77777777" w:rsidR="00000000" w:rsidRDefault="00000000">
      <w:pPr>
        <w:pStyle w:val="Ttulo1"/>
        <w:rPr>
          <w:rFonts w:eastAsia="Times New Roman"/>
          <w:color w:val="000000"/>
          <w:lang w:val="es-ES"/>
        </w:rPr>
      </w:pPr>
      <w:r>
        <w:rPr>
          <w:rFonts w:eastAsia="Times New Roman"/>
          <w:color w:val="000000"/>
          <w:lang w:val="es-ES"/>
        </w:rPr>
        <w:t>Referencias</w:t>
      </w:r>
    </w:p>
    <w:p w14:paraId="6975CD37" w14:textId="77777777" w:rsidR="00000000" w:rsidRDefault="00000000">
      <w:pPr>
        <w:numPr>
          <w:ilvl w:val="0"/>
          <w:numId w:val="3"/>
        </w:numPr>
        <w:spacing w:before="100" w:beforeAutospacing="1" w:after="120"/>
        <w:ind w:hanging="480"/>
        <w:jc w:val="both"/>
        <w:rPr>
          <w:rFonts w:eastAsia="Times New Roman"/>
          <w:color w:val="000000"/>
          <w:sz w:val="20"/>
          <w:szCs w:val="20"/>
          <w:lang w:val="es-ES"/>
        </w:rPr>
      </w:pPr>
      <w:r>
        <w:rPr>
          <w:rFonts w:eastAsia="Times New Roman"/>
          <w:color w:val="000000"/>
          <w:sz w:val="20"/>
          <w:szCs w:val="20"/>
          <w:lang w:val="es-ES"/>
        </w:rPr>
        <w:t xml:space="preserve">[1] K. L. </w:t>
      </w:r>
      <w:proofErr w:type="spellStart"/>
      <w:r>
        <w:rPr>
          <w:rFonts w:eastAsia="Times New Roman"/>
          <w:color w:val="000000"/>
          <w:sz w:val="20"/>
          <w:szCs w:val="20"/>
          <w:lang w:val="es-ES"/>
        </w:rPr>
        <w:t>von</w:t>
      </w:r>
      <w:proofErr w:type="spellEnd"/>
      <w:r>
        <w:rPr>
          <w:rFonts w:eastAsia="Times New Roman"/>
          <w:color w:val="000000"/>
          <w:sz w:val="20"/>
          <w:szCs w:val="20"/>
          <w:lang w:val="es-ES"/>
        </w:rPr>
        <w:t xml:space="preserve"> Bertalanffy, </w:t>
      </w:r>
      <w:r>
        <w:rPr>
          <w:rStyle w:val="nfasis"/>
          <w:rFonts w:eastAsia="Times New Roman"/>
          <w:color w:val="000000"/>
          <w:sz w:val="20"/>
          <w:szCs w:val="20"/>
          <w:lang w:val="es-ES"/>
        </w:rPr>
        <w:t>Teoría General de los Sistemas: Fundamentos, Desarrollo, Aplicaciones</w:t>
      </w:r>
      <w:r>
        <w:rPr>
          <w:rFonts w:eastAsia="Times New Roman"/>
          <w:color w:val="000000"/>
          <w:sz w:val="20"/>
          <w:szCs w:val="20"/>
          <w:lang w:val="es-ES"/>
        </w:rPr>
        <w:t>, 1ª ed. México D.F.: Fondo de Cultura Económica, 1976.</w:t>
      </w:r>
    </w:p>
    <w:p w14:paraId="674E98D6" w14:textId="77777777" w:rsidR="00000000" w:rsidRDefault="00000000">
      <w:pPr>
        <w:numPr>
          <w:ilvl w:val="0"/>
          <w:numId w:val="3"/>
        </w:numPr>
        <w:spacing w:before="100" w:beforeAutospacing="1" w:after="120"/>
        <w:ind w:hanging="480"/>
        <w:jc w:val="both"/>
        <w:rPr>
          <w:rFonts w:eastAsia="Times New Roman"/>
          <w:color w:val="000000"/>
          <w:sz w:val="20"/>
          <w:szCs w:val="20"/>
          <w:lang w:val="es-ES"/>
        </w:rPr>
      </w:pPr>
      <w:r>
        <w:rPr>
          <w:rFonts w:eastAsia="Times New Roman"/>
          <w:color w:val="000000"/>
          <w:sz w:val="20"/>
          <w:szCs w:val="20"/>
          <w:lang w:val="es-ES"/>
        </w:rPr>
        <w:t xml:space="preserve">[2] O. Johansen, </w:t>
      </w:r>
      <w:r>
        <w:rPr>
          <w:rStyle w:val="nfasis"/>
          <w:rFonts w:eastAsia="Times New Roman"/>
          <w:color w:val="000000"/>
          <w:sz w:val="20"/>
          <w:szCs w:val="20"/>
          <w:lang w:val="es-ES"/>
        </w:rPr>
        <w:t>Introducción a la Teoría General de Sistemas</w:t>
      </w:r>
      <w:r>
        <w:rPr>
          <w:rFonts w:eastAsia="Times New Roman"/>
          <w:color w:val="000000"/>
          <w:sz w:val="20"/>
          <w:szCs w:val="20"/>
          <w:lang w:val="es-ES"/>
        </w:rPr>
        <w:t>, 1ª ed. México D.F.: Limusa, 1982.</w:t>
      </w:r>
    </w:p>
    <w:p w14:paraId="4D4A2C1F" w14:textId="77777777" w:rsidR="00000000" w:rsidRDefault="00000000">
      <w:pPr>
        <w:numPr>
          <w:ilvl w:val="0"/>
          <w:numId w:val="3"/>
        </w:numPr>
        <w:spacing w:before="100" w:beforeAutospacing="1" w:after="120"/>
        <w:ind w:hanging="480"/>
        <w:jc w:val="both"/>
        <w:rPr>
          <w:rFonts w:eastAsia="Times New Roman"/>
          <w:color w:val="000000"/>
          <w:sz w:val="20"/>
          <w:szCs w:val="20"/>
          <w:lang w:val="es-ES"/>
        </w:rPr>
      </w:pPr>
      <w:r>
        <w:rPr>
          <w:rFonts w:eastAsia="Times New Roman"/>
          <w:color w:val="000000"/>
          <w:sz w:val="20"/>
          <w:szCs w:val="20"/>
          <w:lang w:val="es-ES"/>
        </w:rPr>
        <w:t xml:space="preserve">[3] J. W. Forrester, </w:t>
      </w:r>
      <w:r>
        <w:rPr>
          <w:rStyle w:val="nfasis"/>
          <w:rFonts w:eastAsia="Times New Roman"/>
          <w:color w:val="000000"/>
          <w:sz w:val="20"/>
          <w:szCs w:val="20"/>
          <w:lang w:val="es-ES"/>
        </w:rPr>
        <w:t>Industrial Dynamics</w:t>
      </w:r>
      <w:r>
        <w:rPr>
          <w:rFonts w:eastAsia="Times New Roman"/>
          <w:color w:val="000000"/>
          <w:sz w:val="20"/>
          <w:szCs w:val="20"/>
          <w:lang w:val="es-ES"/>
        </w:rPr>
        <w:t>, 1ª ed. Cambridge, MA: MIT Press, 1961.</w:t>
      </w:r>
    </w:p>
    <w:p w14:paraId="318B8E0F" w14:textId="77777777" w:rsidR="00000000" w:rsidRDefault="00000000">
      <w:pPr>
        <w:numPr>
          <w:ilvl w:val="0"/>
          <w:numId w:val="3"/>
        </w:numPr>
        <w:spacing w:before="100" w:beforeAutospacing="1" w:after="120"/>
        <w:ind w:hanging="480"/>
        <w:jc w:val="both"/>
        <w:rPr>
          <w:rFonts w:eastAsia="Times New Roman"/>
          <w:color w:val="000000"/>
          <w:sz w:val="20"/>
          <w:szCs w:val="20"/>
          <w:lang w:val="es-ES"/>
        </w:rPr>
      </w:pPr>
      <w:r>
        <w:rPr>
          <w:rFonts w:eastAsia="Times New Roman"/>
          <w:color w:val="000000"/>
          <w:sz w:val="20"/>
          <w:szCs w:val="20"/>
          <w:lang w:val="es-ES"/>
        </w:rPr>
        <w:t xml:space="preserve">[4] N. Wiener, </w:t>
      </w:r>
      <w:proofErr w:type="spellStart"/>
      <w:r>
        <w:rPr>
          <w:rStyle w:val="nfasis"/>
          <w:rFonts w:eastAsia="Times New Roman"/>
          <w:color w:val="000000"/>
          <w:sz w:val="20"/>
          <w:szCs w:val="20"/>
          <w:lang w:val="es-ES"/>
        </w:rPr>
        <w:t>Cybernetics</w:t>
      </w:r>
      <w:proofErr w:type="spellEnd"/>
      <w:r>
        <w:rPr>
          <w:rStyle w:val="nfasis"/>
          <w:rFonts w:eastAsia="Times New Roman"/>
          <w:color w:val="000000"/>
          <w:sz w:val="20"/>
          <w:szCs w:val="20"/>
          <w:lang w:val="es-ES"/>
        </w:rPr>
        <w:t xml:space="preserve">: </w:t>
      </w:r>
      <w:proofErr w:type="spellStart"/>
      <w:r>
        <w:rPr>
          <w:rStyle w:val="nfasis"/>
          <w:rFonts w:eastAsia="Times New Roman"/>
          <w:color w:val="000000"/>
          <w:sz w:val="20"/>
          <w:szCs w:val="20"/>
          <w:lang w:val="es-ES"/>
        </w:rPr>
        <w:t>Or</w:t>
      </w:r>
      <w:proofErr w:type="spellEnd"/>
      <w:r>
        <w:rPr>
          <w:rStyle w:val="nfasis"/>
          <w:rFonts w:eastAsia="Times New Roman"/>
          <w:color w:val="000000"/>
          <w:sz w:val="20"/>
          <w:szCs w:val="20"/>
          <w:lang w:val="es-ES"/>
        </w:rPr>
        <w:t xml:space="preserve"> Control and </w:t>
      </w:r>
      <w:proofErr w:type="spellStart"/>
      <w:r>
        <w:rPr>
          <w:rStyle w:val="nfasis"/>
          <w:rFonts w:eastAsia="Times New Roman"/>
          <w:color w:val="000000"/>
          <w:sz w:val="20"/>
          <w:szCs w:val="20"/>
          <w:lang w:val="es-ES"/>
        </w:rPr>
        <w:t>Communication</w:t>
      </w:r>
      <w:proofErr w:type="spellEnd"/>
      <w:r>
        <w:rPr>
          <w:rStyle w:val="nfasis"/>
          <w:rFonts w:eastAsia="Times New Roman"/>
          <w:color w:val="000000"/>
          <w:sz w:val="20"/>
          <w:szCs w:val="20"/>
          <w:lang w:val="es-ES"/>
        </w:rPr>
        <w:t xml:space="preserve"> in </w:t>
      </w:r>
      <w:proofErr w:type="spellStart"/>
      <w:r>
        <w:rPr>
          <w:rStyle w:val="nfasis"/>
          <w:rFonts w:eastAsia="Times New Roman"/>
          <w:color w:val="000000"/>
          <w:sz w:val="20"/>
          <w:szCs w:val="20"/>
          <w:lang w:val="es-ES"/>
        </w:rPr>
        <w:t>the</w:t>
      </w:r>
      <w:proofErr w:type="spellEnd"/>
      <w:r>
        <w:rPr>
          <w:rStyle w:val="nfasis"/>
          <w:rFonts w:eastAsia="Times New Roman"/>
          <w:color w:val="000000"/>
          <w:sz w:val="20"/>
          <w:szCs w:val="20"/>
          <w:lang w:val="es-ES"/>
        </w:rPr>
        <w:t xml:space="preserve"> Animal and </w:t>
      </w:r>
      <w:proofErr w:type="spellStart"/>
      <w:r>
        <w:rPr>
          <w:rStyle w:val="nfasis"/>
          <w:rFonts w:eastAsia="Times New Roman"/>
          <w:color w:val="000000"/>
          <w:sz w:val="20"/>
          <w:szCs w:val="20"/>
          <w:lang w:val="es-ES"/>
        </w:rPr>
        <w:t>the</w:t>
      </w:r>
      <w:proofErr w:type="spellEnd"/>
      <w:r>
        <w:rPr>
          <w:rStyle w:val="nfasis"/>
          <w:rFonts w:eastAsia="Times New Roman"/>
          <w:color w:val="000000"/>
          <w:sz w:val="20"/>
          <w:szCs w:val="20"/>
          <w:lang w:val="es-ES"/>
        </w:rPr>
        <w:t xml:space="preserve"> Machine</w:t>
      </w:r>
      <w:r>
        <w:rPr>
          <w:rFonts w:eastAsia="Times New Roman"/>
          <w:color w:val="000000"/>
          <w:sz w:val="20"/>
          <w:szCs w:val="20"/>
          <w:lang w:val="es-ES"/>
        </w:rPr>
        <w:t>, 2ª ed. Cambridge, MA: MIT Press, 1961.</w:t>
      </w:r>
    </w:p>
    <w:p w14:paraId="51D5A566" w14:textId="77777777" w:rsidR="00F22D21" w:rsidRDefault="00000000">
      <w:pPr>
        <w:numPr>
          <w:ilvl w:val="0"/>
          <w:numId w:val="3"/>
        </w:numPr>
        <w:spacing w:before="100" w:beforeAutospacing="1" w:after="120"/>
        <w:ind w:hanging="480"/>
        <w:jc w:val="both"/>
        <w:rPr>
          <w:rFonts w:eastAsia="Times New Roman"/>
          <w:color w:val="000000"/>
          <w:sz w:val="20"/>
          <w:szCs w:val="20"/>
          <w:lang w:val="es-ES"/>
        </w:rPr>
      </w:pPr>
      <w:r>
        <w:rPr>
          <w:rFonts w:eastAsia="Times New Roman"/>
          <w:color w:val="000000"/>
          <w:sz w:val="20"/>
          <w:szCs w:val="20"/>
          <w:lang w:val="es-ES"/>
        </w:rPr>
        <w:t xml:space="preserve">[5] G. J. Klir, </w:t>
      </w:r>
      <w:proofErr w:type="spellStart"/>
      <w:r>
        <w:rPr>
          <w:rStyle w:val="nfasis"/>
          <w:rFonts w:eastAsia="Times New Roman"/>
          <w:color w:val="000000"/>
          <w:sz w:val="20"/>
          <w:szCs w:val="20"/>
          <w:lang w:val="es-ES"/>
        </w:rPr>
        <w:t>Facets</w:t>
      </w:r>
      <w:proofErr w:type="spellEnd"/>
      <w:r>
        <w:rPr>
          <w:rStyle w:val="nfasis"/>
          <w:rFonts w:eastAsia="Times New Roman"/>
          <w:color w:val="000000"/>
          <w:sz w:val="20"/>
          <w:szCs w:val="20"/>
          <w:lang w:val="es-ES"/>
        </w:rPr>
        <w:t xml:space="preserve"> </w:t>
      </w:r>
      <w:proofErr w:type="spellStart"/>
      <w:r>
        <w:rPr>
          <w:rStyle w:val="nfasis"/>
          <w:rFonts w:eastAsia="Times New Roman"/>
          <w:color w:val="000000"/>
          <w:sz w:val="20"/>
          <w:szCs w:val="20"/>
          <w:lang w:val="es-ES"/>
        </w:rPr>
        <w:t>of</w:t>
      </w:r>
      <w:proofErr w:type="spellEnd"/>
      <w:r>
        <w:rPr>
          <w:rStyle w:val="nfasis"/>
          <w:rFonts w:eastAsia="Times New Roman"/>
          <w:color w:val="000000"/>
          <w:sz w:val="20"/>
          <w:szCs w:val="20"/>
          <w:lang w:val="es-ES"/>
        </w:rPr>
        <w:t xml:space="preserve"> </w:t>
      </w:r>
      <w:proofErr w:type="spellStart"/>
      <w:r>
        <w:rPr>
          <w:rStyle w:val="nfasis"/>
          <w:rFonts w:eastAsia="Times New Roman"/>
          <w:color w:val="000000"/>
          <w:sz w:val="20"/>
          <w:szCs w:val="20"/>
          <w:lang w:val="es-ES"/>
        </w:rPr>
        <w:t>Systems</w:t>
      </w:r>
      <w:proofErr w:type="spellEnd"/>
      <w:r>
        <w:rPr>
          <w:rStyle w:val="nfasis"/>
          <w:rFonts w:eastAsia="Times New Roman"/>
          <w:color w:val="000000"/>
          <w:sz w:val="20"/>
          <w:szCs w:val="20"/>
          <w:lang w:val="es-ES"/>
        </w:rPr>
        <w:t xml:space="preserve"> </w:t>
      </w:r>
      <w:proofErr w:type="spellStart"/>
      <w:r>
        <w:rPr>
          <w:rStyle w:val="nfasis"/>
          <w:rFonts w:eastAsia="Times New Roman"/>
          <w:color w:val="000000"/>
          <w:sz w:val="20"/>
          <w:szCs w:val="20"/>
          <w:lang w:val="es-ES"/>
        </w:rPr>
        <w:t>Science</w:t>
      </w:r>
      <w:proofErr w:type="spellEnd"/>
      <w:r>
        <w:rPr>
          <w:rFonts w:eastAsia="Times New Roman"/>
          <w:color w:val="000000"/>
          <w:sz w:val="20"/>
          <w:szCs w:val="20"/>
          <w:lang w:val="es-ES"/>
        </w:rPr>
        <w:t>, 2ª ed. New York, NY: Plenum Press, 2001.</w:t>
      </w:r>
    </w:p>
    <w:sectPr w:rsidR="00F22D2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40104"/>
    <w:multiLevelType w:val="multilevel"/>
    <w:tmpl w:val="67EE7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B43621"/>
    <w:multiLevelType w:val="multilevel"/>
    <w:tmpl w:val="A1A4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35D88"/>
    <w:multiLevelType w:val="multilevel"/>
    <w:tmpl w:val="E042C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1108238">
    <w:abstractNumId w:val="1"/>
  </w:num>
  <w:num w:numId="2" w16cid:durableId="1592422718">
    <w:abstractNumId w:val="2"/>
  </w:num>
  <w:num w:numId="3" w16cid:durableId="1119763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42B1"/>
    <w:rsid w:val="004B1AD4"/>
    <w:rsid w:val="00E842B1"/>
    <w:rsid w:val="00F22D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A02367"/>
  <w15:chartTrackingRefBased/>
  <w15:docId w15:val="{F590CB99-17F1-4DCE-9ADE-1623859B2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360" w:after="120"/>
      <w:jc w:val="center"/>
      <w:outlineLvl w:val="0"/>
    </w:pPr>
    <w:rPr>
      <w:b/>
      <w:bCs/>
      <w:caps/>
      <w:kern w:val="36"/>
      <w:sz w:val="20"/>
      <w:szCs w:val="20"/>
    </w:rPr>
  </w:style>
  <w:style w:type="paragraph" w:styleId="Ttulo2">
    <w:name w:val="heading 2"/>
    <w:basedOn w:val="Normal"/>
    <w:link w:val="Ttulo2Car"/>
    <w:uiPriority w:val="9"/>
    <w:qFormat/>
    <w:pPr>
      <w:spacing w:before="240" w:after="80"/>
      <w:outlineLvl w:val="1"/>
    </w:pPr>
    <w:rPr>
      <w:b/>
      <w:bCs/>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after="120"/>
      <w:ind w:firstLine="240"/>
    </w:pPr>
  </w:style>
  <w:style w:type="paragraph" w:styleId="NormalWeb">
    <w:name w:val="Normal (Web)"/>
    <w:basedOn w:val="Normal"/>
    <w:uiPriority w:val="99"/>
    <w:semiHidden/>
    <w:unhideWhenUsed/>
    <w:pPr>
      <w:spacing w:after="120"/>
      <w:ind w:firstLine="240"/>
    </w:pPr>
  </w:style>
  <w:style w:type="paragraph" w:customStyle="1" w:styleId="paper-header">
    <w:name w:val="paper-header"/>
    <w:basedOn w:val="Normal"/>
    <w:pPr>
      <w:spacing w:before="100" w:beforeAutospacing="1" w:after="480"/>
      <w:jc w:val="center"/>
    </w:pPr>
  </w:style>
  <w:style w:type="paragraph" w:customStyle="1" w:styleId="paper-title">
    <w:name w:val="paper-title"/>
    <w:basedOn w:val="Normal"/>
    <w:pPr>
      <w:spacing w:before="100" w:beforeAutospacing="1" w:after="240"/>
    </w:pPr>
    <w:rPr>
      <w:sz w:val="48"/>
      <w:szCs w:val="48"/>
    </w:rPr>
  </w:style>
  <w:style w:type="paragraph" w:customStyle="1" w:styleId="authors">
    <w:name w:val="authors"/>
    <w:basedOn w:val="Normal"/>
    <w:pPr>
      <w:spacing w:before="100" w:beforeAutospacing="1" w:after="120"/>
    </w:pPr>
    <w:rPr>
      <w:sz w:val="22"/>
      <w:szCs w:val="22"/>
    </w:rPr>
  </w:style>
  <w:style w:type="paragraph" w:customStyle="1" w:styleId="affiliation">
    <w:name w:val="affiliation"/>
    <w:basedOn w:val="Normal"/>
    <w:pPr>
      <w:spacing w:before="100" w:beforeAutospacing="1" w:after="360"/>
    </w:pPr>
    <w:rPr>
      <w:i/>
      <w:iCs/>
      <w:color w:val="333333"/>
      <w:sz w:val="20"/>
      <w:szCs w:val="20"/>
    </w:rPr>
  </w:style>
  <w:style w:type="paragraph" w:customStyle="1" w:styleId="paper-body">
    <w:name w:val="paper-body"/>
    <w:basedOn w:val="Normal"/>
    <w:pPr>
      <w:jc w:val="both"/>
    </w:pPr>
  </w:style>
  <w:style w:type="paragraph" w:customStyle="1" w:styleId="abstract-section">
    <w:name w:val="abstract-section"/>
    <w:basedOn w:val="Normal"/>
    <w:pPr>
      <w:pBdr>
        <w:top w:val="single" w:sz="6" w:space="6" w:color="000000"/>
        <w:bottom w:val="single" w:sz="6" w:space="6" w:color="000000"/>
      </w:pBdr>
      <w:spacing w:before="100" w:beforeAutospacing="1" w:after="360"/>
    </w:pPr>
    <w:rPr>
      <w:sz w:val="18"/>
      <w:szCs w:val="18"/>
    </w:rPr>
  </w:style>
  <w:style w:type="paragraph" w:customStyle="1" w:styleId="abstract-title">
    <w:name w:val="abstract-title"/>
    <w:basedOn w:val="Normal"/>
    <w:pPr>
      <w:spacing w:before="100" w:beforeAutospacing="1" w:after="60"/>
    </w:pPr>
    <w:rPr>
      <w:b/>
      <w:bCs/>
      <w:i/>
      <w:iCs/>
    </w:rPr>
  </w:style>
  <w:style w:type="paragraph" w:customStyle="1" w:styleId="abstract-text">
    <w:name w:val="abstract-text"/>
    <w:basedOn w:val="Normal"/>
    <w:pPr>
      <w:spacing w:before="100" w:beforeAutospacing="1" w:after="60"/>
    </w:pPr>
  </w:style>
  <w:style w:type="paragraph" w:customStyle="1" w:styleId="keywords-title">
    <w:name w:val="keywords-title"/>
    <w:basedOn w:val="Normal"/>
    <w:pPr>
      <w:spacing w:before="120" w:after="60"/>
    </w:pPr>
    <w:rPr>
      <w:b/>
      <w:bCs/>
      <w:i/>
      <w:iCs/>
    </w:rPr>
  </w:style>
  <w:style w:type="paragraph" w:customStyle="1" w:styleId="keywords-text">
    <w:name w:val="keywords-text"/>
    <w:basedOn w:val="Normal"/>
    <w:pPr>
      <w:spacing w:before="100" w:beforeAutospacing="1" w:after="60"/>
    </w:pPr>
  </w:style>
  <w:style w:type="paragraph" w:customStyle="1" w:styleId="no-indent">
    <w:name w:val="no-indent"/>
    <w:basedOn w:val="Normal"/>
    <w:pPr>
      <w:spacing w:before="100" w:beforeAutospacing="1" w:after="60"/>
    </w:pPr>
  </w:style>
  <w:style w:type="paragraph" w:customStyle="1" w:styleId="references">
    <w:name w:val="references"/>
    <w:basedOn w:val="Normal"/>
  </w:style>
  <w:style w:type="paragraph" w:customStyle="1" w:styleId="table-container">
    <w:name w:val="table-container"/>
    <w:basedOn w:val="Normal"/>
    <w:pPr>
      <w:spacing w:before="240" w:after="240"/>
      <w:jc w:val="center"/>
    </w:pPr>
  </w:style>
  <w:style w:type="paragraph" w:customStyle="1" w:styleId="table-caption">
    <w:name w:val="table-caption"/>
    <w:basedOn w:val="Normal"/>
    <w:pPr>
      <w:spacing w:before="100" w:beforeAutospacing="1" w:after="120"/>
    </w:pPr>
    <w:rPr>
      <w:b/>
      <w:bCs/>
      <w:caps/>
      <w:sz w:val="16"/>
      <w:szCs w:val="16"/>
    </w:r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12682">
      <w:marLeft w:val="0"/>
      <w:marRight w:val="0"/>
      <w:marTop w:val="240"/>
      <w:marBottom w:val="240"/>
      <w:divBdr>
        <w:top w:val="none" w:sz="0" w:space="0" w:color="auto"/>
        <w:left w:val="none" w:sz="0" w:space="0" w:color="auto"/>
        <w:bottom w:val="none" w:sz="0" w:space="0" w:color="auto"/>
        <w:right w:val="none" w:sz="0" w:space="0" w:color="auto"/>
      </w:divBdr>
      <w:divsChild>
        <w:div w:id="1390033059">
          <w:marLeft w:val="0"/>
          <w:marRight w:val="0"/>
          <w:marTop w:val="0"/>
          <w:marBottom w:val="120"/>
          <w:divBdr>
            <w:top w:val="none" w:sz="0" w:space="0" w:color="auto"/>
            <w:left w:val="none" w:sz="0" w:space="0" w:color="auto"/>
            <w:bottom w:val="none" w:sz="0" w:space="0" w:color="auto"/>
            <w:right w:val="none" w:sz="0" w:space="0" w:color="auto"/>
          </w:divBdr>
        </w:div>
      </w:divsChild>
    </w:div>
    <w:div w:id="337075204">
      <w:marLeft w:val="0"/>
      <w:marRight w:val="0"/>
      <w:marTop w:val="0"/>
      <w:marBottom w:val="360"/>
      <w:divBdr>
        <w:top w:val="single" w:sz="6" w:space="6" w:color="000000"/>
        <w:left w:val="none" w:sz="0" w:space="0" w:color="auto"/>
        <w:bottom w:val="single" w:sz="6" w:space="6" w:color="000000"/>
        <w:right w:val="none" w:sz="0" w:space="0" w:color="auto"/>
      </w:divBdr>
      <w:divsChild>
        <w:div w:id="1903245975">
          <w:marLeft w:val="0"/>
          <w:marRight w:val="0"/>
          <w:marTop w:val="0"/>
          <w:marBottom w:val="0"/>
          <w:divBdr>
            <w:top w:val="none" w:sz="0" w:space="0" w:color="auto"/>
            <w:left w:val="none" w:sz="0" w:space="0" w:color="auto"/>
            <w:bottom w:val="none" w:sz="0" w:space="0" w:color="auto"/>
            <w:right w:val="none" w:sz="0" w:space="0" w:color="auto"/>
          </w:divBdr>
          <w:divsChild>
            <w:div w:id="544174223">
              <w:marLeft w:val="0"/>
              <w:marRight w:val="0"/>
              <w:marTop w:val="0"/>
              <w:marBottom w:val="0"/>
              <w:divBdr>
                <w:top w:val="none" w:sz="0" w:space="0" w:color="auto"/>
                <w:left w:val="none" w:sz="0" w:space="0" w:color="auto"/>
                <w:bottom w:val="none" w:sz="0" w:space="0" w:color="auto"/>
                <w:right w:val="none" w:sz="0" w:space="0" w:color="auto"/>
              </w:divBdr>
            </w:div>
            <w:div w:id="1482621671">
              <w:marLeft w:val="0"/>
              <w:marRight w:val="0"/>
              <w:marTop w:val="0"/>
              <w:marBottom w:val="0"/>
              <w:divBdr>
                <w:top w:val="none" w:sz="0" w:space="0" w:color="auto"/>
                <w:left w:val="none" w:sz="0" w:space="0" w:color="auto"/>
                <w:bottom w:val="none" w:sz="0" w:space="0" w:color="auto"/>
                <w:right w:val="none" w:sz="0" w:space="0" w:color="auto"/>
              </w:divBdr>
            </w:div>
          </w:divsChild>
        </w:div>
        <w:div w:id="1505045404">
          <w:marLeft w:val="0"/>
          <w:marRight w:val="0"/>
          <w:marTop w:val="0"/>
          <w:marBottom w:val="0"/>
          <w:divBdr>
            <w:top w:val="none" w:sz="0" w:space="0" w:color="auto"/>
            <w:left w:val="none" w:sz="0" w:space="0" w:color="auto"/>
            <w:bottom w:val="none" w:sz="0" w:space="0" w:color="auto"/>
            <w:right w:val="none" w:sz="0" w:space="0" w:color="auto"/>
          </w:divBdr>
          <w:divsChild>
            <w:div w:id="988747362">
              <w:marLeft w:val="0"/>
              <w:marRight w:val="0"/>
              <w:marTop w:val="120"/>
              <w:marBottom w:val="0"/>
              <w:divBdr>
                <w:top w:val="none" w:sz="0" w:space="0" w:color="auto"/>
                <w:left w:val="none" w:sz="0" w:space="0" w:color="auto"/>
                <w:bottom w:val="none" w:sz="0" w:space="0" w:color="auto"/>
                <w:right w:val="none" w:sz="0" w:space="0" w:color="auto"/>
              </w:divBdr>
            </w:div>
            <w:div w:id="100620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97302">
      <w:marLeft w:val="0"/>
      <w:marRight w:val="0"/>
      <w:marTop w:val="0"/>
      <w:marBottom w:val="480"/>
      <w:divBdr>
        <w:top w:val="none" w:sz="0" w:space="0" w:color="auto"/>
        <w:left w:val="none" w:sz="0" w:space="0" w:color="auto"/>
        <w:bottom w:val="none" w:sz="0" w:space="0" w:color="auto"/>
        <w:right w:val="none" w:sz="0" w:space="0" w:color="auto"/>
      </w:divBdr>
      <w:divsChild>
        <w:div w:id="2120946876">
          <w:marLeft w:val="0"/>
          <w:marRight w:val="0"/>
          <w:marTop w:val="0"/>
          <w:marBottom w:val="240"/>
          <w:divBdr>
            <w:top w:val="none" w:sz="0" w:space="0" w:color="auto"/>
            <w:left w:val="none" w:sz="0" w:space="0" w:color="auto"/>
            <w:bottom w:val="none" w:sz="0" w:space="0" w:color="auto"/>
            <w:right w:val="none" w:sz="0" w:space="0" w:color="auto"/>
          </w:divBdr>
        </w:div>
        <w:div w:id="1861511400">
          <w:marLeft w:val="0"/>
          <w:marRight w:val="0"/>
          <w:marTop w:val="0"/>
          <w:marBottom w:val="120"/>
          <w:divBdr>
            <w:top w:val="none" w:sz="0" w:space="0" w:color="auto"/>
            <w:left w:val="none" w:sz="0" w:space="0" w:color="auto"/>
            <w:bottom w:val="none" w:sz="0" w:space="0" w:color="auto"/>
            <w:right w:val="none" w:sz="0" w:space="0" w:color="auto"/>
          </w:divBdr>
        </w:div>
        <w:div w:id="1090203747">
          <w:marLeft w:val="0"/>
          <w:marRight w:val="0"/>
          <w:marTop w:val="0"/>
          <w:marBottom w:val="36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2055</Words>
  <Characters>11304</Characters>
  <Application>Microsoft Office Word</Application>
  <DocSecurity>0</DocSecurity>
  <Lines>94</Lines>
  <Paragraphs>26</Paragraphs>
  <ScaleCrop>false</ScaleCrop>
  <Company/>
  <LinksUpToDate>false</LinksUpToDate>
  <CharactersWithSpaces>13333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un Objeto Virtual de Aprendizaje (OVA) para la Enseñanza de Conceptos Formales de TGS</dc:title>
  <dc:subject/>
  <dc:creator>JHON ALEXANDER AREVALO ROPERO</dc:creator>
  <cp:keywords/>
  <dc:description/>
  <cp:lastModifiedBy>JHON ALEXANDER AREVALO ROPERO</cp:lastModifiedBy>
  <cp:revision>2</cp:revision>
  <dcterms:created xsi:type="dcterms:W3CDTF">2026-05-30T02:31:00Z</dcterms:created>
  <dcterms:modified xsi:type="dcterms:W3CDTF">2026-05-30T02:31:00Z</dcterms:modified>
</cp:coreProperties>
</file>