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Due Diligence Report: Production Architecture, Traceability Mechanics, and Regulatory Compliance for Banking Agentic AI</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Investigation of Commercial Vendor Frameworks and Production Deployments</w:t>
      </w:r>
    </w:p>
    <w:p w:rsidR="00000000" w:rsidDel="00000000" w:rsidP="00000000" w:rsidRDefault="00000000" w:rsidRPr="00000000" w14:paraId="0000000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FIS and Anthropic Financial Crimes AI Agent</w:t>
      </w:r>
    </w:p>
    <w:p w:rsidR="00000000" w:rsidDel="00000000" w:rsidP="00000000" w:rsidRDefault="00000000" w:rsidRPr="00000000" w14:paraId="00000004">
      <w:pPr>
        <w:numPr>
          <w:ilvl w:val="0"/>
          <w:numId w:val="1"/>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Marketing-Only / High-Level Architectural Announcement (No Core Source Code or Granular API Specifications Publicly Disclosed for the Joint Solution).</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joint initiative announced by Fidelity National Information Services (FIS) and Anthropic focuses on an enterprise Financial Crimes AI Agent designed to automate Anti-Money Laundering (AML) alert triage and case investigations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Deployed initially with early-adopting institutions including BMO and Amalgamated Bank, the platform is targeted to compress investigation timelines from hours down to minutes by automatically aggregating transaction records and unstructured evidence across core banking systems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From an architectural standpoint, public disclosures establish that the system operates on a vendor-of-record platform model paired with an embedded model provider</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FIS functions as the regulated entity platform, holding client data entirely within FIS-controlled infrastructure boundaries, enforcing security and compliance guardrails, and managing data connectors across core banking rails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Anthropic supplies the reasoning engine powered by Claude</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To facilitate deployment, Anthropic embedded its Applied AI team and Forward-Deployed Engineers (FDEs) directly within FIS to co-design the inaugural financial crime agent and establish internal evaluation frameworks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While FIS asserts that every conclusion reached by the agent links directly back to source data and leaves ultimate decision authority with human investigators, public technical details regarding exact API schemas, vector database structures, or audit trail event payloads remain unavailable</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The platform claims interoperability with non-FIS core banking systems via open integration standards, but granular wire protocols or system specifications have not been published open-source</w:t>
      </w:r>
      <w:r w:rsidDel="00000000" w:rsidR="00000000" w:rsidRPr="00000000">
        <w:rPr>
          <w:rFonts w:ascii="Arial" w:cs="Arial" w:eastAsia="Arial" w:hAnsi="Arial"/>
          <w:color w:val="444746"/>
          <w:sz w:val="24"/>
          <w:szCs w:val="24"/>
          <w:vertAlign w:val="superscript"/>
          <w:rtl w:val="0"/>
        </w:rPr>
        <w:t xml:space="preserve">4</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8">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Fiserv agentOS</w:t>
      </w:r>
    </w:p>
    <w:p w:rsidR="00000000" w:rsidDel="00000000" w:rsidP="00000000" w:rsidRDefault="00000000" w:rsidRPr="00000000" w14:paraId="00000009">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Conceptual Architecture Disclosed / Vendor Marketing Summary (No Public Engineering Whitepapers or Source Code Available).</w:t>
      </w:r>
    </w:p>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Fiserv announced agentOS as an operating system layer intended to manage, execute, and govern autonomous AI agents across core banking, issuer processing, payments, and account servicing workflows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Positioned for broad availability, the platform is co-developed alongside six financial institutions, with pilot use cases spanning commercial loan onboarding, daily operational reporting, and AML alert triage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Technical disclosures regarding agentOS define the platform through four high-level infrastructure controls: identity-bound execution, deterministic policy guardrails, real-time observability, and complete auditability</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Identity-bound execution restricts agents to specific service-account credentials mapped to predefined business workflows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Policy guardrails enforce access limits and deterministic rule validation prior to tool execution</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Observability features include real-time anomaly detection alongside execution kill switches to suspend rogue processes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Auditability capabilities are designed to maintain traceable interaction records allowing compliance teams to reconstruct agent sessions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Underneath the platform layer, Fiserv leverages third-party infrastructure, integrating OpenAI for select first-party agents and Amazon Web Services (AWS) via Amazon Bedrock and AgentCore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However, Fiserv has not released technical engineering whitepapers, event schema definitions, or open-source repositories detailing the mechanics of its orchestration engine</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0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Anthropic Financial Services Reference Frameworks and Claude Managed Agents API</w:t>
      </w:r>
    </w:p>
    <w:p w:rsidR="00000000" w:rsidDel="00000000" w:rsidP="00000000" w:rsidRDefault="00000000" w:rsidRPr="00000000" w14:paraId="0000000E">
      <w:pPr>
        <w:numPr>
          <w:ilvl w:val="0"/>
          <w:numId w:val="3"/>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Genuine Technical Depth Found.</w:t>
      </w:r>
    </w:p>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contrast to high-level vendor announcements, Anthropic publishes detailed reference architectures and open-source repositories (anthropics/financial-services) outlining technical implementations for auditable financial agents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These reference builds target high-liability financial tasks, including KYC File Screening, General Ledger Reconcilement, Statement Auditing, and Month-End Closures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The reference architecture constructs financial agents using five structured components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1">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Skills</w:t>
      </w:r>
      <w:r w:rsidDel="00000000" w:rsidR="00000000" w:rsidRPr="00000000">
        <w:rPr>
          <w:rFonts w:ascii="Arial" w:cs="Arial" w:eastAsia="Arial" w:hAnsi="Arial"/>
          <w:color w:val="1f1f1f"/>
          <w:rtl w:val="0"/>
        </w:rPr>
        <w:t xml:space="preserve">: Packaged markdown and JSON instruction sets that encode domain knowledge, data extraction rules, and procedural compliance steps into the model's system context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2">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Connectors</w:t>
      </w:r>
      <w:r w:rsidDel="00000000" w:rsidR="00000000" w:rsidRPr="00000000">
        <w:rPr>
          <w:rFonts w:ascii="Arial" w:cs="Arial" w:eastAsia="Arial" w:hAnsi="Arial"/>
          <w:color w:val="1f1f1f"/>
          <w:rtl w:val="0"/>
        </w:rPr>
        <w:t xml:space="preserve">: Data interfaces utilizing the Model Context Protocol (MCP) to provide governed access to market endpoints (e.g., FactSet, Moody's, LSEG) and internal enterprise data warehouses via standardized .mcp.json configurations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3">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Subagents</w:t>
      </w:r>
      <w:r w:rsidDel="00000000" w:rsidR="00000000" w:rsidRPr="00000000">
        <w:rPr>
          <w:rFonts w:ascii="Arial" w:cs="Arial" w:eastAsia="Arial" w:hAnsi="Arial"/>
          <w:color w:val="1f1f1f"/>
          <w:rtl w:val="0"/>
        </w:rPr>
        <w:t xml:space="preserve">: Isolated, task-specific Claude instances invoked by the primary orchestrating agent to execute modular sub-tasks (such as running specific compliance verification rules or peer comparables analysis), isolating reasoning contexts and preventing context window pollution</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4">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Managed Credential Vaults</w:t>
      </w:r>
      <w:r w:rsidDel="00000000" w:rsidR="00000000" w:rsidRPr="00000000">
        <w:rPr>
          <w:rFonts w:ascii="Arial" w:cs="Arial" w:eastAsia="Arial" w:hAnsi="Arial"/>
          <w:color w:val="1f1f1f"/>
          <w:rtl w:val="0"/>
        </w:rPr>
        <w:t xml:space="preserve">: Infrastructure components that store and inject API tokens at execution time, keeping authorization credentials isolated from the model's context window</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5">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Claude Managed Agents API (/v1/agents)</w:t>
      </w:r>
      <w:r w:rsidDel="00000000" w:rsidR="00000000" w:rsidRPr="00000000">
        <w:rPr>
          <w:rFonts w:ascii="Arial" w:cs="Arial" w:eastAsia="Arial" w:hAnsi="Arial"/>
          <w:color w:val="1f1f1f"/>
          <w:rtl w:val="0"/>
        </w:rPr>
        <w:t xml:space="preserve">: A stateful execution engine that maintains long-running sessions, server-side context persistence, and sandboxed container environments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The API streams state changes via Server-Sent Events (SSE) and emits complete audit logs in the management console, tracking tool inputs, outputs, subagent calls, and reasoning steps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Cutover Independent Orchestration Engine</w:t>
      </w:r>
    </w:p>
    <w:p w:rsidR="00000000" w:rsidDel="00000000" w:rsidP="00000000" w:rsidRDefault="00000000" w:rsidRPr="00000000" w14:paraId="00000017">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Verdict</w:t>
      </w:r>
      <w:r w:rsidDel="00000000" w:rsidR="00000000" w:rsidRPr="00000000">
        <w:rPr>
          <w:rFonts w:ascii="Arial" w:cs="Arial" w:eastAsia="Arial" w:hAnsi="Arial"/>
          <w:color w:val="1f1f1f"/>
          <w:rtl w:val="0"/>
        </w:rPr>
        <w:t xml:space="preserve">: Genuine Technical Depth Found.</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Cutover offers an enterprise orchestration platform deployed by Tier-1 financial institutions to automate operational runbooks and high-risk system changes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Designed to satisfy strict regulatory expectations, Cutover enforces an architectural pattern that decouples task execution from task verification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this environment, autonomous AI agents operate inside structured runbooks alongside human operators rather than acting as standalone unmonitored services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The orchestration engine manages authorization, permission boundaries, and audit trail generation externally</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Every tool call, state modification, human sign-off, or exception produces an immutable audit log directly within the runbook layer, preventing agents from verifying or approving their own output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Architecture of Traceability, Versioning, and Human-in-the-Loop Integration</w:t>
      </w:r>
    </w:p>
    <w:p w:rsidR="00000000" w:rsidDel="00000000" w:rsidP="00000000" w:rsidRDefault="00000000" w:rsidRPr="00000000" w14:paraId="0000001B">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Structural Representation of Decision and Evidence Outputs</w:t>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Production agentic banking systems demand strongly typed JSON schemas that explicitly separate high-level decision recommendations from underlying evidence chains, tool call histories, and document provenance metadata</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A representative production payload emitted by a document-to-decision agent captures document bounding boxes, cryptographic document hashes, exact text snippets, and tool execution logs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before="390" w:line="275.9999942779541" w:lineRule="auto"/>
        <w:ind w:left="480"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1f1f1f"/>
        </w:rPr>
      </w:pPr>
      <w:r w:rsidDel="00000000" w:rsidR="00000000" w:rsidRPr="00000000">
        <w:rPr>
          <w:rtl w:val="0"/>
        </w:rPr>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ind w:left="480" w:right="165" w:firstLine="0"/>
        <w:rPr>
          <w:rFonts w:ascii="Arial" w:cs="Arial" w:eastAsia="Arial" w:hAnsi="Arial"/>
          <w:color w:val="ffffff"/>
          <w:shd w:fill="141414" w:val="clear"/>
        </w:rPr>
      </w:pPr>
      <w:r w:rsidDel="00000000" w:rsidR="00000000" w:rsidRPr="00000000">
        <w:rPr>
          <w:rFonts w:ascii="Arial" w:cs="Arial" w:eastAsia="Arial" w:hAnsi="Arial"/>
          <w:color w:val="ffffff"/>
          <w:shd w:fill="141414" w:val="clear"/>
          <w:rtl w:val="0"/>
        </w:rPr>
        <w:t xml:space="preserve">JSON</w:t>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ind w:left="480" w:firstLine="0"/>
        <w:rPr>
          <w:rFonts w:ascii="Arial" w:cs="Arial" w:eastAsia="Arial" w:hAnsi="Arial"/>
          <w:color w:val="1f1f1f"/>
          <w:shd w:fill="141414" w:val="clear"/>
        </w:rPr>
      </w:pP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"case_id"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"CAS-2026-88912"</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"agent_id"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"kyc-aml-screener-v4"</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"session_id"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"sess_9921_mcp_exec"</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"timestamp"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"2026-05-18T14:32:10.045Z"</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"decision_summary"</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"action_recommended"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"ESCALATE_TO_COMPLIANCE"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"risk_score"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0.87</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"primary_typology"</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"STRUCTURING_BEHAVIOR"</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"evidence_chain"</w:t>
      </w:r>
      <w:r w:rsidDel="00000000" w:rsidR="00000000" w:rsidRPr="00000000">
        <w:rPr>
          <w:rFonts w:ascii="Arial" w:cs="Arial" w:eastAsia="Arial" w:hAnsi="Arial"/>
          <w:color w:val="1f1f1f"/>
          <w:shd w:fill="141414" w:val="clear"/>
          <w:rtl w:val="0"/>
        </w:rPr>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"fact_id"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"F-001"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"assertion"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"Multiple cash deposits immediately below the $10,000 CTR reporting threshold observed within 48 hours."</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"source_document"</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"document_id"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"DOC-TX-2026-05-01"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"document_version_hash"</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"e3b0c44298fc1c149afbf4c8996fb92427ae41e4649b934ca495991b7852b855"</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"uri"</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"s3://bank-core-vault/statements/2026/05/stmt_44912.pdf"</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"page_number"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3</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"bounding_box"</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120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450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520</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480</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"extracted_text_snippet"</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"05/02/2026 CASH DEPOSIT BRANCH 102 - $9,900.00"</w:t>
      </w:r>
      <w:r w:rsidDel="00000000" w:rsidR="00000000" w:rsidRPr="00000000">
        <w:rPr>
          <w:rFonts w:ascii="Arial" w:cs="Arial" w:eastAsia="Arial" w:hAnsi="Arial"/>
          <w:color w:val="1f1f1f"/>
          <w:shd w:fill="141414" w:val="clear"/>
          <w:rtl w:val="0"/>
        </w:rPr>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"tool_provenance"</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"tool_name"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"query_core_ledger"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"mcp_server"</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"fis-core-connector"</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"input_parameters"</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"account_id"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"ACC-44912"</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"start_date"</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"2026-05-01"</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"execution_timestamp"</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"2026-05-18T14:31:02.112Z"</w:t>
      </w:r>
      <w:r w:rsidDel="00000000" w:rsidR="00000000" w:rsidRPr="00000000">
        <w:rPr>
          <w:rFonts w:ascii="Arial" w:cs="Arial" w:eastAsia="Arial" w:hAnsi="Arial"/>
          <w:color w:val="1f1f1f"/>
          <w:shd w:fill="141414" w:val="clear"/>
          <w:rtl w:val="0"/>
        </w:rPr>
        <w:br w:type="textWrapping"/>
        <w:t xml:space="preserve">      }</w:t>
        <w:br w:type="textWrapping"/>
        <w:t xml:space="preserve">    }</w:t>
        <w:br w:type="textWrapping"/>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"verification_status"</w:t>
      </w:r>
      <w:r w:rsidDel="00000000" w:rsidR="00000000" w:rsidRPr="00000000">
        <w:rPr>
          <w:rFonts w:ascii="Arial" w:cs="Arial" w:eastAsia="Arial" w:hAnsi="Arial"/>
          <w:color w:val="1f1f1f"/>
          <w:shd w:fill="141414" w:val="clear"/>
          <w:rtl w:val="0"/>
        </w:rPr>
        <w:t xml:space="preserve">: {</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"subagent_validation"</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"PASSED"</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"subagent_id"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60d673"/>
          <w:sz w:val="20"/>
          <w:szCs w:val="20"/>
          <w:shd w:fill="141414" w:val="clear"/>
          <w:rtl w:val="0"/>
        </w:rPr>
        <w:t xml:space="preserve">"compliance-rules-checker-v2"</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"human_review_required"</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true</w:t>
      </w:r>
      <w:r w:rsidDel="00000000" w:rsidR="00000000" w:rsidRPr="00000000">
        <w:rPr>
          <w:rFonts w:ascii="Arial" w:cs="Arial" w:eastAsia="Arial" w:hAnsi="Arial"/>
          <w:color w:val="1f1f1f"/>
          <w:shd w:fill="141414" w:val="clear"/>
          <w:rtl w:val="0"/>
        </w:rPr>
        <w:t xml:space="preserve">,</w:t>
        <w:br w:type="textWrapping"/>
        <w:t xml:space="preserve">    </w:t>
      </w:r>
      <w:r w:rsidDel="00000000" w:rsidR="00000000" w:rsidRPr="00000000">
        <w:rPr>
          <w:rFonts w:ascii="Arial" w:cs="Arial" w:eastAsia="Arial" w:hAnsi="Arial"/>
          <w:i w:val="0"/>
          <w:iCs w:val="0"/>
          <w:color w:val="ff96da"/>
          <w:sz w:val="20"/>
          <w:szCs w:val="20"/>
          <w:shd w:fill="141414" w:val="clear"/>
          <w:rtl w:val="0"/>
        </w:rPr>
        <w:t xml:space="preserve">"human_signoff"</w:t>
      </w:r>
      <w:r w:rsidDel="00000000" w:rsidR="00000000" w:rsidRPr="00000000">
        <w:rPr>
          <w:rFonts w:ascii="Arial" w:cs="Arial" w:eastAsia="Arial" w:hAnsi="Arial"/>
          <w:color w:val="1f1f1f"/>
          <w:shd w:fill="141414" w:val="clear"/>
          <w:rtl w:val="0"/>
        </w:rPr>
        <w:t xml:space="preserve">: </w:t>
      </w:r>
      <w:r w:rsidDel="00000000" w:rsidR="00000000" w:rsidRPr="00000000">
        <w:rPr>
          <w:rFonts w:ascii="Arial" w:cs="Arial" w:eastAsia="Arial" w:hAnsi="Arial"/>
          <w:i w:val="0"/>
          <w:iCs w:val="0"/>
          <w:color w:val="ff96da"/>
          <w:sz w:val="20"/>
          <w:szCs w:val="20"/>
          <w:shd w:fill="141414" w:val="clear"/>
          <w:rtl w:val="0"/>
        </w:rPr>
        <w:t xml:space="preserve">null</w:t>
      </w:r>
      <w:r w:rsidDel="00000000" w:rsidR="00000000" w:rsidRPr="00000000">
        <w:rPr>
          <w:rFonts w:ascii="Arial" w:cs="Arial" w:eastAsia="Arial" w:hAnsi="Arial"/>
          <w:color w:val="1f1f1f"/>
          <w:shd w:fill="141414" w:val="clear"/>
          <w:rtl w:val="0"/>
        </w:rPr>
        <w:br w:type="textWrapping"/>
        <w:t xml:space="preserve">  }</w:t>
        <w:br w:type="textWrapping"/>
        <w:t xml:space="preserve">}</w:t>
        <w:br w:type="textWrapping"/>
      </w:r>
    </w:p>
    <w:p w:rsidR="00000000" w:rsidDel="00000000" w:rsidP="00000000" w:rsidRDefault="00000000" w:rsidRPr="00000000" w14:paraId="0000002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Document Versioning and Staleness Handling</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To prevent decisions based on outdated documentation, enterprise agentic RAG architectures enforce strict staleness controls across the retrieval pipeline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4">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Cryptographic Content Hashing</w:t>
      </w:r>
      <w:r w:rsidDel="00000000" w:rsidR="00000000" w:rsidRPr="00000000">
        <w:rPr>
          <w:rFonts w:ascii="Arial" w:cs="Arial" w:eastAsia="Arial" w:hAnsi="Arial"/>
          <w:color w:val="1f1f1f"/>
          <w:rtl w:val="0"/>
        </w:rPr>
        <w:t xml:space="preserve">: At document ingestion, a SHA-256 hash is computed for each document payload and chunk</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This hash is stored alongside document metadata and bound to the agent's active session state</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Pre-Execution Read Validation</w:t>
      </w:r>
      <w:r w:rsidDel="00000000" w:rsidR="00000000" w:rsidRPr="00000000">
        <w:rPr>
          <w:rFonts w:ascii="Arial" w:cs="Arial" w:eastAsia="Arial" w:hAnsi="Arial"/>
          <w:color w:val="1f1f1f"/>
          <w:rtl w:val="0"/>
        </w:rPr>
        <w:t xml:space="preserve">: Prior to finalizing a decision payload, the agent execution layer queries the document store to confirm that the SHA-256 hash of the retrieved document matches the active version in the repository. If a version mismatch occurs, the execution session invalidates its context and initiates a re-fetch workflow.</w:t>
      </w:r>
    </w:p>
    <w:p w:rsidR="00000000" w:rsidDel="00000000" w:rsidP="00000000" w:rsidRDefault="00000000" w:rsidRPr="00000000" w14:paraId="00000026">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Temporal State Isolation</w:t>
      </w:r>
      <w:r w:rsidDel="00000000" w:rsidR="00000000" w:rsidRPr="00000000">
        <w:rPr>
          <w:rFonts w:ascii="Arial" w:cs="Arial" w:eastAsia="Arial" w:hAnsi="Arial"/>
          <w:color w:val="1f1f1f"/>
          <w:rtl w:val="0"/>
        </w:rPr>
        <w:t xml:space="preserve">: Long-running agent sessions query version-controlled data snapshots (such as DealCenter data rooms or point-in-time relational tables) to ensure context consistency throughout multi-hour analysis workflows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Human-in-the-Loop (HITL) Architecture without Throughput Degradation</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Synchronous human approval blocks automated execution pipelines and causes processing bottlenecks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Production implementations bypass this bottleneck by decoupling agent analysis from core state modifications using asynchronous staging mechanisms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9">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Asynchronous Action Staging</w:t>
      </w:r>
      <w:r w:rsidDel="00000000" w:rsidR="00000000" w:rsidRPr="00000000">
        <w:rPr>
          <w:rFonts w:ascii="Arial" w:cs="Arial" w:eastAsia="Arial" w:hAnsi="Arial"/>
          <w:color w:val="1f1f1f"/>
          <w:rtl w:val="0"/>
        </w:rPr>
        <w:t xml:space="preserve">: Autonomous agents execute document extraction, fact linking, and draft generation end-to-end, pushing completed evidence packages to a intermediate staging queue rather than directly writing to core banking databases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A">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Risk-Based Dynamic Routing</w:t>
      </w:r>
      <w:r w:rsidDel="00000000" w:rsidR="00000000" w:rsidRPr="00000000">
        <w:rPr>
          <w:rFonts w:ascii="Arial" w:cs="Arial" w:eastAsia="Arial" w:hAnsi="Arial"/>
          <w:color w:val="1f1f1f"/>
          <w:rtl w:val="0"/>
        </w:rPr>
        <w:t xml:space="preserve">: Output packages undergo automated risk scoring</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Low-risk cases that meet predefined confidence thresholds route automatically to straight-through processing paths, while high-risk or ambiguous decisions are directed to human analyst workbenches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B">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Orchestration Workbench Integration</w:t>
      </w:r>
      <w:r w:rsidDel="00000000" w:rsidR="00000000" w:rsidRPr="00000000">
        <w:rPr>
          <w:rFonts w:ascii="Arial" w:cs="Arial" w:eastAsia="Arial" w:hAnsi="Arial"/>
          <w:color w:val="1f1f1f"/>
          <w:rtl w:val="0"/>
        </w:rPr>
        <w:t xml:space="preserve">: Human reviewers inspect pre-assembled evidence packages, source citations, and draft narratives within dedicated review interfaces (such as Cutover runbooks or compliance dashboards)</w:t>
      </w:r>
      <w:r w:rsidDel="00000000" w:rsidR="00000000" w:rsidRPr="00000000">
        <w:rPr>
          <w:rFonts w:ascii="Arial" w:cs="Arial" w:eastAsia="Arial" w:hAnsi="Arial"/>
          <w:color w:val="444746"/>
          <w:sz w:val="24"/>
          <w:szCs w:val="24"/>
          <w:vertAlign w:val="superscript"/>
          <w:rtl w:val="0"/>
        </w:rPr>
        <w:t xml:space="preserve">3</w:t>
      </w:r>
      <w:r w:rsidDel="00000000" w:rsidR="00000000" w:rsidRPr="00000000">
        <w:rPr>
          <w:rFonts w:ascii="Arial" w:cs="Arial" w:eastAsia="Arial" w:hAnsi="Arial"/>
          <w:color w:val="1f1f1f"/>
          <w:rtl w:val="0"/>
        </w:rPr>
        <w:t xml:space="preserve">. The human sign-off action triggers the underlying execution engine to commit the staged transaction to the system of record</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Regulatory Mandates and Supervision Requirements (FINRA &amp; OCC)</w:t>
      </w:r>
    </w:p>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FINRA 2026 Annual Regulatory Oversight Guidance</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FINRA’s 2026 Annual Regulatory Oversight Report established specific supervisory expectations for Generative AI and autonomous AI Agents operating within member firms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FINRA defines AI agents as autonomous software programs capable of planning, executing multi-step workflows, and taking actions on behalf of users, distinguishing them from passive summarization tools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FINRA’s regulatory framework requires:</w:t>
      </w:r>
    </w:p>
    <w:p w:rsidR="00000000" w:rsidDel="00000000" w:rsidP="00000000" w:rsidRDefault="00000000" w:rsidRPr="00000000" w14:paraId="00000030">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Scope of Authority and Access Guardrails</w:t>
      </w:r>
      <w:r w:rsidDel="00000000" w:rsidR="00000000" w:rsidRPr="00000000">
        <w:rPr>
          <w:rFonts w:ascii="Arial" w:cs="Arial" w:eastAsia="Arial" w:hAnsi="Arial"/>
          <w:color w:val="1f1f1f"/>
          <w:rtl w:val="0"/>
        </w:rPr>
        <w:t xml:space="preserve">: Member firms must enforce least-privilege access controls ensuring AI agents cannot take actions exceeding the permission level of the authorizing user</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Autonomous agents require explicit permission boundaries and instant kill switches to block unapproved transactions</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1">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Traceability of Multi-Step Reasoning</w:t>
      </w:r>
      <w:r w:rsidDel="00000000" w:rsidR="00000000" w:rsidRPr="00000000">
        <w:rPr>
          <w:rFonts w:ascii="Arial" w:cs="Arial" w:eastAsia="Arial" w:hAnsi="Arial"/>
          <w:color w:val="1f1f1f"/>
          <w:rtl w:val="0"/>
        </w:rPr>
        <w:t xml:space="preserve">: Firms must maintain detailed audit trails capable of reconstructing complex, multi-step agent reasoning chains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 Opaque decision pathways are treated as supervisory failures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2">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Books-and-Records Compliance</w:t>
      </w:r>
      <w:r w:rsidDel="00000000" w:rsidR="00000000" w:rsidRPr="00000000">
        <w:rPr>
          <w:rFonts w:ascii="Arial" w:cs="Arial" w:eastAsia="Arial" w:hAnsi="Arial"/>
          <w:color w:val="1f1f1f"/>
          <w:rtl w:val="0"/>
        </w:rPr>
        <w:t xml:space="preserve">: Under FINRA Rule 3110 and SEC recordkeeping rules, firms must archive all prompt histories, agent context states, tool inputs, outputs, and generated customer communications in immutable storage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3">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Documented Human Oversight</w:t>
      </w:r>
      <w:r w:rsidDel="00000000" w:rsidR="00000000" w:rsidRPr="00000000">
        <w:rPr>
          <w:rFonts w:ascii="Arial" w:cs="Arial" w:eastAsia="Arial" w:hAnsi="Arial"/>
          <w:color w:val="1f1f1f"/>
          <w:rtl w:val="0"/>
        </w:rPr>
        <w:t xml:space="preserve">: Written Supervisory Procedures (WSPs) must establish mandatory human-in-the-loop validation checkpoints for high-risk operations, automated advice, and compliance-impacting decisions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OCC Bulletin 2026-13 / Federal Reserve SR 26-2 Framework</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On April 17, 2026, the Federal Reserve, OCC, and FDIC jointly released revised interagency guidance on Model Risk Management (SR 26-2 / OCC Bulletin 2026-13 / FDIC FIL-15-2026), replacing legacy guidelines SR 11-7 and SR 21-8</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Footnote 3, regulators introduced a distinct boundary: Generative AI and agentic AI models are explicitly excluded from the narrow technical definition of quantitative models governed by SR 26-2 due to their rapid technical evolution</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However, the guidance explicitly instructs banking organizations to apply enterprise risk management frameworks and baseline governance controls to these systems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7">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Independent "Effective Challenge"</w:t>
      </w:r>
      <w:r w:rsidDel="00000000" w:rsidR="00000000" w:rsidRPr="00000000">
        <w:rPr>
          <w:rFonts w:ascii="Arial" w:cs="Arial" w:eastAsia="Arial" w:hAnsi="Arial"/>
          <w:color w:val="1f1f1f"/>
          <w:rtl w:val="0"/>
        </w:rPr>
        <w:t xml:space="preserve">: Model validation and outcome verification must be conducted by systems or personnel independent of the agent executing the work</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 Agents are strictly prohibited from validating their own output</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8">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Materiality-Based Tiered Governance</w:t>
      </w:r>
      <w:r w:rsidDel="00000000" w:rsidR="00000000" w:rsidRPr="00000000">
        <w:rPr>
          <w:rFonts w:ascii="Arial" w:cs="Arial" w:eastAsia="Arial" w:hAnsi="Arial"/>
          <w:color w:val="1f1f1f"/>
          <w:rtl w:val="0"/>
        </w:rPr>
        <w:t xml:space="preserve">: Risk oversight intensity must scale directly with model materiality, calculated as a function of financial exposure and decision criticality</w:t>
      </w:r>
      <w:r w:rsidDel="00000000" w:rsidR="00000000" w:rsidRPr="00000000">
        <w:rPr>
          <w:rFonts w:ascii="Arial" w:cs="Arial" w:eastAsia="Arial" w:hAnsi="Arial"/>
          <w:color w:val="444746"/>
          <w:sz w:val="24"/>
          <w:szCs w:val="24"/>
          <w:vertAlign w:val="superscript"/>
          <w:rtl w:val="0"/>
        </w:rPr>
        <w:t xml:space="preserve">11</w:t>
      </w:r>
      <w:r w:rsidDel="00000000" w:rsidR="00000000" w:rsidRPr="00000000">
        <w:rPr>
          <w:rFonts w:ascii="Arial" w:cs="Arial" w:eastAsia="Arial" w:hAnsi="Arial"/>
          <w:color w:val="1f1f1f"/>
          <w:rtl w:val="0"/>
        </w:rPr>
        <w:t xml:space="preserve">. High-materiality agents require pre-deployment red-teaming, continuous drift monitoring, and mandatory human controls</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9">
      <w:pPr>
        <w:numPr>
          <w:ilvl w:val="0"/>
          <w:numId w:val="9"/>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Arial" w:cs="Arial" w:eastAsia="Arial" w:hAnsi="Arial"/>
          <w:b w:val="1"/>
          <w:bCs w:val="1"/>
          <w:color w:val="1f1f1f"/>
          <w:rtl w:val="0"/>
        </w:rPr>
        <w:t xml:space="preserve">Data Minimization and Execution Boundary Security</w:t>
      </w:r>
      <w:r w:rsidDel="00000000" w:rsidR="00000000" w:rsidRPr="00000000">
        <w:rPr>
          <w:rFonts w:ascii="Arial" w:cs="Arial" w:eastAsia="Arial" w:hAnsi="Arial"/>
          <w:color w:val="1f1f1f"/>
          <w:rtl w:val="0"/>
        </w:rPr>
        <w:t xml:space="preserve">: Agents must consume enterprise data strictly at the point of task execution, prohibiting ungoverned scraping or retention of customer data within model context layers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A">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Industry Failure Modes, Audit Vulnerabilities, and Operational Post-Mortems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Analysis of supervisory actions and engineering post-mortems highlights four primary operational failure modes in agentic banking deployments:</w:t>
      </w:r>
    </w:p>
    <w:p w:rsidR="00000000" w:rsidDel="00000000" w:rsidP="00000000" w:rsidRDefault="00000000" w:rsidRPr="00000000" w14:paraId="0000003C">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Unconstrained Authority and Privilege Escalation</w:t>
      </w:r>
    </w:p>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 several early enterprise pilots, agentic systems provided with open-ended API connectors executed operations outside their intended operational scope</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In one instance, an agent configured for customer service triage initiated unauthorized account status modifications when processing ambiguous customer inputs</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Regulatory reviews noted that system prompts alone are insufficient to restrict agent behavior; authorization boundaries must be enforced deterministically at the API gateway level</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3E">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Context Degradation and Reasoning Opacity</w:t>
      </w:r>
    </w:p>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During multi-document retrieval tasks, agents operating with unmanaged context windows suffered performance degradation over extended execution sessions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Models failed to retrieve updated document revisions, occasionally combining facts across separate customer records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Additionally, systems relying on unstructured chain-of-thought reasoning without structured event logging proved impossible to audit during post-hoc incident reviews</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Credential Exposure and Data Leakage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Deployments lacking dedicated credential management vaults inadvertently exposed internal system identifiers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Agents passing raw authentication tokens or un-sanitized customer PII directly into LLM context windows exposed sensitive data to external endpoint logs, resulting in regulatory warnings regarding third-party vendor oversight</w:t>
      </w:r>
      <w:r w:rsidDel="00000000" w:rsidR="00000000" w:rsidRPr="00000000">
        <w:rPr>
          <w:rFonts w:ascii="Arial" w:cs="Arial" w:eastAsia="Arial" w:hAnsi="Arial"/>
          <w:color w:val="444746"/>
          <w:sz w:val="24"/>
          <w:szCs w:val="24"/>
          <w:vertAlign w:val="superscript"/>
          <w:rtl w:val="0"/>
        </w:rPr>
        <w:t xml:space="preserve">12</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Superficial Human Oversight ("AI Washing")</w:t>
      </w:r>
    </w:p>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Regulators have penalized institutions that claimed to maintain human supervisory oversight while operating automated pipelines that human analysts reviewed superficially</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 When human operators approve agent-generated decisions without inspecting underlying evidence packages, regulators treat the workflow as an unmonitored autonomous system, violating basic supervisory obligations under FINRA Rule 3110</w:t>
      </w:r>
      <w:r w:rsidDel="00000000" w:rsidR="00000000" w:rsidRPr="00000000">
        <w:rPr>
          <w:rFonts w:ascii="Arial" w:cs="Arial" w:eastAsia="Arial" w:hAnsi="Arial"/>
          <w:color w:val="444746"/>
          <w:sz w:val="24"/>
          <w:szCs w:val="24"/>
          <w:vertAlign w:val="superscript"/>
          <w:rtl w:val="0"/>
        </w:rPr>
        <w:t xml:space="preserve">8</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44">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Concrete Architectural Patterns Matrix</w:t>
      </w:r>
    </w:p>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2340"/>
        <w:gridCol w:w="2340"/>
        <w:gridCol w:w="2340"/>
        <w:gridCol w:w="2340"/>
        <w:tblGridChange w:id="0">
          <w:tblGrid>
            <w:gridCol w:w="2340"/>
            <w:gridCol w:w="2340"/>
            <w:gridCol w:w="2340"/>
            <w:gridCol w:w="234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Pattern Name</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System / Vendor</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Source Link / Specification</w:t>
            </w:r>
          </w:p>
        </w:tc>
        <w:tc>
          <w:tcPr>
            <w:tcBorders>
              <w:top w:color="c4c7c5" w:space="0" w:sz="6" w:val="single"/>
              <w:left w:color="c4c7c5" w:space="0" w:sz="6" w:val="single"/>
              <w:bottom w:color="c4c7c5" w:space="0" w:sz="6" w:val="single"/>
              <w:right w:color="c4c7c5" w:space="0" w:sz="6" w:val="single"/>
            </w:tcBorders>
            <w:shd w:fill="efefef"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shd w:fill="auto" w:val="clear"/>
              </w:rPr>
            </w:pPr>
            <w:r w:rsidDel="00000000" w:rsidR="00000000" w:rsidRPr="00000000">
              <w:rPr>
                <w:rFonts w:ascii="Arial" w:cs="Arial" w:eastAsia="Arial" w:hAnsi="Arial"/>
                <w:b w:val="1"/>
                <w:bCs w:val="1"/>
                <w:color w:val="1f1f1f"/>
                <w:shd w:fill="auto" w:val="clear"/>
                <w:rtl w:val="0"/>
              </w:rPr>
              <w:t xml:space="preserve">Hackathon Build Implementation Strategy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Model Context Protocol (MCP) Data Connectors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Anthropic Reference Architecture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6">
              <w:r w:rsidDel="00000000" w:rsidR="00000000" w:rsidRPr="00000000">
                <w:rPr>
                  <w:rFonts w:ascii="Arial" w:cs="Arial" w:eastAsia="Arial" w:hAnsi="Arial"/>
                  <w:color w:val="000000"/>
                  <w:u w:val="single"/>
                  <w:rtl w:val="0"/>
                </w:rPr>
                <w:t xml:space="preserve">github.com/anthropics/financial-services</w:t>
              </w:r>
            </w:hyperlink>
            <w:r w:rsidDel="00000000" w:rsidR="00000000" w:rsidRPr="00000000">
              <w:rPr>
                <w:rtl w:val="0"/>
              </w:rPr>
            </w:r>
          </w:p>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Standardize document retrieval and core transaction queries using discrete MCP server interfaces defined in .mcp.json. Isolate data access from prompt logic</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Asynchronous Action Staging Engine</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Anthropic Financial Services / Cutover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7">
              <w:r w:rsidDel="00000000" w:rsidR="00000000" w:rsidRPr="00000000">
                <w:rPr>
                  <w:rFonts w:ascii="Arial" w:cs="Arial" w:eastAsia="Arial" w:hAnsi="Arial"/>
                  <w:color w:val="000000"/>
                  <w:u w:val="single"/>
                  <w:rtl w:val="0"/>
                </w:rPr>
                <w:t xml:space="preserve">platform.claude.com/docs/en/managed-agents/overview</w:t>
              </w:r>
            </w:hyperlink>
            <w:r w:rsidDel="00000000" w:rsidR="00000000" w:rsidRPr="00000000">
              <w:rPr>
                <w:rtl w:val="0"/>
              </w:rPr>
            </w:r>
          </w:p>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Prevent agents from executing direct database writes. Have the agent output structured JSON action staging objects to a review queue requiring human sign-off</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Decoupled Verification Subagents</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5">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Anthropic Financial Services Stack</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8">
              <w:r w:rsidDel="00000000" w:rsidR="00000000" w:rsidRPr="00000000">
                <w:rPr>
                  <w:rFonts w:ascii="Arial" w:cs="Arial" w:eastAsia="Arial" w:hAnsi="Arial"/>
                  <w:color w:val="000000"/>
                  <w:u w:val="single"/>
                  <w:rtl w:val="0"/>
                </w:rPr>
                <w:t xml:space="preserve">anthropic.com/news/finance-agents</w:t>
              </w:r>
            </w:hyperlink>
            <w:r w:rsidDel="00000000" w:rsidR="00000000" w:rsidRPr="00000000">
              <w:rPr>
                <w:rtl w:val="0"/>
              </w:rPr>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Instantiate secondary, isolated LLM reviewer instances to evaluate primary agent evidence packages against rule sets before presenting to human operators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9">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Point-in-Time Cryptographic Document Hashing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FIS Orchestrated Intelligence / Enterprise RAG</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B">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9">
              <w:r w:rsidDel="00000000" w:rsidR="00000000" w:rsidRPr="00000000">
                <w:rPr>
                  <w:rFonts w:ascii="Arial" w:cs="Arial" w:eastAsia="Arial" w:hAnsi="Arial"/>
                  <w:color w:val="000000"/>
                  <w:u w:val="single"/>
                  <w:rtl w:val="0"/>
                </w:rPr>
                <w:t xml:space="preserve">businesswire.com/news/home/20260504126906/en/</w:t>
              </w:r>
            </w:hyperlink>
            <w:r w:rsidDel="00000000" w:rsidR="00000000" w:rsidRPr="00000000">
              <w:rPr>
                <w:rtl w:val="0"/>
              </w:rPr>
            </w:r>
          </w:p>
          <w:p w:rsidR="00000000" w:rsidDel="00000000" w:rsidP="00000000" w:rsidRDefault="00000000" w:rsidRPr="00000000" w14:paraId="0000005C">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2,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D">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Hash incoming PDF/document chunks (SHA-256) at ingestion. Pin hashes to the decision output schema to ensure document version staleness checks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E">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Independent Orchestration Governance Layer</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Cutover Runbook Execution Platform</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0">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0">
              <w:r w:rsidDel="00000000" w:rsidR="00000000" w:rsidRPr="00000000">
                <w:rPr>
                  <w:rFonts w:ascii="Arial" w:cs="Arial" w:eastAsia="Arial" w:hAnsi="Arial"/>
                  <w:color w:val="000000"/>
                  <w:u w:val="single"/>
                  <w:rtl w:val="0"/>
                </w:rPr>
                <w:t xml:space="preserve">cutover.com/blog/what-sr-26-2-means-for-banks-deploying-agentic-ai</w:t>
              </w:r>
            </w:hyperlink>
            <w:r w:rsidDel="00000000" w:rsidR="00000000" w:rsidRPr="00000000">
              <w:rPr>
                <w:rtl w:val="0"/>
              </w:rPr>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10]</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2">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Wrap agent execution steps inside a state machine that records tool parameters, execution timestamps, and reviewer responses independently of the model</w:t>
            </w:r>
            <w:r w:rsidDel="00000000" w:rsidR="00000000" w:rsidRPr="00000000">
              <w:rPr>
                <w:rFonts w:ascii="Arial" w:cs="Arial" w:eastAsia="Arial" w:hAnsi="Arial"/>
                <w:color w:val="444746"/>
                <w:sz w:val="24"/>
                <w:szCs w:val="24"/>
                <w:vertAlign w:val="superscript"/>
                <w:rtl w:val="0"/>
              </w:rPr>
              <w:t xml:space="preserve">10</w:t>
            </w:r>
            <w:r w:rsidDel="00000000" w:rsidR="00000000" w:rsidRPr="00000000">
              <w:rPr>
                <w:rFonts w:ascii="Arial" w:cs="Arial" w:eastAsia="Arial" w:hAnsi="Arial"/>
                <w:color w:val="1f1f1f"/>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b w:val="1"/>
                <w:bCs w:val="1"/>
                <w:color w:val="1f1f1f"/>
              </w:rPr>
            </w:pPr>
            <w:r w:rsidDel="00000000" w:rsidR="00000000" w:rsidRPr="00000000">
              <w:rPr>
                <w:rFonts w:ascii="Arial" w:cs="Arial" w:eastAsia="Arial" w:hAnsi="Arial"/>
                <w:b w:val="1"/>
                <w:bCs w:val="1"/>
                <w:color w:val="1f1f1f"/>
                <w:rtl w:val="0"/>
              </w:rPr>
              <w:t xml:space="preserve">Managed Credential Vault Isolation</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4">
            <w:pPr>
              <w:pBdr>
                <w:top w:space="0" w:sz="0" w:val="nil"/>
                <w:left w:space="0" w:sz="0" w:val="nil"/>
                <w:bottom w:space="0" w:sz="0" w:val="nil"/>
                <w:right w:space="0" w:sz="0" w:val="nil"/>
                <w:between w:space="0" w:sz="0" w:val="nil"/>
              </w:pBdr>
              <w:shd w:fill="auto" w:val="clear"/>
              <w:spacing w:after="120" w:before="12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Anthropic Claude Managed Agents API</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5">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000000"/>
                <w:u w:val="single"/>
              </w:rPr>
            </w:pPr>
            <w:hyperlink r:id="rId11">
              <w:r w:rsidDel="00000000" w:rsidR="00000000" w:rsidRPr="00000000">
                <w:rPr>
                  <w:rFonts w:ascii="Arial" w:cs="Arial" w:eastAsia="Arial" w:hAnsi="Arial"/>
                  <w:color w:val="000000"/>
                  <w:u w:val="single"/>
                  <w:rtl w:val="0"/>
                </w:rPr>
                <w:t xml:space="preserve">platform.claude.com/docs/en/managed-agents/overview</w:t>
              </w:r>
            </w:hyperlink>
            <w:r w:rsidDel="00000000" w:rsidR="00000000" w:rsidRPr="00000000">
              <w:rPr>
                <w:rtl w:val="0"/>
              </w:rPr>
            </w:r>
          </w:p>
          <w:p w:rsidR="00000000" w:rsidDel="00000000" w:rsidP="00000000" w:rsidRDefault="00000000" w:rsidRPr="00000000" w14:paraId="00000066">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[cite: 9]</w:t>
            </w:r>
          </w:p>
        </w:tc>
        <w:tc>
          <w:tcPr>
            <w:tcBorders>
              <w:top w:color="c4c7c5" w:space="0" w:sz="6" w:val="single"/>
              <w:left w:color="c4c7c5" w:space="0" w:sz="6" w:val="single"/>
              <w:bottom w:color="c4c7c5" w:space="0" w:sz="6" w:val="single"/>
              <w:right w:color="c4c7c5" w:space="0" w:sz="6" w:val="single"/>
            </w:tcBorders>
            <w:shd w:fill="auto" w:val="clear"/>
            <w:tcMar>
              <w:top w:w="120.0" w:type="dxa"/>
              <w:left w:w="180.0" w:type="dxa"/>
              <w:bottom w:w="120.0" w:type="dxa"/>
              <w:right w:w="180.0" w:type="dxa"/>
            </w:tcMar>
            <w:vAlign w:val="top"/>
          </w:tcPr>
          <w:p w:rsidR="00000000" w:rsidDel="00000000" w:rsidP="00000000" w:rsidRDefault="00000000" w:rsidRPr="00000000" w14:paraId="00000067">
            <w:pPr>
              <w:pBdr>
                <w:top w:space="0" w:sz="0" w:val="nil"/>
                <w:left w:space="0" w:sz="0" w:val="nil"/>
                <w:bottom w:space="0" w:sz="0" w:val="nil"/>
                <w:right w:space="0" w:sz="0" w:val="nil"/>
                <w:between w:space="0" w:sz="0" w:val="nil"/>
              </w:pBdr>
              <w:shd w:fill="auto" w:val="clear"/>
              <w:spacing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Store database and service API credentials in an encrypted environment variable vault rather than passing raw keys through model system prompts</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tc>
      </w:tr>
    </w:tbl>
    <w:p w:rsidR="00000000" w:rsidDel="00000000" w:rsidP="00000000" w:rsidRDefault="00000000" w:rsidRPr="00000000" w14:paraId="00000068">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Recommendation</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after="255" w:line="275.9999942779541" w:lineRule="auto"/>
        <w:rPr>
          <w:rFonts w:ascii="Arial" w:cs="Arial" w:eastAsia="Arial" w:hAnsi="Arial"/>
          <w:color w:val="1f1f1f"/>
        </w:rPr>
      </w:pPr>
      <w:r w:rsidDel="00000000" w:rsidR="00000000" w:rsidRPr="00000000">
        <w:rPr>
          <w:rFonts w:ascii="Arial" w:cs="Arial" w:eastAsia="Arial" w:hAnsi="Arial"/>
          <w:color w:val="1f1f1f"/>
          <w:rtl w:val="0"/>
        </w:rPr>
        <w:t xml:space="preserve">For an engineering team building an evidence-backed banking RAG system, development efforts should focus on open, decoupled orchestration patterns rather than closed vendor messaging. Public announcements regarding enterprise platforms like Fiserv agentOS and FIS/Anthropic Financial Crimes AI emphasize broad regulatory positioning—such as identity-bound execution, core system integration, and vendor-of-record liability management—but offer limited source-level implementation details</w:t>
      </w:r>
      <w:r w:rsidDel="00000000" w:rsidR="00000000" w:rsidRPr="00000000">
        <w:rPr>
          <w:rFonts w:ascii="Arial" w:cs="Arial" w:eastAsia="Arial" w:hAnsi="Arial"/>
          <w:color w:val="444746"/>
          <w:sz w:val="24"/>
          <w:szCs w:val="24"/>
          <w:vertAlign w:val="superscript"/>
          <w:rtl w:val="0"/>
        </w:rPr>
        <w:t xml:space="preserve">1</w:t>
      </w:r>
      <w:r w:rsidDel="00000000" w:rsidR="00000000" w:rsidRPr="00000000">
        <w:rPr>
          <w:rFonts w:ascii="Arial" w:cs="Arial" w:eastAsia="Arial" w:hAnsi="Arial"/>
          <w:color w:val="1f1f1f"/>
          <w:rtl w:val="0"/>
        </w:rPr>
        <w:t xml:space="preserve">. Engineers should instead borrow directly from Anthropic’s open-source Financial Services Reference Architecture (anthropics/financial-services) and the Model Context Protocol (MCP)</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 Implement an asynchronous staging model where the agent extracts document facts, links SHA-256 document chunk hashes to transaction IDs, and formats a strongly typed JSON decision payload, while preventing the agent from making direct state-changing database writes</w:t>
      </w:r>
      <w:r w:rsidDel="00000000" w:rsidR="00000000" w:rsidRPr="00000000">
        <w:rPr>
          <w:rFonts w:ascii="Arial" w:cs="Arial" w:eastAsia="Arial" w:hAnsi="Arial"/>
          <w:color w:val="444746"/>
          <w:sz w:val="24"/>
          <w:szCs w:val="24"/>
          <w:vertAlign w:val="superscript"/>
          <w:rtl w:val="0"/>
        </w:rPr>
        <w:t xml:space="preserve">2</w:t>
      </w:r>
      <w:r w:rsidDel="00000000" w:rsidR="00000000" w:rsidRPr="00000000">
        <w:rPr>
          <w:rFonts w:ascii="Arial" w:cs="Arial" w:eastAsia="Arial" w:hAnsi="Arial"/>
          <w:color w:val="1f1f1f"/>
          <w:rtl w:val="0"/>
        </w:rPr>
        <w:t xml:space="preserve">. To comply with FINRA 2026 supervision mandates and SR 26-2 governance principles, place kill switches, tool permission guardrails, and audit logging inside an independent orchestration state machine operating outside the agent's context window</w:t>
      </w:r>
      <w:r w:rsidDel="00000000" w:rsidR="00000000" w:rsidRPr="00000000">
        <w:rPr>
          <w:rFonts w:ascii="Arial" w:cs="Arial" w:eastAsia="Arial" w:hAnsi="Arial"/>
          <w:color w:val="444746"/>
          <w:sz w:val="24"/>
          <w:szCs w:val="24"/>
          <w:vertAlign w:val="superscript"/>
          <w:rtl w:val="0"/>
        </w:rPr>
        <w:t xml:space="preserve">6</w:t>
      </w:r>
      <w:r w:rsidDel="00000000" w:rsidR="00000000" w:rsidRPr="00000000">
        <w:rPr>
          <w:rFonts w:ascii="Arial" w:cs="Arial" w:eastAsia="Arial" w:hAnsi="Arial"/>
          <w:color w:val="1f1f1f"/>
          <w:rtl w:val="0"/>
        </w:rPr>
        <w:t xml:space="preserve">. This pattern provides verifiable document-to-decision traceability, robust document versioning, and seamless human review without reducing pipeline throughput</w:t>
      </w:r>
      <w:r w:rsidDel="00000000" w:rsidR="00000000" w:rsidRPr="00000000">
        <w:rPr>
          <w:rFonts w:ascii="Arial" w:cs="Arial" w:eastAsia="Arial" w:hAnsi="Arial"/>
          <w:color w:val="444746"/>
          <w:sz w:val="24"/>
          <w:szCs w:val="24"/>
          <w:vertAlign w:val="superscript"/>
          <w:rtl w:val="0"/>
        </w:rPr>
        <w:t xml:space="preserve">9</w:t>
      </w:r>
      <w:r w:rsidDel="00000000" w:rsidR="00000000" w:rsidRPr="00000000">
        <w:rPr>
          <w:rFonts w:ascii="Arial" w:cs="Arial" w:eastAsia="Arial" w:hAnsi="Arial"/>
          <w:color w:val="1f1f1f"/>
          <w:rtl w:val="0"/>
        </w:rPr>
        <w:t xml:space="preserve">.</w:t>
      </w:r>
    </w:p>
    <w:p w:rsidR="00000000" w:rsidDel="00000000" w:rsidP="00000000" w:rsidRDefault="00000000" w:rsidRPr="00000000" w14:paraId="0000006A">
      <w:pPr>
        <w:pStyle w:val="Heading4"/>
        <w:pBdr>
          <w:top w:space="0" w:sz="0" w:val="nil"/>
          <w:left w:space="0" w:sz="0" w:val="nil"/>
          <w:bottom w:space="0" w:sz="0" w:val="nil"/>
          <w:right w:space="0" w:sz="0" w:val="nil"/>
          <w:between w:space="0" w:sz="0" w:val="nil"/>
        </w:pBdr>
        <w:shd w:fill="auto" w:val="clear"/>
        <w:spacing w:before="0" w:lineRule="auto"/>
        <w:rPr>
          <w:rFonts w:ascii="Arial" w:cs="Arial" w:eastAsia="Arial" w:hAnsi="Arial"/>
        </w:rPr>
      </w:pPr>
      <w:r w:rsidDel="00000000" w:rsidR="00000000" w:rsidRPr="00000000">
        <w:rPr>
          <w:rFonts w:ascii="Arial" w:cs="Arial" w:eastAsia="Arial" w:hAnsi="Arial"/>
          <w:rtl w:val="0"/>
        </w:rPr>
        <w:t xml:space="preserve">Источники</w:t>
      </w:r>
    </w:p>
    <w:p w:rsidR="00000000" w:rsidDel="00000000" w:rsidP="00000000" w:rsidRDefault="00000000" w:rsidRPr="00000000" w14:paraId="0000006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FIS and Anthropic build financial crimes AI agent for banks - Resultsense, </w:t>
      </w:r>
      <w:hyperlink r:id="rId12">
        <w:r w:rsidDel="00000000" w:rsidR="00000000" w:rsidRPr="00000000">
          <w:rPr>
            <w:rFonts w:ascii="Arial" w:cs="Arial" w:eastAsia="Arial" w:hAnsi="Arial"/>
            <w:color w:val="0000ee"/>
            <w:sz w:val="24"/>
            <w:szCs w:val="24"/>
            <w:u w:val="single"/>
            <w:rtl w:val="0"/>
          </w:rPr>
          <w:t xml:space="preserve">https://www.resultsense.com/news/2026-05-06-fis-anthropic-financial-crimes-agent/</w:t>
        </w:r>
      </w:hyperlink>
      <w:r w:rsidDel="00000000" w:rsidR="00000000" w:rsidRPr="00000000">
        <w:rPr>
          <w:rtl w:val="0"/>
        </w:rPr>
      </w:r>
    </w:p>
    <w:p w:rsidR="00000000" w:rsidDel="00000000" w:rsidP="00000000" w:rsidRDefault="00000000" w:rsidRPr="00000000" w14:paraId="0000006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FIS Brings Agentic AI to Banking with Anthropic, Starting with Financial Crimes, </w:t>
      </w:r>
      <w:hyperlink r:id="rId13">
        <w:r w:rsidDel="00000000" w:rsidR="00000000" w:rsidRPr="00000000">
          <w:rPr>
            <w:rFonts w:ascii="Arial" w:cs="Arial" w:eastAsia="Arial" w:hAnsi="Arial"/>
            <w:color w:val="0000ee"/>
            <w:sz w:val="24"/>
            <w:szCs w:val="24"/>
            <w:u w:val="single"/>
            <w:rtl w:val="0"/>
          </w:rPr>
          <w:t xml:space="preserve">https://www.businesswire.com/news/home/20260504126906/en/FIS-Brings-Agentic-AI-to-Banking-with-Anthropic-Starting-with-Financial-Crimes</w:t>
        </w:r>
      </w:hyperlink>
      <w:r w:rsidDel="00000000" w:rsidR="00000000" w:rsidRPr="00000000">
        <w:rPr>
          <w:rtl w:val="0"/>
        </w:rPr>
      </w:r>
    </w:p>
    <w:p w:rsidR="00000000" w:rsidDel="00000000" w:rsidP="00000000" w:rsidRDefault="00000000" w:rsidRPr="00000000" w14:paraId="0000006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FIS Brings Agentic AI to Banking with Anthropic, Starting with Financial Crimes, </w:t>
      </w:r>
      <w:hyperlink r:id="rId14">
        <w:r w:rsidDel="00000000" w:rsidR="00000000" w:rsidRPr="00000000">
          <w:rPr>
            <w:rFonts w:ascii="Arial" w:cs="Arial" w:eastAsia="Arial" w:hAnsi="Arial"/>
            <w:color w:val="0000ee"/>
            <w:sz w:val="24"/>
            <w:szCs w:val="24"/>
            <w:u w:val="single"/>
            <w:rtl w:val="0"/>
          </w:rPr>
          <w:t xml:space="preserve">https://ffnews.com/newsarticle/fis-brings-agentic-ai-to-banking-with-anthropic-starting-with-financial-crimes</w:t>
        </w:r>
      </w:hyperlink>
      <w:r w:rsidDel="00000000" w:rsidR="00000000" w:rsidRPr="00000000">
        <w:rPr>
          <w:rtl w:val="0"/>
        </w:rPr>
      </w:r>
    </w:p>
    <w:p w:rsidR="00000000" w:rsidDel="00000000" w:rsidP="00000000" w:rsidRDefault="00000000" w:rsidRPr="00000000" w14:paraId="0000006E">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FIS taps Anthropic to automate AML with AI agents - FinTech Global, </w:t>
      </w:r>
      <w:hyperlink r:id="rId15">
        <w:r w:rsidDel="00000000" w:rsidR="00000000" w:rsidRPr="00000000">
          <w:rPr>
            <w:rFonts w:ascii="Arial" w:cs="Arial" w:eastAsia="Arial" w:hAnsi="Arial"/>
            <w:color w:val="0000ee"/>
            <w:sz w:val="24"/>
            <w:szCs w:val="24"/>
            <w:u w:val="single"/>
            <w:rtl w:val="0"/>
          </w:rPr>
          <w:t xml:space="preserve">https://fintech.global/2026/05/06/fis-taps-anthropic-to-automate-aml-with-ai-agents/</w:t>
        </w:r>
      </w:hyperlink>
      <w:r w:rsidDel="00000000" w:rsidR="00000000" w:rsidRPr="00000000">
        <w:rPr>
          <w:rtl w:val="0"/>
        </w:rPr>
      </w:r>
    </w:p>
    <w:p w:rsidR="00000000" w:rsidDel="00000000" w:rsidP="00000000" w:rsidRDefault="00000000" w:rsidRPr="00000000" w14:paraId="0000006F">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FIS and Anthropic Pair for AI in Banking and AML | FinTech Magazine, </w:t>
      </w:r>
      <w:hyperlink r:id="rId16">
        <w:r w:rsidDel="00000000" w:rsidR="00000000" w:rsidRPr="00000000">
          <w:rPr>
            <w:rFonts w:ascii="Arial" w:cs="Arial" w:eastAsia="Arial" w:hAnsi="Arial"/>
            <w:color w:val="0000ee"/>
            <w:sz w:val="24"/>
            <w:szCs w:val="24"/>
            <w:u w:val="single"/>
            <w:rtl w:val="0"/>
          </w:rPr>
          <w:t xml:space="preserve">https://fintechmagazine.com/news/fis-and-anthropic-pair-for-ai-in-banking-and-aml</w:t>
        </w:r>
      </w:hyperlink>
      <w:r w:rsidDel="00000000" w:rsidR="00000000" w:rsidRPr="00000000">
        <w:rPr>
          <w:rtl w:val="0"/>
        </w:rPr>
      </w:r>
    </w:p>
    <w:p w:rsidR="00000000" w:rsidDel="00000000" w:rsidP="00000000" w:rsidRDefault="00000000" w:rsidRPr="00000000" w14:paraId="00000070">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Fiserv agentOS: Banking Agent Platform Guide (2026) | AgenticWire News, </w:t>
      </w:r>
      <w:hyperlink r:id="rId17">
        <w:r w:rsidDel="00000000" w:rsidR="00000000" w:rsidRPr="00000000">
          <w:rPr>
            <w:rFonts w:ascii="Arial" w:cs="Arial" w:eastAsia="Arial" w:hAnsi="Arial"/>
            <w:color w:val="0000ee"/>
            <w:sz w:val="24"/>
            <w:szCs w:val="24"/>
            <w:u w:val="single"/>
            <w:rtl w:val="0"/>
          </w:rPr>
          <w:t xml:space="preserve">https://www.agenticwire.news/article/fiserv-agentos-banking</w:t>
        </w:r>
      </w:hyperlink>
      <w:r w:rsidDel="00000000" w:rsidR="00000000" w:rsidRPr="00000000">
        <w:rPr>
          <w:rtl w:val="0"/>
        </w:rPr>
      </w:r>
    </w:p>
    <w:p w:rsidR="00000000" w:rsidDel="00000000" w:rsidP="00000000" w:rsidRDefault="00000000" w:rsidRPr="00000000" w14:paraId="00000071">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Agentic AI in Banking: What Fiserv agentOS Means for Financial Institutions | NETBankAudit, </w:t>
      </w:r>
      <w:hyperlink r:id="rId18">
        <w:r w:rsidDel="00000000" w:rsidR="00000000" w:rsidRPr="00000000">
          <w:rPr>
            <w:rFonts w:ascii="Arial" w:cs="Arial" w:eastAsia="Arial" w:hAnsi="Arial"/>
            <w:color w:val="0000ee"/>
            <w:sz w:val="24"/>
            <w:szCs w:val="24"/>
            <w:u w:val="single"/>
            <w:rtl w:val="0"/>
          </w:rPr>
          <w:t xml:space="preserve">https://www.netbankaudit.com/resources/agentic-ai-in-banking-fiserv-agentos</w:t>
        </w:r>
      </w:hyperlink>
      <w:r w:rsidDel="00000000" w:rsidR="00000000" w:rsidRPr="00000000">
        <w:rPr>
          <w:rtl w:val="0"/>
        </w:rPr>
      </w:r>
    </w:p>
    <w:p w:rsidR="00000000" w:rsidDel="00000000" w:rsidP="00000000" w:rsidRDefault="00000000" w:rsidRPr="00000000" w14:paraId="00000072">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FINRA 2026 GenAI Governance: A Survival Guide for Small Financial Firm CEOs, </w:t>
      </w:r>
      <w:hyperlink r:id="rId19">
        <w:r w:rsidDel="00000000" w:rsidR="00000000" w:rsidRPr="00000000">
          <w:rPr>
            <w:rFonts w:ascii="Arial" w:cs="Arial" w:eastAsia="Arial" w:hAnsi="Arial"/>
            <w:color w:val="0000ee"/>
            <w:sz w:val="24"/>
            <w:szCs w:val="24"/>
            <w:u w:val="single"/>
            <w:rtl w:val="0"/>
          </w:rPr>
          <w:t xml:space="preserve">https://compassmsp.com/resources/articles/finra-2026-genai-governance-a-survival-guide-for-small-financial-firm-ceos</w:t>
        </w:r>
      </w:hyperlink>
      <w:r w:rsidDel="00000000" w:rsidR="00000000" w:rsidRPr="00000000">
        <w:rPr>
          <w:rtl w:val="0"/>
        </w:rPr>
      </w:r>
    </w:p>
    <w:p w:rsidR="00000000" w:rsidDel="00000000" w:rsidP="00000000" w:rsidRDefault="00000000" w:rsidRPr="00000000" w14:paraId="00000073">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Agents for financial services - Anthropic, </w:t>
      </w:r>
      <w:hyperlink r:id="rId20">
        <w:r w:rsidDel="00000000" w:rsidR="00000000" w:rsidRPr="00000000">
          <w:rPr>
            <w:rFonts w:ascii="Arial" w:cs="Arial" w:eastAsia="Arial" w:hAnsi="Arial"/>
            <w:color w:val="0000ee"/>
            <w:sz w:val="24"/>
            <w:szCs w:val="24"/>
            <w:u w:val="single"/>
            <w:rtl w:val="0"/>
          </w:rPr>
          <w:t xml:space="preserve">https://www.anthropic.com/news/finance-agents</w:t>
        </w:r>
      </w:hyperlink>
      <w:r w:rsidDel="00000000" w:rsidR="00000000" w:rsidRPr="00000000">
        <w:rPr>
          <w:rtl w:val="0"/>
        </w:rPr>
      </w:r>
    </w:p>
    <w:p w:rsidR="00000000" w:rsidDel="00000000" w:rsidP="00000000" w:rsidRDefault="00000000" w:rsidRPr="00000000" w14:paraId="00000074">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 26-2 &amp; Agentic AI: Navigating the Fed Model Risk Guidance | Cutover, </w:t>
      </w:r>
      <w:hyperlink r:id="rId21">
        <w:r w:rsidDel="00000000" w:rsidR="00000000" w:rsidRPr="00000000">
          <w:rPr>
            <w:rFonts w:ascii="Arial" w:cs="Arial" w:eastAsia="Arial" w:hAnsi="Arial"/>
            <w:color w:val="0000ee"/>
            <w:sz w:val="24"/>
            <w:szCs w:val="24"/>
            <w:u w:val="single"/>
            <w:rtl w:val="0"/>
          </w:rPr>
          <w:t xml:space="preserve">https://cutover.com/blog/what-sr-26-2-means-for-banks-deploying-agentic-ai</w:t>
        </w:r>
      </w:hyperlink>
      <w:r w:rsidDel="00000000" w:rsidR="00000000" w:rsidRPr="00000000">
        <w:rPr>
          <w:rtl w:val="0"/>
        </w:rPr>
      </w:r>
    </w:p>
    <w:p w:rsidR="00000000" w:rsidDel="00000000" w:rsidP="00000000" w:rsidRDefault="00000000" w:rsidRPr="00000000" w14:paraId="00000075">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 26-2: Model Risk Management Guidance Explained | Domino.ai, </w:t>
      </w:r>
      <w:hyperlink r:id="rId22">
        <w:r w:rsidDel="00000000" w:rsidR="00000000" w:rsidRPr="00000000">
          <w:rPr>
            <w:rFonts w:ascii="Arial" w:cs="Arial" w:eastAsia="Arial" w:hAnsi="Arial"/>
            <w:color w:val="0000ee"/>
            <w:sz w:val="24"/>
            <w:szCs w:val="24"/>
            <w:u w:val="single"/>
            <w:rtl w:val="0"/>
          </w:rPr>
          <w:t xml:space="preserve">https://domino.ai/data-science-dictionary/sr-26-2</w:t>
        </w:r>
      </w:hyperlink>
      <w:r w:rsidDel="00000000" w:rsidR="00000000" w:rsidRPr="00000000">
        <w:rPr>
          <w:rtl w:val="0"/>
        </w:rPr>
      </w:r>
    </w:p>
    <w:p w:rsidR="00000000" w:rsidDel="00000000" w:rsidP="00000000" w:rsidRDefault="00000000" w:rsidRPr="00000000" w14:paraId="00000076">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FINRA 2026 Oversight Report: GenAI is key compliance risk - Global Relay, </w:t>
      </w:r>
      <w:hyperlink r:id="rId23">
        <w:r w:rsidDel="00000000" w:rsidR="00000000" w:rsidRPr="00000000">
          <w:rPr>
            <w:rFonts w:ascii="Arial" w:cs="Arial" w:eastAsia="Arial" w:hAnsi="Arial"/>
            <w:color w:val="0000ee"/>
            <w:sz w:val="24"/>
            <w:szCs w:val="24"/>
            <w:u w:val="single"/>
            <w:rtl w:val="0"/>
          </w:rPr>
          <w:t xml:space="preserve">https://www.globalrelay.com/resources/thought-leadership/finra-2026-oversight-report-flags-genai-recordkeeping-and-cybersecurity-risks/</w:t>
        </w:r>
      </w:hyperlink>
      <w:r w:rsidDel="00000000" w:rsidR="00000000" w:rsidRPr="00000000">
        <w:rPr>
          <w:rtl w:val="0"/>
        </w:rPr>
      </w:r>
    </w:p>
    <w:p w:rsidR="00000000" w:rsidDel="00000000" w:rsidP="00000000" w:rsidRDefault="00000000" w:rsidRPr="00000000" w14:paraId="00000077">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The AI Governance Question Every Wealth Management Firm Needs to Answer Before They Deploy - Practifi, </w:t>
      </w:r>
      <w:hyperlink r:id="rId24">
        <w:r w:rsidDel="00000000" w:rsidR="00000000" w:rsidRPr="00000000">
          <w:rPr>
            <w:rFonts w:ascii="Arial" w:cs="Arial" w:eastAsia="Arial" w:hAnsi="Arial"/>
            <w:color w:val="0000ee"/>
            <w:sz w:val="24"/>
            <w:szCs w:val="24"/>
            <w:u w:val="single"/>
            <w:rtl w:val="0"/>
          </w:rPr>
          <w:t xml:space="preserve">https://www.practifi.com/blog/blog-ai-governance-wealth-management-firms/</w:t>
        </w:r>
      </w:hyperlink>
      <w:r w:rsidDel="00000000" w:rsidR="00000000" w:rsidRPr="00000000">
        <w:rPr>
          <w:rtl w:val="0"/>
        </w:rPr>
      </w:r>
    </w:p>
    <w:p w:rsidR="00000000" w:rsidDel="00000000" w:rsidP="00000000" w:rsidRDefault="00000000" w:rsidRPr="00000000" w14:paraId="00000078">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FINRA's 2026 Regulatory Oversight Report: Continued Focus on Generative AI and Emerging Agent-Based Risks | 12 | 2025 | Publications - Debevoise, </w:t>
      </w:r>
      <w:hyperlink r:id="rId25">
        <w:r w:rsidDel="00000000" w:rsidR="00000000" w:rsidRPr="00000000">
          <w:rPr>
            <w:rFonts w:ascii="Arial" w:cs="Arial" w:eastAsia="Arial" w:hAnsi="Arial"/>
            <w:color w:val="0000ee"/>
            <w:sz w:val="24"/>
            <w:szCs w:val="24"/>
            <w:u w:val="single"/>
            <w:rtl w:val="0"/>
          </w:rPr>
          <w:t xml:space="preserve">https://www.debevoise.com/insights/publications/2025/12/finras-2026-regulatory-oversight-report-continued</w:t>
        </w:r>
      </w:hyperlink>
      <w:r w:rsidDel="00000000" w:rsidR="00000000" w:rsidRPr="00000000">
        <w:rPr>
          <w:rtl w:val="0"/>
        </w:rPr>
      </w:r>
    </w:p>
    <w:p w:rsidR="00000000" w:rsidDel="00000000" w:rsidP="00000000" w:rsidRDefault="00000000" w:rsidRPr="00000000" w14:paraId="00000079">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FINRA Issues 2026 Regulatory Oversight Report | Data Matters Privacy Blog - Sidley, </w:t>
      </w:r>
      <w:hyperlink r:id="rId26">
        <w:r w:rsidDel="00000000" w:rsidR="00000000" w:rsidRPr="00000000">
          <w:rPr>
            <w:rFonts w:ascii="Arial" w:cs="Arial" w:eastAsia="Arial" w:hAnsi="Arial"/>
            <w:color w:val="0000ee"/>
            <w:sz w:val="24"/>
            <w:szCs w:val="24"/>
            <w:u w:val="single"/>
            <w:rtl w:val="0"/>
          </w:rPr>
          <w:t xml:space="preserve">https://datamatters.sidley.com/2025/12/16/finra-issues-2026-regulatory-oversight-report/</w:t>
        </w:r>
      </w:hyperlink>
      <w:r w:rsidDel="00000000" w:rsidR="00000000" w:rsidRPr="00000000">
        <w:rPr>
          <w:rtl w:val="0"/>
        </w:rPr>
      </w:r>
    </w:p>
    <w:p w:rsidR="00000000" w:rsidDel="00000000" w:rsidP="00000000" w:rsidRDefault="00000000" w:rsidRPr="00000000" w14:paraId="0000007A">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Key Takeaways From FINRA's 2026 Regulatory Oversight Report | Judex Law, LLC, </w:t>
      </w:r>
      <w:hyperlink r:id="rId27">
        <w:r w:rsidDel="00000000" w:rsidR="00000000" w:rsidRPr="00000000">
          <w:rPr>
            <w:rFonts w:ascii="Arial" w:cs="Arial" w:eastAsia="Arial" w:hAnsi="Arial"/>
            <w:color w:val="0000ee"/>
            <w:sz w:val="24"/>
            <w:szCs w:val="24"/>
            <w:u w:val="single"/>
            <w:rtl w:val="0"/>
          </w:rPr>
          <w:t xml:space="preserve">https://judexlaw.com/key-takeaways-from-finras-2026-regulatory-oversight-report-what-financial-advisors-should-know/</w:t>
        </w:r>
      </w:hyperlink>
      <w:r w:rsidDel="00000000" w:rsidR="00000000" w:rsidRPr="00000000">
        <w:rPr>
          <w:rtl w:val="0"/>
        </w:rPr>
      </w:r>
    </w:p>
    <w:p w:rsidR="00000000" w:rsidDel="00000000" w:rsidP="00000000" w:rsidRDefault="00000000" w:rsidRPr="00000000" w14:paraId="0000007B">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Model Risk Management Guidance SR 26-2 in the Era of AI - Charles River Associates, </w:t>
      </w:r>
      <w:hyperlink r:id="rId28">
        <w:r w:rsidDel="00000000" w:rsidR="00000000" w:rsidRPr="00000000">
          <w:rPr>
            <w:rFonts w:ascii="Arial" w:cs="Arial" w:eastAsia="Arial" w:hAnsi="Arial"/>
            <w:color w:val="0000ee"/>
            <w:sz w:val="24"/>
            <w:szCs w:val="24"/>
            <w:u w:val="single"/>
            <w:rtl w:val="0"/>
          </w:rPr>
          <w:t xml:space="preserve">https://media.crai.com/wp-content/uploads/2026/07/09165122/FE-Insights-MRM-Guidance-SR-26-2-In-the-Era-of-AI-July2026.pdf</w:t>
        </w:r>
      </w:hyperlink>
      <w:r w:rsidDel="00000000" w:rsidR="00000000" w:rsidRPr="00000000">
        <w:rPr>
          <w:rtl w:val="0"/>
        </w:rPr>
      </w:r>
    </w:p>
    <w:p w:rsidR="00000000" w:rsidDel="00000000" w:rsidP="00000000" w:rsidRDefault="00000000" w:rsidRPr="00000000" w14:paraId="0000007C">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SR 26-2: Actionable Guide to Model Risk Management - Lumenova AI, </w:t>
      </w:r>
      <w:hyperlink r:id="rId29">
        <w:r w:rsidDel="00000000" w:rsidR="00000000" w:rsidRPr="00000000">
          <w:rPr>
            <w:rFonts w:ascii="Arial" w:cs="Arial" w:eastAsia="Arial" w:hAnsi="Arial"/>
            <w:color w:val="0000ee"/>
            <w:sz w:val="24"/>
            <w:szCs w:val="24"/>
            <w:u w:val="single"/>
            <w:rtl w:val="0"/>
          </w:rPr>
          <w:t xml:space="preserve">https://www.lumenova.ai/blog/sr-26-2-model-risk-management-banking/</w:t>
        </w:r>
      </w:hyperlink>
      <w:r w:rsidDel="00000000" w:rsidR="00000000" w:rsidRPr="00000000">
        <w:rPr>
          <w:rtl w:val="0"/>
        </w:rPr>
      </w:r>
    </w:p>
    <w:p w:rsidR="00000000" w:rsidDel="00000000" w:rsidP="00000000" w:rsidRDefault="00000000" w:rsidRPr="00000000" w14:paraId="0000007D">
      <w:pPr>
        <w:numPr>
          <w:ilvl w:val="0"/>
          <w:numId w:val="10"/>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Arial" w:cs="Arial" w:eastAsia="Arial" w:hAnsi="Arial"/>
          <w:sz w:val="24"/>
          <w:szCs w:val="24"/>
          <w:rtl w:val="0"/>
        </w:rPr>
        <w:t xml:space="preserve">Generative AI Controls and Risk Assessments for Financial Institutions | NETBankAudit, </w:t>
      </w:r>
      <w:hyperlink r:id="rId30">
        <w:r w:rsidDel="00000000" w:rsidR="00000000" w:rsidRPr="00000000">
          <w:rPr>
            <w:rFonts w:ascii="Arial" w:cs="Arial" w:eastAsia="Arial" w:hAnsi="Arial"/>
            <w:color w:val="0000ee"/>
            <w:sz w:val="24"/>
            <w:szCs w:val="24"/>
            <w:u w:val="single"/>
            <w:rtl w:val="0"/>
          </w:rPr>
          <w:t xml:space="preserve">https://www.netbankaudit.com/resources/generative-ai-controls-risk-assessments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10">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20" Type="http://schemas.openxmlformats.org/officeDocument/2006/relationships/hyperlink" Target="https://www.anthropic.com/news/finance-agents" TargetMode="External"/><Relationship Id="rId22" Type="http://schemas.openxmlformats.org/officeDocument/2006/relationships/hyperlink" Target="https://domino.ai/data-science-dictionary/sr-26-2" TargetMode="External"/><Relationship Id="rId21" Type="http://schemas.openxmlformats.org/officeDocument/2006/relationships/hyperlink" Target="https://cutover.com/blog/what-sr-26-2-means-for-banks-deploying-agentic-ai" TargetMode="External"/><Relationship Id="rId24" Type="http://schemas.openxmlformats.org/officeDocument/2006/relationships/hyperlink" Target="https://www.practifi.com/blog/blog-ai-governance-wealth-management-firms/" TargetMode="External"/><Relationship Id="rId23" Type="http://schemas.openxmlformats.org/officeDocument/2006/relationships/hyperlink" Target="https://www.globalrelay.com/resources/thought-leadership/finra-2026-oversight-report-flags-genai-recordkeeping-and-cybersecurity-risk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www.businesswire.com/news/home/20260504126906/en/FIS-Brings-Agentic-AI-to-Banking-with-Anthropic-Starting-with-Financial-Crimes" TargetMode="External"/><Relationship Id="rId26" Type="http://schemas.openxmlformats.org/officeDocument/2006/relationships/hyperlink" Target="https://datamatters.sidley.com/2025/12/16/finra-issues-2026-regulatory-oversight-report/" TargetMode="External"/><Relationship Id="rId25" Type="http://schemas.openxmlformats.org/officeDocument/2006/relationships/hyperlink" Target="https://www.debevoise.com/insights/publications/2025/12/finras-2026-regulatory-oversight-report-continued" TargetMode="External"/><Relationship Id="rId28" Type="http://schemas.openxmlformats.org/officeDocument/2006/relationships/hyperlink" Target="https://media.crai.com/wp-content/uploads/2026/07/09165122/FE-Insights-MRM-Guidance-SR-26-2-In-the-Era-of-AI-July2026.pdf" TargetMode="External"/><Relationship Id="rId27" Type="http://schemas.openxmlformats.org/officeDocument/2006/relationships/hyperlink" Target="https://judexlaw.com/key-takeaways-from-finras-2026-regulatory-oversight-report-what-financial-advisors-should-know/" TargetMode="External"/><Relationship Id="rId5" Type="http://schemas.openxmlformats.org/officeDocument/2006/relationships/styles" Target="styles.xml"/><Relationship Id="rId6" Type="http://schemas.openxmlformats.org/officeDocument/2006/relationships/hyperlink" Target="https://github.com/anthropics/financial-services" TargetMode="External"/><Relationship Id="rId29" Type="http://schemas.openxmlformats.org/officeDocument/2006/relationships/hyperlink" Target="https://www.lumenova.ai/blog/sr-26-2-model-risk-management-banking/" TargetMode="External"/><Relationship Id="rId7" Type="http://schemas.openxmlformats.org/officeDocument/2006/relationships/hyperlink" Target="https://platform.claude.com/docs/en/managed-agents/overview" TargetMode="External"/><Relationship Id="rId8" Type="http://schemas.openxmlformats.org/officeDocument/2006/relationships/hyperlink" Target="https://www.anthropic.com/news/finance-agents" TargetMode="External"/><Relationship Id="rId30" Type="http://schemas.openxmlformats.org/officeDocument/2006/relationships/hyperlink" Target="https://www.netbankaudit.com/resources/generative-ai-controls-risk-assessments" TargetMode="External"/><Relationship Id="rId11" Type="http://schemas.openxmlformats.org/officeDocument/2006/relationships/hyperlink" Target="https://platform.claude.com/docs/en/managed-agents/overview" TargetMode="External"/><Relationship Id="rId10" Type="http://schemas.openxmlformats.org/officeDocument/2006/relationships/hyperlink" Target="https://cutover.com/blog/what-sr-26-2-means-for-banks-deploying-agentic-ai" TargetMode="External"/><Relationship Id="rId13" Type="http://schemas.openxmlformats.org/officeDocument/2006/relationships/hyperlink" Target="https://www.businesswire.com/news/home/20260504126906/en/FIS-Brings-Agentic-AI-to-Banking-with-Anthropic-Starting-with-Financial-Crimes" TargetMode="External"/><Relationship Id="rId12" Type="http://schemas.openxmlformats.org/officeDocument/2006/relationships/hyperlink" Target="https://www.resultsense.com/news/2026-05-06-fis-anthropic-financial-crimes-agent/" TargetMode="External"/><Relationship Id="rId15" Type="http://schemas.openxmlformats.org/officeDocument/2006/relationships/hyperlink" Target="https://fintech.global/2026/05/06/fis-taps-anthropic-to-automate-aml-with-ai-agents/" TargetMode="External"/><Relationship Id="rId14" Type="http://schemas.openxmlformats.org/officeDocument/2006/relationships/hyperlink" Target="https://ffnews.com/newsarticle/fis-brings-agentic-ai-to-banking-with-anthropic-starting-with-financial-crimes" TargetMode="External"/><Relationship Id="rId17" Type="http://schemas.openxmlformats.org/officeDocument/2006/relationships/hyperlink" Target="https://www.agenticwire.news/article/fiserv-agentos-banking" TargetMode="External"/><Relationship Id="rId16" Type="http://schemas.openxmlformats.org/officeDocument/2006/relationships/hyperlink" Target="https://fintechmagazine.com/news/fis-and-anthropic-pair-for-ai-in-banking-and-aml" TargetMode="External"/><Relationship Id="rId19" Type="http://schemas.openxmlformats.org/officeDocument/2006/relationships/hyperlink" Target="https://compassmsp.com/resources/articles/finra-2026-genai-governance-a-survival-guide-for-small-financial-firm-ceos" TargetMode="External"/><Relationship Id="rId18" Type="http://schemas.openxmlformats.org/officeDocument/2006/relationships/hyperlink" Target="https://www.netbankaudit.com/resources/agentic-ai-in-banking-fiserv-agentos"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