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Strategies for Reliable Numeric Reasoning and Tabular Data Querying in Financial LLM Agents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Comparison of Computational Paradigms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Evaluating an agentic Retrieval-Augmented Generation (RAG) system for precise financial computations requires selecting an execution substrate that balances numerical exactness, system latency, setup complexity, and schema adaptability. When scoring criteria explicitly penalize arithmetic errors independently of decision direction, relying on probabilistic language generation for calculations becomes a primary point of failure. The comparative matrix below outlines the performance, accuracy, source benchmarks, and practical implementation trade-offs of the four dominant computational paradigms.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Approach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Reported Accuracy / Error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 Benchmark / Literature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Setup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Debuggability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Verdict for Time Constraint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Direct LLM Mental Arithmetic (CoT)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37.7% – 53.0% Accuracy</w:t>
            </w:r>
            <w:r w:rsidDel="00000000" w:rsidR="00000000" w:rsidRPr="00000000">
              <w:rPr>
                <w:rFonts w:ascii="Google Sans" w:cs="Google Sans" w:eastAsia="Google Sans" w:hAnsi="Google Sans"/>
                <w:rtl w:val="0"/>
              </w:rPr>
              <w:t xml:space="preserve"> on FinQA; </w:t>
            </w:r>
            <w:r w:rsidDel="00000000" w:rsidR="00000000" w:rsidRPr="00000000">
              <w:rPr>
                <w:rFonts w:ascii="Google Sans" w:cs="Google Sans" w:eastAsia="Google Sans" w:hAnsi="Google Sans"/>
                <w:b w:val="1"/>
                <w:bCs w:val="1"/>
                <w:rtl w:val="0"/>
              </w:rPr>
              <w:t xml:space="preserve">42.2%</w:t>
            </w:r>
            <w:r w:rsidDel="00000000" w:rsidR="00000000" w:rsidRPr="00000000">
              <w:rPr>
                <w:rFonts w:ascii="Google Sans" w:cs="Google Sans" w:eastAsia="Google Sans" w:hAnsi="Google Sans"/>
                <w:rtl w:val="0"/>
              </w:rPr>
              <w:t xml:space="preserve"> on ConvFinQA; arithmetic accounts for </w:t>
            </w:r>
            <w:r w:rsidDel="00000000" w:rsidR="00000000" w:rsidRPr="00000000">
              <w:rPr>
                <w:rFonts w:ascii="Google Sans" w:cs="Google Sans" w:eastAsia="Google Sans" w:hAnsi="Google Sans"/>
                <w:b w:val="1"/>
                <w:bCs w:val="1"/>
                <w:rtl w:val="0"/>
              </w:rPr>
              <w:t xml:space="preserve">38.8%</w:t>
            </w:r>
            <w:r w:rsidDel="00000000" w:rsidR="00000000" w:rsidRPr="00000000">
              <w:rPr>
                <w:rFonts w:ascii="Google Sans" w:cs="Google Sans" w:eastAsia="Google Sans" w:hAnsi="Google Sans"/>
                <w:rtl w:val="0"/>
              </w:rPr>
              <w:t xml:space="preserve"> of total system errors.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FinQA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ConvFinQA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FinAgent-RAG</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Minimal (Prompt-only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(Opaque sub-token calculations; non-deterministic)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Unsuitable</w:t>
            </w:r>
            <w:r w:rsidDel="00000000" w:rsidR="00000000" w:rsidRPr="00000000">
              <w:rPr>
                <w:rFonts w:ascii="Google Sans" w:cs="Google Sans" w:eastAsia="Google Sans" w:hAnsi="Google Sans"/>
                <w:rtl w:val="0"/>
              </w:rPr>
              <w:t xml:space="preserve">: High failure rates directly violate scoring penalties for arithmetic errors.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Text-to-SQL Generation &amp;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85.3% – 86.6%</w:t>
            </w:r>
            <w:r w:rsidDel="00000000" w:rsidR="00000000" w:rsidRPr="00000000">
              <w:rPr>
                <w:rFonts w:ascii="Google Sans" w:cs="Google Sans" w:eastAsia="Google Sans" w:hAnsi="Google Sans"/>
                <w:rtl w:val="0"/>
              </w:rPr>
              <w:t xml:space="preserve"> on clean schemas (Spider 1.0); drops to </w:t>
            </w:r>
            <w:r w:rsidDel="00000000" w:rsidR="00000000" w:rsidRPr="00000000">
              <w:rPr>
                <w:rFonts w:ascii="Google Sans" w:cs="Google Sans" w:eastAsia="Google Sans" w:hAnsi="Google Sans"/>
                <w:b w:val="1"/>
                <w:bCs w:val="1"/>
                <w:rtl w:val="0"/>
              </w:rPr>
              <w:t xml:space="preserve">16.3% – 35.7%</w:t>
            </w:r>
            <w:r w:rsidDel="00000000" w:rsidR="00000000" w:rsidRPr="00000000">
              <w:rPr>
                <w:rFonts w:ascii="Google Sans" w:cs="Google Sans" w:eastAsia="Google Sans" w:hAnsi="Google Sans"/>
                <w:rtl w:val="0"/>
              </w:rPr>
              <w:t xml:space="preserve"> on enterprise/colloquial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DAIL-SQL (Spider 1.0)</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BIRD / LiveSQLBench</w:t>
            </w:r>
            <w:r w:rsidDel="00000000" w:rsidR="00000000" w:rsidRPr="00000000">
              <w:rPr>
                <w:rFonts w:ascii="Google Sans" w:cs="Google Sans" w:eastAsia="Google Sans" w:hAnsi="Google Sans"/>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(Requires database engine setup, schema mapping, and SQL parsing)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(Standard SQL query execution plans and database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Conditional</w:t>
            </w:r>
            <w:r w:rsidDel="00000000" w:rsidR="00000000" w:rsidRPr="00000000">
              <w:rPr>
                <w:rFonts w:ascii="Google Sans" w:cs="Google Sans" w:eastAsia="Google Sans" w:hAnsi="Google Sans"/>
                <w:rtl w:val="0"/>
              </w:rPr>
              <w:t xml:space="preserve">: Highly effective for structured relational filters, but rigid for dynamic policy math.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Python / Pandas Code Execution (PoT)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74.96% – 78.46%</w:t>
            </w:r>
            <w:r w:rsidDel="00000000" w:rsidR="00000000" w:rsidRPr="00000000">
              <w:rPr>
                <w:rFonts w:ascii="Google Sans" w:cs="Google Sans" w:eastAsia="Google Sans" w:hAnsi="Google Sans"/>
                <w:rtl w:val="0"/>
              </w:rPr>
              <w:t xml:space="preserve"> across FinQA/ConvFinQA/TAT-QA; up to </w:t>
            </w:r>
            <w:r w:rsidDel="00000000" w:rsidR="00000000" w:rsidRPr="00000000">
              <w:rPr>
                <w:rFonts w:ascii="Google Sans" w:cs="Google Sans" w:eastAsia="Google Sans" w:hAnsi="Google Sans"/>
                <w:b w:val="1"/>
                <w:bCs w:val="1"/>
                <w:rtl w:val="0"/>
              </w:rPr>
              <w:t xml:space="preserve">87.00% EM</w:t>
            </w:r>
            <w:r w:rsidDel="00000000" w:rsidR="00000000" w:rsidRPr="00000000">
              <w:rPr>
                <w:rFonts w:ascii="Google Sans" w:cs="Google Sans" w:eastAsia="Google Sans" w:hAnsi="Google Sans"/>
                <w:rtl w:val="0"/>
              </w:rPr>
              <w:t xml:space="preserve"> via programmatic distillation; </w:t>
            </w:r>
            <w:r w:rsidDel="00000000" w:rsidR="00000000" w:rsidRPr="00000000">
              <w:rPr>
                <w:rFonts w:ascii="Google Sans" w:cs="Google Sans" w:eastAsia="Google Sans" w:hAnsi="Google Sans"/>
                <w:b w:val="1"/>
                <w:bCs w:val="1"/>
                <w:rtl w:val="0"/>
              </w:rPr>
              <w:t xml:space="preserve">89.10%</w:t>
            </w:r>
            <w:r w:rsidDel="00000000" w:rsidR="00000000" w:rsidRPr="00000000">
              <w:rPr>
                <w:rFonts w:ascii="Google Sans" w:cs="Google Sans" w:eastAsia="Google Sans" w:hAnsi="Google Sans"/>
                <w:rtl w:val="0"/>
              </w:rPr>
              <w:t xml:space="preserve"> on complex financial math.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FinAgent-RAG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Programmatic Distillation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FinanceReasoning</w:t>
            </w:r>
            <w:r w:rsidDel="00000000" w:rsidR="00000000" w:rsidRPr="00000000">
              <w:rPr>
                <w:rFonts w:ascii="Google Sans" w:cs="Google Sans" w:eastAsia="Google Sans" w:hAnsi="Google Sans"/>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(Requires sandboxed runtime, process isolation, and security controls)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(Provides standard Python stdout/stderr traces and variable inspection)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Recommended for Dynamic Math</w:t>
            </w:r>
            <w:r w:rsidDel="00000000" w:rsidR="00000000" w:rsidRPr="00000000">
              <w:rPr>
                <w:rFonts w:ascii="Google Sans" w:cs="Google Sans" w:eastAsia="Google Sans" w:hAnsi="Google Sans"/>
                <w:rtl w:val="0"/>
              </w:rPr>
              <w:t xml:space="preserve">: Eliminates 88.0% of mental calculation errors.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Structured Tool-Calling (Pre-built Functions)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100% Deterministic Execution Accuracy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29.9% – 40.1%</w:t>
            </w:r>
            <w:r w:rsidDel="00000000" w:rsidR="00000000" w:rsidRPr="00000000">
              <w:rPr>
                <w:rFonts w:ascii="Google Sans" w:cs="Google Sans" w:eastAsia="Google Sans" w:hAnsi="Google Sans"/>
                <w:rtl w:val="0"/>
              </w:rPr>
              <w:t xml:space="preserve"> overall task success on multi-step benchmarks due to parameter extraction failures.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ToolQA / TUMS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Live API Bench</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ToolTalk</w:t>
            </w:r>
            <w:r w:rsidDel="00000000" w:rsidR="00000000" w:rsidRPr="00000000">
              <w:rPr>
                <w:rFonts w:ascii="Google Sans" w:cs="Google Sans" w:eastAsia="Google Sans" w:hAnsi="Google Sans"/>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(Pydantic/JSON schemas and native Python helper utilities)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Very High (Isolated unit tests for functions; explicit parameter payloads)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Recommended for Standard Lookups</w:t>
            </w:r>
            <w:r w:rsidDel="00000000" w:rsidR="00000000" w:rsidRPr="00000000">
              <w:rPr>
                <w:rFonts w:ascii="Google Sans" w:cs="Google Sans" w:eastAsia="Google Sans" w:hAnsi="Google Sans"/>
                <w:rtl w:val="0"/>
              </w:rPr>
              <w:t xml:space="preserve">: High speed and reliability for canonical registry queries.</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Comparative Accuracy Framework and Benchmark Evaluation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choice of computation mechanism dictates the upper bound of numerical reliability in agentic systems. Large Language Models (LLMs) operating purely through natural language generation struggle with symbolic manipulation because token prediction probabilities do not inherently align with mathematical logic</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Across standardized tabular and numerical question-answering benchmarks, offloading computation to deterministic execution environments yields dramatic performance improvements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Direct LLM mental arithmetic, even when guided by Chain-of-Thought (CoT) prompting, demonstrates high failure rates on multi-step financial queries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On the FinQA benchmark, GPT-3.5 with CoT achieves an accuracy of only 44.37%, while zero-shot GPT-4 achieves 53.00% under complexity-based prompting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On the conversational ConvFinQA dataset, zero-shot GPT-4 performance falls to 42.20%</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Error analysis reveals that mental arithmetic failures constitute 38.8% of all errors in baseline financial QA architectures, representing the single largest vulnerability in unaugmented LLM agents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Text-to-SQL generation offloads numerical aggregation to relational database engines, demonstrating strong performance on standardized, highly structured benchmarks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On Spider 1.0, state-of-the-art frameworks such as DAIL-SQL achieve 86.6% execution accuracy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However, this accuracy degrades when applied to complex or real-world enterprise databases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On LiveSQLBench and BIRD-Interact, execution accuracy drops to ranges between 16.33% and 35.67%</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primary driver of this performance drop is the model's struggle to translate ambiguous natural language expressions into complex SQL joins, window functions, and enterprise column definitions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and Pandas code execution, widely implemented via the Program-of-Thought (PoT) paradigm, decouples procedural logic generation from execution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Instead of computing numerical outputs directly, the LLM generates executable code that is evaluated by an external Python interpreter</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Across general math and financial QA datasets, PoT yields an average accuracy gain of 12% over CoT</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FinAgent-RAG framework utilizes PoT reasoning to achieve execution accuracies of 76.81% on FinQA, 78.46% on ConvFinQA, and 74.96% on TAT-QA, outperforming baseline iterative RAG systems by 5.62 to 9.32 percentage points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delegating calculation to the Python runtime, PoT eliminates 88.0% of arithmetic errors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Structured tool-calling with pre-built deterministic functions guarantees 100% calculation accuracy for any successfully invoked function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However, total task accuracy remains bounded by the agent's ability to extract correct arguments from unstructured context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Benchmarks such as ToolQA reveal that baseline ReAct agents achieve only a 29.93% overall task success rate, which increases to 40.13% when augmented with parameter-level processing frameworks like TUMS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Similarly, on the ToolTalk benchmark, state-of-the-art models attain conversation-level success rates of 26% (GPT-3.5) and 50% (GPT-4), with failure modes concentrated in parameter generation rather than execution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Empirical Performance on Financial Tabular Benchmarks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Financial question-answering benchmarks explicitly test an agent's ability to integrate unstructured text from financial reports (such as footnoted accounting constraints or withdrawal rules) with structured numerical tables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published literature establishes a consistent performance hierarchy: executable code generation consistently outperforms direct LLM calculation and rigid symbolic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 the FinQA benchmark, which contains 8,281 expert-annotated questions over S&amp;P 500 earnings reports, traditional deep learning and direct LLM outputs perform poorly due to the compositional nature of financial formulas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direct prompting of top-tier models yields accuracies between 44.37% and 53.00%, agentic systems incorporating Program-of-Thought code execution reach 76.81% accuracy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demonstrates that decoupling natural language parsing from calculation is essential for multi-step financial analysis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ConvFinQA dataset tests conversational numerical reasoning across multi-turn interactions, requiring coreference resolution and context tracking over sequential calculations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Standard zero-shot LLM direct arithmetic achieves 42.20% accuracy on ConvFinQA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implementing a PoT reasoning module with iterative self-verification, FinAgent-RAG achieves 78.46% execution accuracy, maintaining contextual consistency across dialogue turns without accumulating computational drift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TAT-QA focuses on hybrid tabular and textual evidence containing diverse answer types, including numerical spans, counts, and multi-step arithmetic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Specialized symbolic models such as TaGOP achieved an early benchmark score of 58.00% F1</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Modern agentic RAG frameworks achieve 74.96% execution accuracy on TAT-QA using PoT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recent programmatic distillation techniques—training a 7B student model (Qwen2.5-7B) on execution-verified Python programs derived from teacher traces—achieve 87.00% Exact Match (EM) and 87.18% F1 on TAT-QA</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performance significantly exceeds that of un-distilled 72B teacher models (78.46% EM), proving that specialized code-generation fine-tuning maximizes tabular reasoning accuracy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 the FinanceReasoning benchmark, designed to evaluate complex multi-formula financial problems (such as multi-tiered hurdle rates, performance fees, and net return calculations), pure reasoning models frequently fail on numerical precision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Integrating PoT code execution with reasoning models (such as OpenAI o1) achieves an 89.10% accuracy on the hardest problem subsets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Providing models with structured Python functions elevates baseline accuracy from 83.2% to 91.6% for models like GPT-4o, confirming that program execution is necessary for domain-specific financial calculations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Documented Failure Modes Across Computational Paradigms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Designing a resilient financial agent requires mitigating the primary failure patterns documented across each computational paradigm.</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Text-to-SQL Failure Patterns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Schema Misinterpretation and Incorrect Join Operations</w:t>
      </w:r>
      <w:r w:rsidDel="00000000" w:rsidR="00000000" w:rsidRPr="00000000">
        <w:rPr>
          <w:rFonts w:ascii="Google Sans" w:cs="Google Sans" w:eastAsia="Google Sans" w:hAnsi="Google Sans"/>
          <w:rtl w:val="0"/>
        </w:rPr>
        <w:t xml:space="preserve">: Text-to-SQL models frequently fail when mapping natural language terms to complex relational schemas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Models often select incorrect foreign keys, produce invalid join conditions, or misinterpret table aliases, causing query execution failures or silent data truncation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Parametric Bias Overriding Schema Evidence</w:t>
      </w:r>
      <w:r w:rsidDel="00000000" w:rsidR="00000000" w:rsidRPr="00000000">
        <w:rPr>
          <w:rFonts w:ascii="Google Sans" w:cs="Google Sans" w:eastAsia="Google Sans" w:hAnsi="Google Sans"/>
          <w:rtl w:val="0"/>
        </w:rPr>
        <w:t xml:space="preserve">: When database contents conflict with pre-training facts, models frequently exhibit parametric bias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In benchmark evaluations on counterfactual databases, models regularly generate SQL queries reflecting prior knowledge rather than filtering the actual schema provided in the context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Inability to Express Dynamic Business Logic</w:t>
      </w:r>
      <w:r w:rsidDel="00000000" w:rsidR="00000000" w:rsidRPr="00000000">
        <w:rPr>
          <w:rFonts w:ascii="Google Sans" w:cs="Google Sans" w:eastAsia="Google Sans" w:hAnsi="Google Sans"/>
          <w:rtl w:val="0"/>
        </w:rPr>
        <w:t xml:space="preserve">: Standard SQL declarative structures struggle to represent complex, conditional business rules extracted on the fly from unstructured text (such as progressive fee tiers or complex calendar adjustments) without requiring nested subqueries or non-standard SQL extensions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and Pandas Code-Execution Failure Patterns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Off-by-One Date Slicing and Boundary Mismatches</w:t>
      </w:r>
      <w:r w:rsidDel="00000000" w:rsidR="00000000" w:rsidRPr="00000000">
        <w:rPr>
          <w:rFonts w:ascii="Google Sans" w:cs="Google Sans" w:eastAsia="Google Sans" w:hAnsi="Google Sans"/>
          <w:rtl w:val="0"/>
        </w:rPr>
        <w:t xml:space="preserve">: A common error in generated Pandas code involves temporal boundary misalignment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Models frequently confuse inclusive and exclusive slicing operators (e.g., generating df['date'] &lt; end_date instead of df['date'] &lt;= end_date), leading to missing transactions in rolling date windows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Silent Scale and Unit Mismatches</w:t>
      </w:r>
      <w:r w:rsidDel="00000000" w:rsidR="00000000" w:rsidRPr="00000000">
        <w:rPr>
          <w:rFonts w:ascii="Google Sans" w:cs="Google Sans" w:eastAsia="Google Sans" w:hAnsi="Google Sans"/>
          <w:rtl w:val="0"/>
        </w:rPr>
        <w:t xml:space="preserve">: Financial documents often state figures in mixed scales (e.g., narrative text reporting values in "thousands" or "millions" while the CSV registry stores raw units)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Generated Python code frequently performs arithmetic on raw column values without applying scaling transformations, producing incorrect outputs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API Hallucinations and Non-Executable Syntax</w:t>
      </w:r>
      <w:r w:rsidDel="00000000" w:rsidR="00000000" w:rsidRPr="00000000">
        <w:rPr>
          <w:rFonts w:ascii="Google Sans" w:cs="Google Sans" w:eastAsia="Google Sans" w:hAnsi="Google Sans"/>
          <w:rtl w:val="0"/>
        </w:rPr>
        <w:t xml:space="preserve">: Generated code may invoke non-existent Pandas parameters, assume incorrect data types, or fail to handle missing (NaN) values, resulting in runtime interpreter exceptions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Direct LLM Mental Arithmetic Failure Patterns</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Autoregressive Token Probability Mismatch</w:t>
      </w:r>
      <w:r w:rsidDel="00000000" w:rsidR="00000000" w:rsidRPr="00000000">
        <w:rPr>
          <w:rFonts w:ascii="Google Sans" w:cs="Google Sans" w:eastAsia="Google Sans" w:hAnsi="Google Sans"/>
          <w:rtl w:val="0"/>
        </w:rPr>
        <w:t xml:space="preserve">: LLMs generate text by sampling from token probability distributions optimized for textual coherence rather than mathematical exactness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architecture leads to basic arithmetic mistakes, incorrect operand association, and sign errors during direct generation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Cascading Computational Drift</w:t>
      </w:r>
      <w:r w:rsidDel="00000000" w:rsidR="00000000" w:rsidRPr="00000000">
        <w:rPr>
          <w:rFonts w:ascii="Google Sans" w:cs="Google Sans" w:eastAsia="Google Sans" w:hAnsi="Google Sans"/>
          <w:rtl w:val="0"/>
        </w:rPr>
        <w:t xml:space="preserve">: In multi-step mathematical problems, a minor numerical error in an early step propagates through all subsequent reasoning tokens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autoregressive models cannot retroactively edit previously generated tokens, intermediate mistakes lead to incorrect final answers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Failure on High-Precision Arithmetic</w:t>
      </w:r>
      <w:r w:rsidDel="00000000" w:rsidR="00000000" w:rsidRPr="00000000">
        <w:rPr>
          <w:rFonts w:ascii="Google Sans" w:cs="Google Sans" w:eastAsia="Google Sans" w:hAnsi="Google Sans"/>
          <w:rtl w:val="0"/>
        </w:rPr>
        <w:t xml:space="preserve">: Models consistently fail when computing long-digit multiplication, division, floating-point rounding, or iterative algebraic solving, accounting for 38.8% of errors in unaugmented systems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Structured Tool-Calling Failure Patterns</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Parameter and Argument Extraction Errors</w:t>
      </w:r>
      <w:r w:rsidDel="00000000" w:rsidR="00000000" w:rsidRPr="00000000">
        <w:rPr>
          <w:rFonts w:ascii="Google Sans" w:cs="Google Sans" w:eastAsia="Google Sans" w:hAnsi="Google Sans"/>
          <w:rtl w:val="0"/>
        </w:rPr>
        <w:t xml:space="preserve">: Evaluations on ToolQA and ToolRLA demonstrate that tool integration failures are overwhelmingly caused by parameter misconfiguration rather than incorrect tool selection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Models frequently pass incorrect data types, omit required fields, or misformat date strings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Premature Function Invocation</w:t>
      </w:r>
      <w:r w:rsidDel="00000000" w:rsidR="00000000" w:rsidRPr="00000000">
        <w:rPr>
          <w:rFonts w:ascii="Google Sans" w:cs="Google Sans" w:eastAsia="Google Sans" w:hAnsi="Google Sans"/>
          <w:rtl w:val="0"/>
        </w:rPr>
        <w:t xml:space="preserve">: Agents frequently invoke tool calls before fully parsing constraint parameters from the source text, executing functions with incomplete or default arguments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Schema Rigidity</w:t>
      </w:r>
      <w:r w:rsidDel="00000000" w:rsidR="00000000" w:rsidRPr="00000000">
        <w:rPr>
          <w:rFonts w:ascii="Google Sans" w:cs="Google Sans" w:eastAsia="Google Sans" w:hAnsi="Google Sans"/>
          <w:rtl w:val="0"/>
        </w:rPr>
        <w:t xml:space="preserve">: Static pre-built tools are limited by their rigid signatures. When an extracted business rule introduces novel constraint combinations not supported by the tool's parameter schema, the agent fails to compute the target metric</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Translation of Natural Language Rules into Structured Query Constraints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key requirement in agentic RAG architectures is translating unstructured rules extracted from PDF documents (e.g., "daily withdrawal limit of 5,000 currency units", "rolling 30-day window", "per calendar month") into structured query filters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translation step must occur reliably before data execution</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SafePyramid benchmark evaluates in-context policy interpretation, showing that LLMs struggle when distinguishing between active rules and topically related "distractor rules"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Models frequently over-match policy text based on surface-level keyword similarity rather than grounding logic in explicit context</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Evaluating individual rule compliance separately from query execution demonstrates that structural parsing requires explicit intermediate representation layers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Research on automated rule formalization—such as AgentOS intent translation and automated DataFrame rule generation—provides concrete architectural patterns for this translation phase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Intermediate JSON Rule Schema Formalization</w:t>
      </w:r>
      <w:r w:rsidDel="00000000" w:rsidR="00000000" w:rsidRPr="00000000">
        <w:rPr>
          <w:rFonts w:ascii="Google Sans" w:cs="Google Sans" w:eastAsia="Google Sans" w:hAnsi="Google Sans"/>
          <w:rtl w:val="0"/>
        </w:rPr>
        <w:t xml:space="preserve">: Rather than attempting direct, single-step conversion from text to Python/SQL code, the agent should first parse the natural language rule into a structured JSON schema</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This intermediate format explicitly isolates the target column, the aggregation operator (SUM, COUNT, MAX), the constraint threshold, and the temporal window specification</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Temporal Window Normalization</w:t>
      </w:r>
      <w:r w:rsidDel="00000000" w:rsidR="00000000" w:rsidRPr="00000000">
        <w:rPr>
          <w:rFonts w:ascii="Google Sans" w:cs="Google Sans" w:eastAsia="Google Sans" w:hAnsi="Google Sans"/>
          <w:rtl w:val="0"/>
        </w:rPr>
        <w:t xml:space="preserve">: Natural language temporal constraints exhibit high ambiguity</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Phrases such as "rolling 30 days" require explicit anchor date logic (</w:t>
      </w:r>
      <w:r w:rsidDel="00000000" w:rsidR="00000000" w:rsidRPr="00000000">
        <w:rPr>
          <w:rFonts w:ascii="Google Sans" w:cs="Google Sans" w:eastAsia="Google Sans" w:hAnsi="Google Sans"/>
        </w:rPr>
        <w:drawing>
          <wp:inline distB="19050" distT="19050" distL="19050" distR="19050">
            <wp:extent cx="3309461" cy="24457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09461" cy="244579"/>
                    </a:xfrm>
                    <a:prstGeom prst="rect"/>
                    <a:ln/>
                  </pic:spPr>
                </pic:pic>
              </a:graphicData>
            </a:graphic>
          </wp:inline>
        </w:drawing>
      </w:r>
      <w:r w:rsidDel="00000000" w:rsidR="00000000" w:rsidRPr="00000000">
        <w:rPr>
          <w:rFonts w:ascii="Google Sans" w:cs="Google Sans" w:eastAsia="Google Sans" w:hAnsi="Google Sans"/>
          <w:rtl w:val="0"/>
        </w:rPr>
        <w:t xml:space="preserve">), whereas "per calendar month" requires truncating dates to the first and last days of the active month. Prompts must force the model to convert relative temporal statements into absolute timestamp range definitions before writing code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In-Prompt Unit Test Generation</w:t>
      </w:r>
      <w:r w:rsidDel="00000000" w:rsidR="00000000" w:rsidRPr="00000000">
        <w:rPr>
          <w:rFonts w:ascii="Google Sans" w:cs="Google Sans" w:eastAsia="Google Sans" w:hAnsi="Google Sans"/>
          <w:rtl w:val="0"/>
        </w:rPr>
        <w:t xml:space="preserve">: To verify translation accuracy, the rule-generating agent should construct synthetic test cases alongside code logic</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Providing the code-generation module with explicit input data samples and expected output boundaries guides the LLM to output syntactically valid and semantically faithful Pandas operations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Protocols and Error-Reduction Evidence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meet strict scoring criteria that penalize arithmetic mistakes, agentic systems should implement automated verification pipelines prior to returning final outputs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Published empirical evidence confirms that self-verification protocols materially reduce numerical error rates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Best-Practice Verification Mechanisms</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Interpreter Runtime Error Feedback Loops</w:t>
      </w:r>
      <w:r w:rsidDel="00000000" w:rsidR="00000000" w:rsidRPr="00000000">
        <w:rPr>
          <w:rFonts w:ascii="Google Sans" w:cs="Google Sans" w:eastAsia="Google Sans" w:hAnsi="Google Sans"/>
          <w:rtl w:val="0"/>
        </w:rPr>
        <w:t xml:space="preserve">: When using Python code execution, runtime errors (such as Pandas KeyError, TypeError, or index boundary exceptions) must be captured and fed back to the model in an iterative correction loop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FinAgent-RAG, an iterative self-verification loop re-prompts the reasoning agent with interpreter error traces, resolving initial execution failures and eliminating up to 88.0% of arithmetic errors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Post-Hoc Confidence Calibration</w:t>
      </w:r>
      <w:r w:rsidDel="00000000" w:rsidR="00000000" w:rsidRPr="00000000">
        <w:rPr>
          <w:rFonts w:ascii="Google Sans" w:cs="Google Sans" w:eastAsia="Google Sans" w:hAnsi="Google Sans"/>
          <w:rtl w:val="0"/>
        </w:rPr>
        <w:t xml:space="preserve">: Raw self-assessed confidence scores from LLMs are often poorly calibrated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Applying post-hoc isotonic regression maps raw confidence outputs to calibrated probabilities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calibrated confidence score </w:t>
      </w:r>
      <w:r w:rsidDel="00000000" w:rsidR="00000000" w:rsidRPr="00000000">
        <w:rPr>
          <w:rFonts w:ascii="Google Sans" w:cs="Google Sans" w:eastAsia="Google Sans" w:hAnsi="Google Sans"/>
        </w:rPr>
        <w:drawing>
          <wp:inline distB="19050" distT="19050" distL="19050" distR="19050">
            <wp:extent cx="170338" cy="24002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0338" cy="240022"/>
                    </a:xfrm>
                    <a:prstGeom prst="rect"/>
                    <a:ln/>
                  </pic:spPr>
                </pic:pic>
              </a:graphicData>
            </a:graphic>
          </wp:inline>
        </w:drawing>
      </w:r>
      <w:r w:rsidDel="00000000" w:rsidR="00000000" w:rsidRPr="00000000">
        <w:rPr>
          <w:rFonts w:ascii="Google Sans" w:cs="Google Sans" w:eastAsia="Google Sans" w:hAnsi="Google Sans"/>
          <w:rtl w:val="0"/>
        </w:rPr>
        <w:t xml:space="preserve"> falls below a verified confidence threshold </w:t>
      </w:r>
      <w:r w:rsidDel="00000000" w:rsidR="00000000" w:rsidRPr="00000000">
        <w:rPr>
          <w:rFonts w:ascii="Google Sans" w:cs="Google Sans" w:eastAsia="Google Sans" w:hAnsi="Google Sans"/>
        </w:rPr>
        <w:drawing>
          <wp:inline distB="19050" distT="19050" distL="19050" distR="19050">
            <wp:extent cx="97314" cy="259504"/>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7314" cy="259504"/>
                    </a:xfrm>
                    <a:prstGeom prst="rect"/>
                    <a:ln/>
                  </pic:spPr>
                </pic:pic>
              </a:graphicData>
            </a:graphic>
          </wp:inline>
        </w:drawing>
      </w:r>
      <w:r w:rsidDel="00000000" w:rsidR="00000000" w:rsidRPr="00000000">
        <w:rPr>
          <w:rFonts w:ascii="Google Sans" w:cs="Google Sans" w:eastAsia="Google Sans" w:hAnsi="Google Sans"/>
          <w:rtl w:val="0"/>
        </w:rPr>
        <w:t xml:space="preserve">, the agent automatically triggers a secondary verification loop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Self-Consistency Majority Decoding over Execution Traces</w:t>
      </w:r>
      <w:r w:rsidDel="00000000" w:rsidR="00000000" w:rsidRPr="00000000">
        <w:rPr>
          <w:rFonts w:ascii="Google Sans" w:cs="Google Sans" w:eastAsia="Google Sans" w:hAnsi="Google Sans"/>
          <w:rtl w:val="0"/>
        </w:rPr>
        <w:t xml:space="preserve">: Combining Program-of-Thought with self-consistency decoding significantly enhances reliability</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By sampling multiple distinct code implementations at a low temperature (</w:t>
      </w:r>
      <w:r w:rsidDel="00000000" w:rsidR="00000000" w:rsidRPr="00000000">
        <w:rPr>
          <w:rFonts w:ascii="Google Sans" w:cs="Google Sans" w:eastAsia="Google Sans" w:hAnsi="Google Sans"/>
        </w:rPr>
        <w:drawing>
          <wp:inline distB="19050" distT="19050" distL="19050" distR="19050">
            <wp:extent cx="653256" cy="243072"/>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53256" cy="243072"/>
                    </a:xfrm>
                    <a:prstGeom prst="rect"/>
                    <a:ln/>
                  </pic:spPr>
                </pic:pic>
              </a:graphicData>
            </a:graphic>
          </wp:inline>
        </w:drawing>
      </w:r>
      <w:r w:rsidDel="00000000" w:rsidR="00000000" w:rsidRPr="00000000">
        <w:rPr>
          <w:rFonts w:ascii="Google Sans" w:cs="Google Sans" w:eastAsia="Google Sans" w:hAnsi="Google Sans"/>
          <w:rtl w:val="0"/>
        </w:rPr>
        <w:t xml:space="preserve">), executing each code trace independently, and selecting the majority numerical result, systems achieve an average 12% performance boost across numerical benchmarks compared to single-pass CoT</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Deterministic Range and Invariant Sanity Checks</w:t>
      </w:r>
      <w:r w:rsidDel="00000000" w:rsidR="00000000" w:rsidRPr="00000000">
        <w:rPr>
          <w:rFonts w:ascii="Google Sans" w:cs="Google Sans" w:eastAsia="Google Sans" w:hAnsi="Google Sans"/>
          <w:rtl w:val="0"/>
        </w:rPr>
        <w:t xml:space="preserve">: Before finalizing an output, the agent passes the computed result through lightweight assertion functions:</w:t>
      </w:r>
    </w:p>
    <w:p w:rsidR="00000000" w:rsidDel="00000000" w:rsidP="00000000" w:rsidRDefault="00000000" w:rsidRPr="00000000" w14:paraId="0000004F">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Boundary Verification</w:t>
      </w:r>
      <w:r w:rsidDel="00000000" w:rsidR="00000000" w:rsidRPr="00000000">
        <w:rPr>
          <w:rFonts w:ascii="Google Sans" w:cs="Google Sans" w:eastAsia="Google Sans" w:hAnsi="Google Sans"/>
          <w:rtl w:val="0"/>
        </w:rPr>
        <w:t xml:space="preserve">: Ensuring computed balances or transaction counts do not fall below zero unless explicitly allowed.</w:t>
      </w:r>
    </w:p>
    <w:p w:rsidR="00000000" w:rsidDel="00000000" w:rsidP="00000000" w:rsidRDefault="00000000" w:rsidRPr="00000000" w14:paraId="00000050">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Aggregate Invariant Validation</w:t>
      </w:r>
      <w:r w:rsidDel="00000000" w:rsidR="00000000" w:rsidRPr="00000000">
        <w:rPr>
          <w:rFonts w:ascii="Google Sans" w:cs="Google Sans" w:eastAsia="Google Sans" w:hAnsi="Google Sans"/>
          <w:rtl w:val="0"/>
        </w:rPr>
        <w:t xml:space="preserve">: Confirming that a filtered subset sum does not exceed the total sum of the unfiltered dataset.</w:t>
      </w:r>
    </w:p>
    <w:p w:rsidR="00000000" w:rsidDel="00000000" w:rsidP="00000000" w:rsidRDefault="00000000" w:rsidRPr="00000000" w14:paraId="0000005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Scale Consistency Checks</w:t>
      </w:r>
      <w:r w:rsidDel="00000000" w:rsidR="00000000" w:rsidRPr="00000000">
        <w:rPr>
          <w:rFonts w:ascii="Google Sans" w:cs="Google Sans" w:eastAsia="Google Sans" w:hAnsi="Google Sans"/>
          <w:rtl w:val="0"/>
        </w:rPr>
        <w:t xml:space="preserve">: Cross-checking extracted document units against transaction registry fields to prevent scale mismatch errors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Latency and Reliability Trade-offs Under Time Constraints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Building an agentic system under strict time constraints requires evaluating the trade-offs between sandboxed Python code execution and structured tool-calling.</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Sandboxed Python Execution (Program-of-Thought)</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Setup Complexity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Implementing safe code execution requires configuring isolated runtime containers (e.g., Docker, gVisor, or Pyodide WASM environments) with strict memory limits, execution timeouts, and dependency management (pandas, numpy)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Latency Profile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Medium to High</w:t>
      </w:r>
      <w:r w:rsidDel="00000000" w:rsidR="00000000" w:rsidRPr="00000000">
        <w:rPr>
          <w:rFonts w:ascii="Google Sans" w:cs="Google Sans" w:eastAsia="Google Sans" w:hAnsi="Google Sans"/>
          <w:rtl w:val="0"/>
        </w:rPr>
        <w:t xml:space="preserve">. Generating dynamic code requires an LLM inference pass followed by interpreter execution, introducing latency overheads of 1.5 to 3.5 seconds per iteration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Debuggability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Medium</w:t>
      </w:r>
      <w:r w:rsidDel="00000000" w:rsidR="00000000" w:rsidRPr="00000000">
        <w:rPr>
          <w:rFonts w:ascii="Google Sans" w:cs="Google Sans" w:eastAsia="Google Sans" w:hAnsi="Google Sans"/>
          <w:rtl w:val="0"/>
        </w:rPr>
        <w:t xml:space="preserve">. Execution crashes generate clear Python stack traces, but debugging subtle, silent logic errors in generated code requires logging intermediate DataFrame transformations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Flexibility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Extremely High</w:t>
      </w:r>
      <w:r w:rsidDel="00000000" w:rsidR="00000000" w:rsidRPr="00000000">
        <w:rPr>
          <w:rFonts w:ascii="Google Sans" w:cs="Google Sans" w:eastAsia="Google Sans" w:hAnsi="Google Sans"/>
          <w:rtl w:val="0"/>
        </w:rPr>
        <w:t xml:space="preserve">. Handles unexpected, complex, or multi-clause rules extracted from PDF documents without requiring changes to backend code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Structured Tool-Calling with Pre-Built Functions</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Setup Complexity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Low</w:t>
      </w:r>
      <w:r w:rsidDel="00000000" w:rsidR="00000000" w:rsidRPr="00000000">
        <w:rPr>
          <w:rFonts w:ascii="Google Sans" w:cs="Google Sans" w:eastAsia="Google Sans" w:hAnsi="Google Sans"/>
          <w:rtl w:val="0"/>
        </w:rPr>
        <w:t xml:space="preserve">. Creating deterministic helper functions (e.g., filter_by_date(), sum_column(), count_rows()) requires standard Python utility code and Pydantic schema declarations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Latency Profile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Minimal</w:t>
      </w:r>
      <w:r w:rsidDel="00000000" w:rsidR="00000000" w:rsidRPr="00000000">
        <w:rPr>
          <w:rFonts w:ascii="Google Sans" w:cs="Google Sans" w:eastAsia="Google Sans" w:hAnsi="Google Sans"/>
          <w:rtl w:val="0"/>
        </w:rPr>
        <w:t xml:space="preserve">. Pre-built functions run directly in-process without sandbox creation overhead, completing in 10 to 50 milliseconds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Debuggability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Very High</w:t>
      </w:r>
      <w:r w:rsidDel="00000000" w:rsidR="00000000" w:rsidRPr="00000000">
        <w:rPr>
          <w:rFonts w:ascii="Google Sans" w:cs="Google Sans" w:eastAsia="Google Sans" w:hAnsi="Google Sans"/>
          <w:rtl w:val="0"/>
        </w:rPr>
        <w:t xml:space="preserve">. Helper functions can be thoroughly unit-tested in advance. Errors are strictly isolated to the model's parameter extraction phase, which can be inspected directly via raw API call logs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Flexibility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Low to Medium</w:t>
      </w:r>
      <w:r w:rsidDel="00000000" w:rsidR="00000000" w:rsidRPr="00000000">
        <w:rPr>
          <w:rFonts w:ascii="Google Sans" w:cs="Google Sans" w:eastAsia="Google Sans" w:hAnsi="Google Sans"/>
          <w:rtl w:val="0"/>
        </w:rPr>
        <w:t xml:space="preserve">. Fails when an extracted document rule requires complex logic combinations that fall outside the pre-defined function signatures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Recommendation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Engineers building systems under tight time constraints should avoid relying on a single uniform execution paradigm. Instead, published evidence supports a </w:t>
      </w:r>
      <w:r w:rsidDel="00000000" w:rsidR="00000000" w:rsidRPr="00000000">
        <w:rPr>
          <w:rFonts w:ascii="Google Sans" w:cs="Google Sans" w:eastAsia="Google Sans" w:hAnsi="Google Sans"/>
          <w:b w:val="1"/>
          <w:bCs w:val="1"/>
          <w:rtl w:val="0"/>
        </w:rPr>
        <w:t xml:space="preserve">Hybrid Agent Architecture</w:t>
      </w:r>
      <w:r w:rsidDel="00000000" w:rsidR="00000000" w:rsidRPr="00000000">
        <w:rPr>
          <w:rFonts w:ascii="Google Sans" w:cs="Google Sans" w:eastAsia="Google Sans" w:hAnsi="Google Sans"/>
          <w:rtl w:val="0"/>
        </w:rPr>
        <w:t xml:space="preserve"> that combines the speed and predictability of pre-built deterministic tools with the flexibility of sandboxed Python code execution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Under this hybrid design, the agent utilizes structured tool-calling for canonical, predictable operations (such as fetching transaction rows, filtering standard date ranges, or computing baseline sums)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avoids sandbox latency and guarantees zero execution errors for routine registry queries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When the agent encounters non-standard, multi-clause, or dynamic rules extracted from PDF policies, it routes the query to a sandboxed Python code-execution tool (Program-of-Thought)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Empirical results from frameworks like FinAgent-RAG demonstrate that router-driven hybrid execution reduces API invocation costs by 41.3% while maintaining 98.2% of full-system computational accuracy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entire pipeline must be protected by an automated verification step that captures interpreter errors, validates scale consistency, and applies self-consistency voting over generated execution traces, ensuring compliance with strict computational accuracy scoring criteria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Retrieval-Augmented Generation for Financial Document Question Answering, </w:t>
      </w:r>
      <w:hyperlink r:id="rId10">
        <w:r w:rsidDel="00000000" w:rsidR="00000000" w:rsidRPr="00000000">
          <w:rPr>
            <w:rFonts w:ascii="Google Sans" w:cs="Google Sans" w:eastAsia="Google Sans" w:hAnsi="Google Sans"/>
            <w:color w:val="0000ee"/>
            <w:sz w:val="24"/>
            <w:szCs w:val="24"/>
            <w:u w:val="single"/>
            <w:rtl w:val="0"/>
          </w:rPr>
          <w:t xml:space="preserve">https://arxiv.org/html/2605.05409</w:t>
        </w:r>
      </w:hyperlink>
      <w:r w:rsidDel="00000000" w:rsidR="00000000" w:rsidRPr="00000000">
        <w:rPr>
          <w:rtl w:val="0"/>
        </w:rPr>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the potential of large-scale language models to solve financial reasoning tasks by comparing zero-shot learning with few - Sign in, </w:t>
      </w:r>
      <w:hyperlink r:id="rId11">
        <w:r w:rsidDel="00000000" w:rsidR="00000000" w:rsidRPr="00000000">
          <w:rPr>
            <w:rFonts w:ascii="Google Sans" w:cs="Google Sans" w:eastAsia="Google Sans" w:hAnsi="Google Sans"/>
            <w:color w:val="0000ee"/>
            <w:sz w:val="24"/>
            <w:szCs w:val="24"/>
            <w:u w:val="single"/>
            <w:rtl w:val="0"/>
          </w:rPr>
          <w:t xml:space="preserve">https://research-api.cbs.dk/ws/portalfiles/portal/98727211/1564909_Thesis_final_version_.pdf</w:t>
        </w:r>
      </w:hyperlink>
      <w:r w:rsidDel="00000000" w:rsidR="00000000" w:rsidRPr="00000000">
        <w:rPr>
          <w:rtl w:val="0"/>
        </w:rPr>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Text-to-SQL Empowered by Large Language Models: A Benchmark Evaluation - VLDB Endowment, </w:t>
      </w:r>
      <w:hyperlink r:id="rId12">
        <w:r w:rsidDel="00000000" w:rsidR="00000000" w:rsidRPr="00000000">
          <w:rPr>
            <w:rFonts w:ascii="Google Sans" w:cs="Google Sans" w:eastAsia="Google Sans" w:hAnsi="Google Sans"/>
            <w:color w:val="0000ee"/>
            <w:sz w:val="24"/>
            <w:szCs w:val="24"/>
            <w:u w:val="single"/>
            <w:rtl w:val="0"/>
          </w:rPr>
          <w:t xml:space="preserve">https://www.vldb.org/pvldb/vol17/p1132-gao.pdf?utm_source=chatgpt.com</w:t>
        </w:r>
      </w:hyperlink>
      <w:r w:rsidDel="00000000" w:rsidR="00000000" w:rsidRPr="00000000">
        <w:rPr>
          <w:rtl w:val="0"/>
        </w:rPr>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BIRD-bench, </w:t>
      </w:r>
      <w:hyperlink r:id="rId13">
        <w:r w:rsidDel="00000000" w:rsidR="00000000" w:rsidRPr="00000000">
          <w:rPr>
            <w:rFonts w:ascii="Google Sans" w:cs="Google Sans" w:eastAsia="Google Sans" w:hAnsi="Google Sans"/>
            <w:color w:val="0000ee"/>
            <w:sz w:val="24"/>
            <w:szCs w:val="24"/>
            <w:u w:val="single"/>
            <w:rtl w:val="0"/>
          </w:rPr>
          <w:t xml:space="preserve">https://bird-bench.github.io/</w:t>
        </w:r>
      </w:hyperlink>
      <w:r w:rsidDel="00000000" w:rsidR="00000000" w:rsidRPr="00000000">
        <w:rPr>
          <w:rtl w:val="0"/>
        </w:rPr>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Text-to-SQL Accuracy Cliff: Why Deterministic Compilers Beat LLM Guessing - Colrows, </w:t>
      </w:r>
      <w:hyperlink r:id="rId14">
        <w:r w:rsidDel="00000000" w:rsidR="00000000" w:rsidRPr="00000000">
          <w:rPr>
            <w:rFonts w:ascii="Google Sans" w:cs="Google Sans" w:eastAsia="Google Sans" w:hAnsi="Google Sans"/>
            <w:color w:val="0000ee"/>
            <w:sz w:val="24"/>
            <w:szCs w:val="24"/>
            <w:u w:val="single"/>
            <w:rtl w:val="0"/>
          </w:rPr>
          <w:t xml:space="preserve">https://colrows.com/blogs/text-to-sql-accuracy-cliff/</w:t>
        </w:r>
      </w:hyperlink>
      <w:r w:rsidDel="00000000" w:rsidR="00000000" w:rsidRPr="00000000">
        <w:rPr>
          <w:rtl w:val="0"/>
        </w:rPr>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Gold-Guided Programmatic Distillation for Financial Reasoning over Hybrid Tables and Text, </w:t>
      </w:r>
      <w:hyperlink r:id="rId15">
        <w:r w:rsidDel="00000000" w:rsidR="00000000" w:rsidRPr="00000000">
          <w:rPr>
            <w:rFonts w:ascii="Google Sans" w:cs="Google Sans" w:eastAsia="Google Sans" w:hAnsi="Google Sans"/>
            <w:color w:val="0000ee"/>
            <w:sz w:val="24"/>
            <w:szCs w:val="24"/>
            <w:u w:val="single"/>
            <w:rtl w:val="0"/>
          </w:rPr>
          <w:t xml:space="preserve">https://arxiv.org/html/2607.14709v1</w:t>
        </w:r>
      </w:hyperlink>
      <w:r w:rsidDel="00000000" w:rsidR="00000000" w:rsidRPr="00000000">
        <w:rPr>
          <w:rtl w:val="0"/>
        </w:rPr>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FinanceReasoning: Benchmarking Financial Numerical Reasoning More Credible, Comprehensive and Challenging - ACL Anthology, </w:t>
      </w:r>
      <w:hyperlink r:id="rId16">
        <w:r w:rsidDel="00000000" w:rsidR="00000000" w:rsidRPr="00000000">
          <w:rPr>
            <w:rFonts w:ascii="Google Sans" w:cs="Google Sans" w:eastAsia="Google Sans" w:hAnsi="Google Sans"/>
            <w:color w:val="0000ee"/>
            <w:sz w:val="24"/>
            <w:szCs w:val="24"/>
            <w:u w:val="single"/>
            <w:rtl w:val="0"/>
          </w:rPr>
          <w:t xml:space="preserve">https://aclanthology.org/2025.acl-long.766.pdf</w:t>
        </w:r>
      </w:hyperlink>
      <w:r w:rsidDel="00000000" w:rsidR="00000000" w:rsidRPr="00000000">
        <w:rPr>
          <w:rtl w:val="0"/>
        </w:rPr>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ToolQA: A Dataset for LLM Question Answering with External Tools - ResearchGate,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https://www.researchgate.net/publication/401460730_ToolQA_A_Dataset_for_LLM_Question_Answering_with_External_Tools</w:t>
        </w:r>
      </w:hyperlink>
      <w:r w:rsidDel="00000000" w:rsidR="00000000" w:rsidRPr="00000000">
        <w:rPr>
          <w:rtl w:val="0"/>
        </w:rPr>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TUMS: Enhancing Tool-use Abilities of LLMs with Multi-structure Handlers - arXiv, </w:t>
      </w:r>
      <w:hyperlink r:id="rId18">
        <w:r w:rsidDel="00000000" w:rsidR="00000000" w:rsidRPr="00000000">
          <w:rPr>
            <w:rFonts w:ascii="Google Sans" w:cs="Google Sans" w:eastAsia="Google Sans" w:hAnsi="Google Sans"/>
            <w:color w:val="0000ee"/>
            <w:sz w:val="24"/>
            <w:szCs w:val="24"/>
            <w:u w:val="single"/>
            <w:rtl w:val="0"/>
          </w:rPr>
          <w:t xml:space="preserve">https://arxiv.org/html/2505.08402v1</w:t>
        </w:r>
      </w:hyperlink>
      <w:r w:rsidDel="00000000" w:rsidR="00000000" w:rsidRPr="00000000">
        <w:rPr>
          <w:rtl w:val="0"/>
        </w:rPr>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API-Bench: 2500+ Live APIs for Testing Multi-Step Tool Calling - ACL Anthology, </w:t>
      </w:r>
      <w:hyperlink r:id="rId19">
        <w:r w:rsidDel="00000000" w:rsidR="00000000" w:rsidRPr="00000000">
          <w:rPr>
            <w:rFonts w:ascii="Google Sans" w:cs="Google Sans" w:eastAsia="Google Sans" w:hAnsi="Google Sans"/>
            <w:color w:val="0000ee"/>
            <w:sz w:val="24"/>
            <w:szCs w:val="24"/>
            <w:u w:val="single"/>
            <w:rtl w:val="0"/>
          </w:rPr>
          <w:t xml:space="preserve">https://aclanthology.org/2026.eacl-long.143.pdf</w:t>
        </w:r>
      </w:hyperlink>
      <w:r w:rsidDel="00000000" w:rsidR="00000000" w:rsidRPr="00000000">
        <w:rPr>
          <w:rtl w:val="0"/>
        </w:rPr>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TOOLTALK: EVALUATING TOOL USAGE IN A CON- VERSATIONAL SETTING - OpenReview, </w:t>
      </w:r>
      <w:hyperlink r:id="rId20">
        <w:r w:rsidDel="00000000" w:rsidR="00000000" w:rsidRPr="00000000">
          <w:rPr>
            <w:rFonts w:ascii="Google Sans" w:cs="Google Sans" w:eastAsia="Google Sans" w:hAnsi="Google Sans"/>
            <w:color w:val="0000ee"/>
            <w:sz w:val="24"/>
            <w:szCs w:val="24"/>
            <w:u w:val="single"/>
            <w:rtl w:val="0"/>
          </w:rPr>
          <w:t xml:space="preserve">https://openreview.net/pdf?id=iTddgL0lTQ</w:t>
        </w:r>
      </w:hyperlink>
      <w:r w:rsidDel="00000000" w:rsidR="00000000" w:rsidRPr="00000000">
        <w:rPr>
          <w:rtl w:val="0"/>
        </w:rPr>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Reasoning in Large Language Models: Benchmarks, Architectures, Evaluation, and Open Challenges - arXiv, </w:t>
      </w:r>
      <w:hyperlink r:id="rId21">
        <w:r w:rsidDel="00000000" w:rsidR="00000000" w:rsidRPr="00000000">
          <w:rPr>
            <w:rFonts w:ascii="Google Sans" w:cs="Google Sans" w:eastAsia="Google Sans" w:hAnsi="Google Sans"/>
            <w:color w:val="0000ee"/>
            <w:sz w:val="24"/>
            <w:szCs w:val="24"/>
            <w:u w:val="single"/>
            <w:rtl w:val="0"/>
          </w:rPr>
          <w:t xml:space="preserve">https://arxiv.org/html/2605.19723v1</w:t>
        </w:r>
      </w:hyperlink>
      <w:r w:rsidDel="00000000" w:rsidR="00000000" w:rsidRPr="00000000">
        <w:rPr>
          <w:rtl w:val="0"/>
        </w:rPr>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 of Thoughts Prompting: Disentangling Computa- tion from Reasoning for Numerical Reasoning Tasks - OpenReview, </w:t>
      </w:r>
      <w:hyperlink r:id="rId22">
        <w:r w:rsidDel="00000000" w:rsidR="00000000" w:rsidRPr="00000000">
          <w:rPr>
            <w:rFonts w:ascii="Google Sans" w:cs="Google Sans" w:eastAsia="Google Sans" w:hAnsi="Google Sans"/>
            <w:color w:val="0000ee"/>
            <w:sz w:val="24"/>
            <w:szCs w:val="24"/>
            <w:u w:val="single"/>
            <w:rtl w:val="0"/>
          </w:rPr>
          <w:t xml:space="preserve">https://openreview.net/pdf/c2ca9d768b16cf1fac6295f41752506947edbba5.pdf</w:t>
        </w:r>
      </w:hyperlink>
      <w:r w:rsidDel="00000000" w:rsidR="00000000" w:rsidRPr="00000000">
        <w:rPr>
          <w:rtl w:val="0"/>
        </w:rPr>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TAT-QA: A Question Answering Benchmark on a Hybrid of Tabular and Textual Content in Finance | Request PDF - ResearchGate,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https://www.researchgate.net/publication/351658915_TAT-QA_A_Question_Answering_Benchmark_on_a_Hybrid_of_Tabular_and_Textual_Content_in_Finance</w:t>
        </w:r>
      </w:hyperlink>
      <w:r w:rsidDel="00000000" w:rsidR="00000000" w:rsidRPr="00000000">
        <w:rPr>
          <w:rtl w:val="0"/>
        </w:rPr>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ConvFinQA: Exploring the Chain of Numerical Reasoning in Conversational Finance Question Answering | Request PDF - ResearchGate,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https://www.researchgate.net/publication/372928237_ConvFinQA_Exploring_the_Chain_of_Numerical_Reasoning_in_Conversational_Finance_Question_Answering</w:t>
        </w:r>
      </w:hyperlink>
      <w:r w:rsidDel="00000000" w:rsidR="00000000" w:rsidRPr="00000000">
        <w:rPr>
          <w:rtl w:val="0"/>
        </w:rPr>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Text-to-Python against Text-to-SQL: The Impact of Explicit Logic and Ambiguity - arXiv, </w:t>
      </w:r>
      <w:hyperlink r:id="rId25">
        <w:r w:rsidDel="00000000" w:rsidR="00000000" w:rsidRPr="00000000">
          <w:rPr>
            <w:rFonts w:ascii="Google Sans" w:cs="Google Sans" w:eastAsia="Google Sans" w:hAnsi="Google Sans"/>
            <w:color w:val="0000ee"/>
            <w:sz w:val="24"/>
            <w:szCs w:val="24"/>
            <w:u w:val="single"/>
            <w:rtl w:val="0"/>
          </w:rPr>
          <w:t xml:space="preserve">https://arxiv.org/html/2601.15728v2</w:t>
        </w:r>
      </w:hyperlink>
      <w:r w:rsidDel="00000000" w:rsidR="00000000" w:rsidRPr="00000000">
        <w:rPr>
          <w:rtl w:val="0"/>
        </w:rPr>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Drawing Pandas: A Benchmark for LLMs in Generating Plotting Code - arXiv, </w:t>
      </w:r>
      <w:hyperlink r:id="rId26">
        <w:r w:rsidDel="00000000" w:rsidR="00000000" w:rsidRPr="00000000">
          <w:rPr>
            <w:rFonts w:ascii="Google Sans" w:cs="Google Sans" w:eastAsia="Google Sans" w:hAnsi="Google Sans"/>
            <w:color w:val="0000ee"/>
            <w:sz w:val="24"/>
            <w:szCs w:val="24"/>
            <w:u w:val="single"/>
            <w:rtl w:val="0"/>
          </w:rPr>
          <w:t xml:space="preserve">https://arxiv.org/html/2412.02764v2</w:t>
        </w:r>
      </w:hyperlink>
      <w:r w:rsidDel="00000000" w:rsidR="00000000" w:rsidRPr="00000000">
        <w:rPr>
          <w:rtl w:val="0"/>
        </w:rPr>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Workflow for Generating High-Performance Data Analysis Code - reposiTUm, </w:t>
      </w:r>
      <w:hyperlink r:id="rId27">
        <w:r w:rsidDel="00000000" w:rsidR="00000000" w:rsidRPr="00000000">
          <w:rPr>
            <w:rFonts w:ascii="Google Sans" w:cs="Google Sans" w:eastAsia="Google Sans" w:hAnsi="Google Sans"/>
            <w:color w:val="0000ee"/>
            <w:sz w:val="24"/>
            <w:szCs w:val="24"/>
            <w:u w:val="single"/>
            <w:rtl w:val="0"/>
          </w:rPr>
          <w:t xml:space="preserve">https://repositum.tuwien.at/bitstream/20.500.12708/220446/1/Gugler%20Lucas%20-%202025%20-%20Multi-Agent%20Workflow%20for%20Generating%20High-Performance%20Data...pdf</w:t>
        </w:r>
      </w:hyperlink>
      <w:r w:rsidDel="00000000" w:rsidR="00000000" w:rsidRPr="00000000">
        <w:rPr>
          <w:rtl w:val="0"/>
        </w:rPr>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FinMMDocR: Benchmarking Financial Multimodal Reasoning with Scenario Awareness, Document Understanding, and Multi-Step Computation - AAAI Publications, </w:t>
      </w:r>
      <w:hyperlink r:id="rId28">
        <w:r w:rsidDel="00000000" w:rsidR="00000000" w:rsidRPr="00000000">
          <w:rPr>
            <w:rFonts w:ascii="Google Sans" w:cs="Google Sans" w:eastAsia="Google Sans" w:hAnsi="Google Sans"/>
            <w:color w:val="0000ee"/>
            <w:sz w:val="24"/>
            <w:szCs w:val="24"/>
            <w:u w:val="single"/>
            <w:rtl w:val="0"/>
          </w:rPr>
          <w:t xml:space="preserve">https://ojs.aaai.org/index.php/AAAI/article/download/39785/43746</w:t>
        </w:r>
      </w:hyperlink>
      <w:r w:rsidDel="00000000" w:rsidR="00000000" w:rsidRPr="00000000">
        <w:rPr>
          <w:rtl w:val="0"/>
        </w:rPr>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- 1050727345hu-web/Bird_Pandas: Bird-Pandas is a cross-paradigm benchmark and evaluation pipeline that aligns Text-to-SQL with Text-to-Python (Pandas) by deriving verified Python solutions from the BIRD dataset, augmented by the Logic Completion Framework (LCF) for robust data analysis code generation., </w:t>
      </w:r>
      <w:hyperlink r:id="rId29">
        <w:r w:rsidDel="00000000" w:rsidR="00000000" w:rsidRPr="00000000">
          <w:rPr>
            <w:rFonts w:ascii="Google Sans" w:cs="Google Sans" w:eastAsia="Google Sans" w:hAnsi="Google Sans"/>
            <w:color w:val="0000ee"/>
            <w:sz w:val="24"/>
            <w:szCs w:val="24"/>
            <w:u w:val="single"/>
            <w:rtl w:val="0"/>
          </w:rPr>
          <w:t xml:space="preserve">https://github.com/1050727345hu-web/Bird_python</w:t>
        </w:r>
      </w:hyperlink>
      <w:r w:rsidDel="00000000" w:rsidR="00000000" w:rsidRPr="00000000">
        <w:rPr>
          <w:rtl w:val="0"/>
        </w:rPr>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Agents Already Know When to Call Tools - Even Without Reasoning - arXiv, </w:t>
      </w:r>
      <w:hyperlink r:id="rId30">
        <w:r w:rsidDel="00000000" w:rsidR="00000000" w:rsidRPr="00000000">
          <w:rPr>
            <w:rFonts w:ascii="Google Sans" w:cs="Google Sans" w:eastAsia="Google Sans" w:hAnsi="Google Sans"/>
            <w:color w:val="0000ee"/>
            <w:sz w:val="24"/>
            <w:szCs w:val="24"/>
            <w:u w:val="single"/>
            <w:rtl w:val="0"/>
          </w:rPr>
          <w:t xml:space="preserve">https://arxiv.org/html/2605.09252v1</w:t>
        </w:r>
      </w:hyperlink>
      <w:r w:rsidDel="00000000" w:rsidR="00000000" w:rsidRPr="00000000">
        <w:rPr>
          <w:rtl w:val="0"/>
        </w:rPr>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SafePyramid: A Hierarchical Benchmark for In-context Policy Guardrailing - arXiv, </w:t>
      </w:r>
      <w:hyperlink r:id="rId31">
        <w:r w:rsidDel="00000000" w:rsidR="00000000" w:rsidRPr="00000000">
          <w:rPr>
            <w:rFonts w:ascii="Google Sans" w:cs="Google Sans" w:eastAsia="Google Sans" w:hAnsi="Google Sans"/>
            <w:color w:val="0000ee"/>
            <w:sz w:val="24"/>
            <w:szCs w:val="24"/>
            <w:u w:val="single"/>
            <w:rtl w:val="0"/>
          </w:rPr>
          <w:t xml:space="preserve">https://arxiv.org/html/2606.29887v1</w:t>
        </w:r>
      </w:hyperlink>
      <w:r w:rsidDel="00000000" w:rsidR="00000000" w:rsidRPr="00000000">
        <w:rPr>
          <w:rtl w:val="0"/>
        </w:rPr>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AgentOS: From Application Silos to a Natural Language-Driven Data Ecosystem - arXiv, </w:t>
      </w:r>
      <w:hyperlink r:id="rId32">
        <w:r w:rsidDel="00000000" w:rsidR="00000000" w:rsidRPr="00000000">
          <w:rPr>
            <w:rFonts w:ascii="Google Sans" w:cs="Google Sans" w:eastAsia="Google Sans" w:hAnsi="Google Sans"/>
            <w:color w:val="0000ee"/>
            <w:sz w:val="24"/>
            <w:szCs w:val="24"/>
            <w:u w:val="single"/>
            <w:rtl w:val="0"/>
          </w:rPr>
          <w:t xml:space="preserve">https://arxiv.org/html/2603.08938v1</w:t>
        </w:r>
      </w:hyperlink>
      <w:r w:rsidDel="00000000" w:rsidR="00000000" w:rsidRPr="00000000">
        <w:rPr>
          <w:rtl w:val="0"/>
        </w:rPr>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Uncertainty-Aware Trajectory Prediction via Rule-Regularized Heteroscedastic Deep Classification - arXiv, </w:t>
      </w:r>
      <w:hyperlink r:id="rId33">
        <w:r w:rsidDel="00000000" w:rsidR="00000000" w:rsidRPr="00000000">
          <w:rPr>
            <w:rFonts w:ascii="Google Sans" w:cs="Google Sans" w:eastAsia="Google Sans" w:hAnsi="Google Sans"/>
            <w:color w:val="0000ee"/>
            <w:sz w:val="24"/>
            <w:szCs w:val="24"/>
            <w:u w:val="single"/>
            <w:rtl w:val="0"/>
          </w:rPr>
          <w:t xml:space="preserve">https://arxiv.org/html/2504.13111v3</w:t>
        </w:r>
      </w:hyperlink>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Lost in Space: Optimizing Tokens for Grammar-Constrained Decoding - arXiv, </w:t>
      </w:r>
      <w:hyperlink r:id="rId34">
        <w:r w:rsidDel="00000000" w:rsidR="00000000" w:rsidRPr="00000000">
          <w:rPr>
            <w:rFonts w:ascii="Google Sans" w:cs="Google Sans" w:eastAsia="Google Sans" w:hAnsi="Google Sans"/>
            <w:color w:val="0000ee"/>
            <w:sz w:val="24"/>
            <w:szCs w:val="24"/>
            <w:u w:val="single"/>
            <w:rtl w:val="0"/>
          </w:rPr>
          <w:t xml:space="preserve">https://arxiv.org/html/2502.14969v1</w:t>
        </w:r>
      </w:hyperlink>
      <w:r w:rsidDel="00000000" w:rsidR="00000000" w:rsidRPr="00000000">
        <w:rPr>
          <w:rtl w:val="0"/>
        </w:rPr>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DeepPlanning: Benchmarking Long-Horizon Agentic Planning with Verifiable Constraints, </w:t>
      </w:r>
      <w:hyperlink r:id="rId35">
        <w:r w:rsidDel="00000000" w:rsidR="00000000" w:rsidRPr="00000000">
          <w:rPr>
            <w:rFonts w:ascii="Google Sans" w:cs="Google Sans" w:eastAsia="Google Sans" w:hAnsi="Google Sans"/>
            <w:color w:val="0000ee"/>
            <w:sz w:val="24"/>
            <w:szCs w:val="24"/>
            <w:u w:val="single"/>
            <w:rtl w:val="0"/>
          </w:rPr>
          <w:t xml:space="preserve">https://arxiv.org/html/2601.18137v1</w:t>
        </w:r>
      </w:hyperlink>
      <w:r w:rsidDel="00000000" w:rsidR="00000000" w:rsidRPr="00000000">
        <w:rPr>
          <w:rtl w:val="0"/>
        </w:rPr>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Survey of the LLM-Based Agent: The Contextual Cognition Perspective, </w:t>
      </w:r>
      <w:hyperlink r:id="rId36">
        <w:r w:rsidDel="00000000" w:rsidR="00000000" w:rsidRPr="00000000">
          <w:rPr>
            <w:rFonts w:ascii="Google Sans" w:cs="Google Sans" w:eastAsia="Google Sans" w:hAnsi="Google Sans"/>
            <w:color w:val="0000ee"/>
            <w:sz w:val="24"/>
            <w:szCs w:val="24"/>
            <w:u w:val="single"/>
            <w:rtl w:val="0"/>
          </w:rPr>
          <w:t xml:space="preserve">https://www.preprints.org/manuscript/202604.0935</w:t>
        </w:r>
      </w:hyperlink>
      <w:r w:rsidDel="00000000" w:rsidR="00000000" w:rsidRPr="00000000">
        <w:rPr>
          <w:rtl w:val="0"/>
        </w:rPr>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DA-Code: Agent Data Science Code Generation Benchmark for Large Language Models - ACL Anthology, </w:t>
      </w:r>
      <w:hyperlink r:id="rId37">
        <w:r w:rsidDel="00000000" w:rsidR="00000000" w:rsidRPr="00000000">
          <w:rPr>
            <w:rFonts w:ascii="Google Sans" w:cs="Google Sans" w:eastAsia="Google Sans" w:hAnsi="Google Sans"/>
            <w:color w:val="0000ee"/>
            <w:sz w:val="24"/>
            <w:szCs w:val="24"/>
            <w:u w:val="single"/>
            <w:rtl w:val="0"/>
          </w:rPr>
          <w:t xml:space="preserve">https://aclanthology.org/2024.emnlp-main.748.pdf</w:t>
        </w:r>
      </w:hyperlink>
      <w:r w:rsidDel="00000000" w:rsidR="00000000" w:rsidRPr="00000000">
        <w:rPr>
          <w:rtl w:val="0"/>
        </w:rPr>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 Viewer: A Visual Analytics Tool for LLM Text-to-SQL Evaluation - Medium, </w:t>
      </w:r>
      <w:hyperlink r:id="rId38">
        <w:r w:rsidDel="00000000" w:rsidR="00000000" w:rsidRPr="00000000">
          <w:rPr>
            <w:rFonts w:ascii="Google Sans" w:cs="Google Sans" w:eastAsia="Google Sans" w:hAnsi="Google Sans"/>
            <w:color w:val="0000ee"/>
            <w:sz w:val="24"/>
            <w:szCs w:val="24"/>
            <w:u w:val="single"/>
            <w:rtl w:val="0"/>
          </w:rPr>
          <w:t xml:space="preserve">https://erincon01.medium.com/benchmark-viewer-a-visual-analytics-tool-for-llm-text-to-sql-evaluation-e82f858b8b48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enreview.net/pdf?id=iTddgL0lTQ" TargetMode="External"/><Relationship Id="rId22" Type="http://schemas.openxmlformats.org/officeDocument/2006/relationships/hyperlink" Target="https://openreview.net/pdf/c2ca9d768b16cf1fac6295f41752506947edbba5.pdf" TargetMode="External"/><Relationship Id="rId21" Type="http://schemas.openxmlformats.org/officeDocument/2006/relationships/hyperlink" Target="https://arxiv.org/html/2605.19723v1" TargetMode="External"/><Relationship Id="rId24" Type="http://schemas.openxmlformats.org/officeDocument/2006/relationships/hyperlink" Target="https://www.researchgate.net/publication/372928237_ConvFinQA_Exploring_the_Chain_of_Numerical_Reasoning_in_Conversational_Finance_Question_Answering" TargetMode="External"/><Relationship Id="rId23" Type="http://schemas.openxmlformats.org/officeDocument/2006/relationships/hyperlink" Target="https://www.researchgate.net/publication/351658915_TAT-QA_A_Question_Answering_Benchmark_on_a_Hybrid_of_Tabular_and_Textual_Content_in_Fin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arxiv.org/html/2412.02764v2" TargetMode="External"/><Relationship Id="rId25" Type="http://schemas.openxmlformats.org/officeDocument/2006/relationships/hyperlink" Target="https://arxiv.org/html/2601.15728v2" TargetMode="External"/><Relationship Id="rId28" Type="http://schemas.openxmlformats.org/officeDocument/2006/relationships/hyperlink" Target="https://ojs.aaai.org/index.php/AAAI/article/download/39785/43746" TargetMode="External"/><Relationship Id="rId27" Type="http://schemas.openxmlformats.org/officeDocument/2006/relationships/hyperlink" Target="https://repositum.tuwien.at/bitstream/20.500.12708/220446/1/Gugler%20Lucas%20-%202025%20-%20Multi-Agent%20Workflow%20for%20Generating%20High-Performance%20Data...pdf"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1050727345hu-web/Bird_python" TargetMode="External"/><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arxiv.org/html/2606.29887v1" TargetMode="External"/><Relationship Id="rId30" Type="http://schemas.openxmlformats.org/officeDocument/2006/relationships/hyperlink" Target="https://arxiv.org/html/2605.09252v1" TargetMode="External"/><Relationship Id="rId11" Type="http://schemas.openxmlformats.org/officeDocument/2006/relationships/hyperlink" Target="https://research-api.cbs.dk/ws/portalfiles/portal/98727211/1564909_Thesis_final_version_.pdf" TargetMode="External"/><Relationship Id="rId33" Type="http://schemas.openxmlformats.org/officeDocument/2006/relationships/hyperlink" Target="https://arxiv.org/html/2504.13111v3" TargetMode="External"/><Relationship Id="rId10" Type="http://schemas.openxmlformats.org/officeDocument/2006/relationships/hyperlink" Target="https://arxiv.org/html/2605.05409" TargetMode="External"/><Relationship Id="rId32" Type="http://schemas.openxmlformats.org/officeDocument/2006/relationships/hyperlink" Target="https://arxiv.org/html/2603.08938v1" TargetMode="External"/><Relationship Id="rId13" Type="http://schemas.openxmlformats.org/officeDocument/2006/relationships/hyperlink" Target="https://bird-bench.github.io/" TargetMode="External"/><Relationship Id="rId35" Type="http://schemas.openxmlformats.org/officeDocument/2006/relationships/hyperlink" Target="https://arxiv.org/html/2601.18137v1" TargetMode="External"/><Relationship Id="rId12" Type="http://schemas.openxmlformats.org/officeDocument/2006/relationships/hyperlink" Target="https://www.vldb.org/pvldb/vol17/p1132-gao.pdf?utm_source=chatgpt.com" TargetMode="External"/><Relationship Id="rId34" Type="http://schemas.openxmlformats.org/officeDocument/2006/relationships/hyperlink" Target="https://arxiv.org/html/2502.14969v1" TargetMode="External"/><Relationship Id="rId15" Type="http://schemas.openxmlformats.org/officeDocument/2006/relationships/hyperlink" Target="https://arxiv.org/html/2607.14709v1" TargetMode="External"/><Relationship Id="rId37" Type="http://schemas.openxmlformats.org/officeDocument/2006/relationships/hyperlink" Target="https://aclanthology.org/2024.emnlp-main.748.pdf" TargetMode="External"/><Relationship Id="rId14" Type="http://schemas.openxmlformats.org/officeDocument/2006/relationships/hyperlink" Target="https://colrows.com/blogs/text-to-sql-accuracy-cliff/" TargetMode="External"/><Relationship Id="rId36" Type="http://schemas.openxmlformats.org/officeDocument/2006/relationships/hyperlink" Target="https://www.preprints.org/manuscript/202604.0935" TargetMode="External"/><Relationship Id="rId17" Type="http://schemas.openxmlformats.org/officeDocument/2006/relationships/hyperlink" Target="https://www.researchgate.net/publication/401460730_ToolQA_A_Dataset_for_LLM_Question_Answering_with_External_Tools" TargetMode="External"/><Relationship Id="rId16" Type="http://schemas.openxmlformats.org/officeDocument/2006/relationships/hyperlink" Target="https://aclanthology.org/2025.acl-long.766.pdf" TargetMode="External"/><Relationship Id="rId38" Type="http://schemas.openxmlformats.org/officeDocument/2006/relationships/hyperlink" Target="https://erincon01.medium.com/benchmark-viewer-a-visual-analytics-tool-for-llm-text-to-sql-evaluation-e82f858b8b48" TargetMode="External"/><Relationship Id="rId19" Type="http://schemas.openxmlformats.org/officeDocument/2006/relationships/hyperlink" Target="https://aclanthology.org/2026.eacl-long.143.pdf" TargetMode="External"/><Relationship Id="rId18" Type="http://schemas.openxmlformats.org/officeDocument/2006/relationships/hyperlink" Target="https://arxiv.org/html/2505.08402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