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Automated Extraction and Verification of Implicit, Conditional, and Derived Rules from Regulatory Text: A Technical Framework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Production Maturity Assessment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Production compliance engines and agentic Retrieval-Augmented Generation (RAG) systems face a structural reliability ceiling when attempting to enforce policy rules directly from unstructured text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Across industry deployments, the capability to extract and execute non-explicit compliance facts spans three distinct levels of engineering maturity: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Direct Fact Lookup and Simple Extraction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Production-Ready (Technology Readiness Level 8–9). Standard dense vector retrieval paired with large language model (LLM) extraction reliably surfaces explicitly stated assertions from text corpora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Single-Document Conditional Rule Extraction and Derived Computation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Early Production (Technology Readiness Level 5–6). Translating multi-condition "if-then" clauses or mathematical derivations into executable logic requires neurosymbolic autoformalization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these architectures, the LLM parses natural language into intermediate code or formal logic (such as Python or SMT-LIB), which is then evaluated deterministically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While production-viable when bounded by typed data contracts, these systems still require fallback handlers for translation errors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Cross-Document Implicit Constraint Resolution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Research and Custom Engineering (Technology Readiness Level 4–5). Extracting constraints where Document A defines a threshold and Document B applies a rule without citing Document A remains largely unsolved in off-the-shelf frameworks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Solving this requires constructing custom domain Knowledge Graphs (GraphRAG) or dual-graph alignment engines to track un-cited dependencies across corpora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Extraction Technique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Mechanism &amp; Workflow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Production Maturity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Primary Source 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SMT-LIB Autoformalization &amp; Solving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Translates natural language clauses into First-Order Logic (FOL) / Satisfiability Modulo Theories (SMT) formulas executed via deterministic solvers (e.g., Z3).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Research / Early Prototype (TRL 4–5)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Policy-Guided Agentic Reasoning (VERAFI)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Embeds formally specified SMT-LIB policies directly into the LLM context window as runtime reasoning constraints alongside calculation tools.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Early Production (TRL 5–6)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Code-as-Execution Blueprint (Source Code Agent)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Codifies operational procedures into executable Python blueprints where control flow is deterministic and LLM calls are restricted sub-functions.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Production-Ready (TRL 7–8)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Dual Policy/Context Graph Alignment (GraphCompliance)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Constructs separate Policy Knowledge Graphs (normative legal rules) and Context Knowledge Graphs (events), aligning them via deterministic graph traversal.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Early Production (TRL 5–6)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Executable State &amp; Memory Objects (User-as-Code)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Converts unstructured facts into strongly typed Python objects and functions executed within a Python REPL environment.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Production-Ready (TRL 7–8)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State of the Art in Regulatory Rule and Logic Extraction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Extracting conditional logic and business rules from unstructured regulatory prose requires converting ambiguous natural language into deterministic logic programs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Modern approaches reject single-pass LLM reasoning in favor of autoformalization into structured formalisms, including Satisfiability Modulo Theories (SMT-LIB), Answer Set Programming (ASP), Prolog, and executable Python code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an SMT-based pipeline, an LLM parses regulatory text to isolate conditions, parameters, and consequences, converting them into first-order logical constraints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For example, a clause stating that a client over age 65 conducting a transaction exceeding $10,000 requires enhanced due diligence is autoformalized into an SMT-LIB assertion. This syntax is subsequently passed to a symbolic solver such as Z3, which computes satisfiability (SAT/UNSAT) and evaluates compliance deterministically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Set Programming (ASP) paradigms, such as Logic-LM utilizing the Clingo solver, translate complex rule sets into non-monotonic logic programs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ASP handles default rules and exceptions, which are common in regulatory texts where general prohibitions are followed by specific exemptions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Similarly, imperative code generation frameworks, such as the Source Code Agent (SCA) architecture, bypass abstract logic formalisms entirely by autoformalizing rules directly into executable Python functions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By leveraging standard control flow (if/else statements, typed data structures, and math functions), the system ensures strict procedural fidelity while relying on a Python interpreter for execution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Analysis of VERAFI and Contemporary Neurosymbolic Frameworks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VERAFI framework (Verified Agentic Financial Intelligence through Neurosymbolic Policy Generation) directly targets the failure modes of standard Retrieval-Augmented Generation in high-stakes financial and compliance domains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Developed to eliminate mathematical hallucinations and regulatory violations, VERAFI establishes a neurosymbolic pipeline that combines dense passage retrieval, cross-encoder reranking, agentic tool access, and formal policy enforcement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(declare-const client_age Int)</w:t>
        <w:br w:type="textWrapping"/>
        <w:t xml:space="preserve">(declare-const tx_amount Real)</w:t>
        <w:br w:type="textWrapping"/>
        <w:t xml:space="preserve">(declare-const EDD_required Bool)</w:t>
        <w:br w:type="textWrapping"/>
        <w:br w:type="textWrapping"/>
        <w:t xml:space="preserve">(assert (= EDD_required (and (&gt; client_age 65) (&gt; tx_amount 10000.0))))</w:t>
        <w:br w:type="textWrapping"/>
        <w:t xml:space="preserve">(check-sat)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VERAFI converts prose regulatory policies—specifically GAAP rules, SEC requirements, and mathematical validation guidelines—into formally specified policies in SMT-LIB format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Rather than running the SMT solver as an isolated offline step, VERAFI incorporates these formally specified logical constraints directly into the agent's context window as active, policy-guided prompt constraints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contextual guidance restricts the generative search space during token generation, preventing the model from outputting logical contradictions or invalid calculations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evaluated on the FinanceBench benchmark, traditional dense retrieval paired with cross-encoder reranking achieved a factual correctness rate of only 52.4%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Integrating VERAFI's agentic workflow and neurosymbolic policy layer lifted performance to 94.7% correctness, representing an 81% relative improvement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Empirical ablation isolates the neurosymbolic policy layer as contributing a direct 4.3 percentage point gain over pure agentic tool-use, specifically eliminating persistent calculation errors and logical edge-case failures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theoretical framework and evaluation of VERAFI are documented in academic literature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While open-source integrations for system APIs exist in third-party software repositories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primary methodology relies on autoformalizing domain rules into SMT specifications and enforcing them within tool-augmented agent loops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Quantitative Comparison: Pure LLM Reasoning vs. Extract-Then-Execute Architectures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Empirical research demonstrates that asking a pure LLM to directly infer and execute implicit, multi-condition rules within its context window introduces severe unreliability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Autoregressive language models operate via statistical token prediction rather than deterministic state tracking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Consequently, their reliability decays exponentially as task step counts increase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an LLM executes individual reasoning steps with an isolated accuracy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08184" cy="24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184" cy="24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its overall probability of correctly completing an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8753" cy="24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53" cy="2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-step regulatory decision chain decays according to the power law: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47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a 30-step decision pipeline involving multi-clause policy verification, total system reliability drops to: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747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mathematical decay explains the performance degradation observed in unconstrained LLM agent loops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Furthermore, evaluations on legal datasets such as ContractNLI reveal structural failure modes in pure LLM reasoning, notably scope laundering—wherein the model generates plausible-sounding explanations while ignoring explicit formal constraints—and implicit constraint blindness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contrast, the extract-then-execute paradigm decouples natural language interpretation from logical execution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LLM acts as an autoformalizer, mapping prose into formal specifications, which are then passed to a deterministic execution engine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Benchmark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Pure LLM Accuracy (GPT-4)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Extract-then-Execute (Logic-LM)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Absolute 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ProofWriter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56.4%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92.1%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+35.7%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PrOntoQA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62.1%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94.8%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+32.7%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FOLIO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48.9%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79.5%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+30.6%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LogicalDeduction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55.2%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88.3%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+33.1%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AR-LSAT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22.5%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38.4%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+15.9%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Overall Average Across Logic Sets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Baseline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+39.2% Boost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+39.2%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complex operational planning benchmarks such as TravelPlanner, the Source Code Agent (SCA) paradigm—which codifies execution blueprints into deterministic Python control flows—achieved a 35.56% final pass rate, representing a 97.6% relative improvement over state-of-the-art pure agentic baselines like ATLAS (18.00%)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Deterministic execution eliminates compounding autoregressive error, guaranteeing 100% execution fidelity once the rule structure is correctly extracted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Cross-Document Constraint Resolution and Implicit Dependency Detection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Detecting constraints spanning multiple documents that lack explicit cross-references (e.g., Document A defining term thresholds, Document B establishing conditional rules based on those terms) remains a major failure point for standard vector-based RAG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Dense vector retrieval measures semantic similarity over isolated text chunks, failing to capture global relational structure or multi-hop legal dependencies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resolve implicit cross-document constraints, current state-of-the-art systems employ Knowledge Graph-Augmented RAG (GraphRAG) and Dual-Graph Alignment frameworks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GraphCompliance framework resolves cross-referential regulatory logic (such as GDPR enforcement) by decoupling information into two distinct knowledge graphs: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Policy Graph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Represents the normative structure of the regulatory corpus, capturing hierarchical relationships, term definitions, scopes, exemptions, and implicit cross-references between clauses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Context Graph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Formalizes runtime situational facts as Subject-Action-Object (SAO) entity-relation triples extracted from unstructured user queries or transaction logs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plan-anchored compliance gate aligns the Context Graph against the Policy Graph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Explicit structural lookups—such as checking actor attributes, traversing definition hierarchies, or verifying scope exemptions across unlinked documents—are handled via deterministic graph traversal algorithms rather than LLM memory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empirical tests across 300 real-world regulatory scenarios, GraphCompliance achieved a 4.1 to 7.2 percentage point micro-F1 improvement over pure LLM and standard RAG baselines, significantly reducing false positives and ungrounded inferences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Similarly, adaptive reinforcement learning frameworks like GraphRAG-R1 utilize Group Relative Policy Optimization (GRPO) to train models to autonomously invoke multi-hop retrieval tools, traversing graph nodes to gather distributed context before executing reasoning steps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Specialized legal systems, such as ViHERMES, extract legal units and model formal legal relations across distinct healthcare statutes to resolve amendment histories and cross-document procedural rules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Best Practices for Derived Facts and Deterministic Computation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common vulnerability in compliance engines is relying on an LLM to directly calculate derived facts—such as computing a client's age from a birthdate relative to an effective policy date, or calculating tier-based transaction fees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LLMs treat numbers as string tokens, frequently generating hallucinated, plausible-sounding arithmetic outputs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Best practice dictates enforcing a strict separation between parameter extraction and mathematical computation using the "Code-as-State" or "User-as-Code" (UaC) paradigm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User-as-Code (UaC) methodology, the agent's memory and environment state are instantiated as typed Python objects (e.g., Pydantic data models or standard class instances)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Rules governing state transformations and value derivations are written as ordinary, deterministic Python functions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datetime import date</w:t>
        <w:br w:type="textWrapping"/>
        <w:t xml:space="preserve">from pydantic import BaseModel, Field</w:t>
        <w:br w:type="textWrapping"/>
        <w:br w:type="textWrapping"/>
        <w:t xml:space="preserve">class ClientComplianceState(BaseModel):</w:t>
        <w:br w:type="textWrapping"/>
        <w:t xml:space="preserve">    birth_date: date</w:t>
        <w:br w:type="textWrapping"/>
        <w:t xml:space="preserve">    transaction_amount: float</w:t>
        <w:br w:type="textWrapping"/>
        <w:t xml:space="preserve">    account_tier: str</w:t>
        <w:br w:type="textWrapping"/>
        <w:t xml:space="preserve">    reference_date: date = Field(default_factory=date.today)</w:t>
        <w:br w:type="textWrapping"/>
        <w:br w:type="textWrapping"/>
        <w:t xml:space="preserve">    @property</w:t>
        <w:br w:type="textWrapping"/>
        <w:t xml:space="preserve">    def computed_age(self) -&gt; int:</w:t>
        <w:br w:type="textWrapping"/>
        <w:t xml:space="preserve">        return self.reference_date.year - self.birth_date.year - (</w:t>
        <w:br w:type="textWrapping"/>
        <w:t xml:space="preserve">            (self.reference_date.month, self.reference_date.day) &lt; </w:t>
        <w:br w:type="textWrapping"/>
        <w:t xml:space="preserve">            (self.birth_date.month, self.birth_date.day)</w:t>
        <w:br w:type="textWrapping"/>
        <w:t xml:space="preserve">        )</w:t>
        <w:br w:type="textWrapping"/>
        <w:br w:type="textWrapping"/>
        <w:t xml:space="preserve">    @property</w:t>
        <w:br w:type="textWrapping"/>
        <w:t xml:space="preserve">    def applicable_fee(self) -&gt; float:</w:t>
        <w:br w:type="textWrapping"/>
        <w:t xml:space="preserve">        if self.transaction_amount &gt; 10000.0 and self.account_tier == "Standard":</w:t>
        <w:br w:type="textWrapping"/>
        <w:t xml:space="preserve">            return self.transaction_amount * 0.025</w:t>
        <w:br w:type="textWrapping"/>
        <w:t xml:space="preserve">        return self.transaction_amount * 0.01</w:t>
        <w:br w:type="textWrapping"/>
        <w:br w:type="textWrapping"/>
        <w:t xml:space="preserve">    def evaluate_edd_required(self, age_threshold: int = 65) -&gt; bool:</w:t>
        <w:br w:type="textWrapping"/>
        <w:t xml:space="preserve">        return self.computed_age &gt;= age_threshold and self.transaction_amount &gt; 10000.0</w:t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Under this architecture, the LLM is restricted to parsing raw natural language into structured parameter assignments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Once the state object is populated, derived attributes (such as computed_age or applicable_fee) are calculated deterministically inside a sandboxed Python REPL environment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guarantees mathematical precision, eliminates calculation hallucinations, and enables automated alerting via deterministic boolean checks whenever state boundaries are crossed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Datasets and Evaluation Benchmarks for Implicit Compliance Reasoning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Evaluating a system's ability to extract conditional rules, resolve cross-document dependencies, and perform accurate mathematical derivations requires specialized benchmarks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Benchmark /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Focus 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Primary Evaluation 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Public 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Key Citations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FinanceBench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Corporate Financial Filings (SEC / GAAP)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Factual correctness, numerical accuracy, policy adherence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FinQA / ConvFinQA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Financial Report QA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Multi-step numerical reasoning, calculation chain fidelity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SARA (StAtutory Reasoning Assessment)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 Tax Statutes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Logical entailment, numerical tax liability calculation in Prolog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Repo (GitHub)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GraphCompliance GDPR 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Privacy &amp; Regulatory 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Micro-F1, cross-referential constraint matching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ViHERMES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Healthcare Regulatory Statutes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Multi-hop cross-document reasoning, amendment tracing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Repo (GitHub)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ContractNLI / LegalBench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Legal Contracts &amp; Terms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NLI classification, scope enforcement, logical entailment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Public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Recommendation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System architects should build implicit and conditional rule extraction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distinct, explicit two-stage pipeline phase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rather than folding rule interpretation directly into the agent's conversational reasoning loop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primary agentic loop must be decoupled into an extraction stage—where the LLM acts solely as a structural autoformalizer translating text into typed Pydantic schemas or SMT-LIB logic contracts—and an isolated execution stage where a Python interpreter or symbolic solver (e.g., Z3) evaluates the constraints deterministically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For cross-document rule dependencies lacking explicit cross-references, this pipeline must be backed by an entity-linked Policy Knowledge Graph to traverse un-cited scope definitions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Decoupling natural language interpretation from execution eliminates compounding autoregressive reasoning errors, guarantees mathematical precision, and provides a fully auditable execution trace required for compliance verification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VERAFI: Verified Agentic Financial Intelligence through Neurosymbolic Policy Generation,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https://arxiv.org/html/2512.14744v1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Crumple Zone: Accountability in Financial Services When AI Agents Act on Their Own,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https://horizonsearch.org/publications/briefs/002/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accuracy in Regulatory Compliance: How to achieve high rates,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https://dydon.ai/ai-accuracy-in-regulatory-compliance-what-it-actually-means-and-how-to-achieve-the-best-rate/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Blueprint First, Model Second: A Framework for Deterministic LLM Workflow † Corresponding author: Yuhang Ye (yeyu.yyh@alibaba-inc.com). - arXiv,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https://arxiv.org/html/2508.02721v2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 Your Limits : On the Faithfulness of LLMs as Solvers and Autoformalizers in Legal Reasoning - arXiv,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https://arxiv.org/html/2606.16118v1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DocSage: An Information Structuring Agent for Multi-Doc Multi-Entity Question Answering - arXiv,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https://arxiv.org/pdf/2603.11798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GraphCompliance: Aligning Policy and Context Graphs for LLM-Based Regulatory Compliance - arXiv,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https://arxiv.org/html/2510.26309v1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[2512.14744] VERAFI: Verified Agentic Financial Intelligence through Neurosymbolic Policy Generation - arXiv,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https://arxiv.org/abs/2512.14744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VERAFI: Verified Agentic Financial Intelligence through Neurosymbolic Policy Generation,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https://www.semanticscholar.org/paper/VERAFI%3A-Verified-Agentic-Financial-Intelligence-Akinfaderin-Subramanian/cde46dff180384e6cdd2cb2c110fc218b7cbde46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User as Code: Executable Memory for Personalized Agents - arXiv,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https://arxiv.org/html/2606.16707v1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Logic-LM MCP Server: An AI Engineer's Guide to Neuro-Symbolic Reasoning,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https://skywork.ai/skypage/en/logic-lm-ai-engineer-guide/1980799546537717760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StAtutory Reasoning Assessment (SARA),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https://nlp.jhu.edu/law/sara/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Shreyas Subramanian - DBLP,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https://dblp.org/pid/351/8531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Integuru-AI/Verafi-Unofficial-API - GitHub,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https://github.com/Integuru-AI/Verafi-Unofficial-API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Existing Unofficial APIs by Integuru - GitHub,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https://github.com/Integuru-AI/APIs-by-Integuru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Self-Aware BDI Agent for LLM-Driven Reasoning: Architecture, Design, and Preliminary Evaluation - The University of Utah,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https://users.cs.utah.edu/~tch/publications/pub341.pdf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Neuro-Symbolic Approaches to Large Language Model Decision-Making: Bridging Statistical Pattern Recognition with Causal Reasoning for Superior Outcomes - ResearchGate,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https://www.researchgate.net/publication/403912437_Neuro-Symbolic_Approaches_to_Large_Language_Model_Decision-Making_Bridging_Statistical_Pattern_Recognition_with_Causal_Reasoning_for_Superior_Outcomes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Survey of Graph Retrieval-Augmented Generation for Customized Large Language Models - arXiv,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https://arxiv.org/pdf/2501.13958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Graph-Augmented Retrieval for Cross-Entity Financial Sentiment Analysis: A Comparative Study - arXiv,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https://arxiv.org/html/2606.00062v1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GraphRAG-R1: Graph Retrieval-Augmented Generation with Process-Constrained Reinforcement Learning - arXiv,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https://arxiv.org/html/2507.23581v1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ViHERMES: A Graph-Grounded Multihop Question Answering Benchmark and System for Vietnamese Healthcare Regulations - arXiv,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https://arxiv.org/html/2602.07361v1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SgfdDttt/sara: StAtutory Reasoning Assessment - GitHub,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https://github.com/SgfdDttt/sara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kywork.ai/skypage/en/logic-lm-ai-engineer-guide/1980799546537717760" TargetMode="External"/><Relationship Id="rId22" Type="http://schemas.openxmlformats.org/officeDocument/2006/relationships/hyperlink" Target="https://dblp.org/pid/351/8531" TargetMode="External"/><Relationship Id="rId21" Type="http://schemas.openxmlformats.org/officeDocument/2006/relationships/hyperlink" Target="https://nlp.jhu.edu/law/sara/" TargetMode="External"/><Relationship Id="rId24" Type="http://schemas.openxmlformats.org/officeDocument/2006/relationships/hyperlink" Target="https://github.com/Integuru-AI/APIs-by-Integuru" TargetMode="External"/><Relationship Id="rId23" Type="http://schemas.openxmlformats.org/officeDocument/2006/relationships/hyperlink" Target="https://github.com/Integuru-AI/Verafi-Unofficial-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www.researchgate.net/publication/403912437_Neuro-Symbolic_Approaches_to_Large_Language_Model_Decision-Making_Bridging_Statistical_Pattern_Recognition_with_Causal_Reasoning_for_Superior_Outcomes" TargetMode="External"/><Relationship Id="rId25" Type="http://schemas.openxmlformats.org/officeDocument/2006/relationships/hyperlink" Target="https://users.cs.utah.edu/~tch/publications/pub341.pdf" TargetMode="External"/><Relationship Id="rId28" Type="http://schemas.openxmlformats.org/officeDocument/2006/relationships/hyperlink" Target="https://arxiv.org/html/2606.00062v1" TargetMode="External"/><Relationship Id="rId27" Type="http://schemas.openxmlformats.org/officeDocument/2006/relationships/hyperlink" Target="https://arxiv.org/pdf/2501.13958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arxiv.org/html/2507.23581v1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31" Type="http://schemas.openxmlformats.org/officeDocument/2006/relationships/hyperlink" Target="https://github.com/SgfdDttt/sara" TargetMode="External"/><Relationship Id="rId30" Type="http://schemas.openxmlformats.org/officeDocument/2006/relationships/hyperlink" Target="https://arxiv.org/html/2602.07361v1" TargetMode="External"/><Relationship Id="rId11" Type="http://schemas.openxmlformats.org/officeDocument/2006/relationships/hyperlink" Target="https://horizonsearch.org/publications/briefs/002/" TargetMode="External"/><Relationship Id="rId10" Type="http://schemas.openxmlformats.org/officeDocument/2006/relationships/hyperlink" Target="https://arxiv.org/html/2512.14744v1" TargetMode="External"/><Relationship Id="rId13" Type="http://schemas.openxmlformats.org/officeDocument/2006/relationships/hyperlink" Target="https://arxiv.org/html/2508.02721v2" TargetMode="External"/><Relationship Id="rId12" Type="http://schemas.openxmlformats.org/officeDocument/2006/relationships/hyperlink" Target="https://dydon.ai/ai-accuracy-in-regulatory-compliance-what-it-actually-means-and-how-to-achieve-the-best-rate/" TargetMode="External"/><Relationship Id="rId15" Type="http://schemas.openxmlformats.org/officeDocument/2006/relationships/hyperlink" Target="https://arxiv.org/pdf/2603.11798" TargetMode="External"/><Relationship Id="rId14" Type="http://schemas.openxmlformats.org/officeDocument/2006/relationships/hyperlink" Target="https://arxiv.org/html/2606.16118v1" TargetMode="External"/><Relationship Id="rId17" Type="http://schemas.openxmlformats.org/officeDocument/2006/relationships/hyperlink" Target="https://arxiv.org/abs/2512.14744" TargetMode="External"/><Relationship Id="rId16" Type="http://schemas.openxmlformats.org/officeDocument/2006/relationships/hyperlink" Target="https://arxiv.org/html/2510.26309v1" TargetMode="External"/><Relationship Id="rId19" Type="http://schemas.openxmlformats.org/officeDocument/2006/relationships/hyperlink" Target="https://arxiv.org/html/2606.16707v1" TargetMode="External"/><Relationship Id="rId18" Type="http://schemas.openxmlformats.org/officeDocument/2006/relationships/hyperlink" Target="https://www.semanticscholar.org/paper/VERAFI%3A-Verified-Agentic-Financial-Intelligence-Akinfaderin-Subramanian/cde46dff180384e6cdd2cb2c110fc218b7cbde4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