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Automated Evaluation Harness Architecture for Agentic Financial RAG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agentic Retrieval-Augmented Generation (RAG) pipelines in high-stakes financial domain contexts requires precise verification across decision correctness, computational accuracy, and evidence grounding. When operating under strict time constraints without real-time judge feedback during submission, an automated evaluation harness serves as the primary safeguard against performance regressions. This report details the framework comparisons, statistical validation methodologies, metric formalisms, and test suite design principles required to construct a production-grade local evaluation harness.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Evaluation Framework Comparison Matrix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Selecting an automated evaluation framework requires assessing native support for grounded claim verification, extensibility for custom programmatic assertions, setup velocity, and suitability for local CI/CD execution.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Covers Answer Correctness?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Covers Numeric Accuracy?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Covers Citation/Evidence Faithfulness?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for Hackathon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RAGAS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(Reference-based semantic and factual similarity metrics)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(Treats numbers as plain text tokens without mathematical tolerance)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(Native atomic claim decomposition and context alignment)</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(Lightweight Python library integration)</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Strong Grounding Base</w:t>
            </w:r>
            <w:r w:rsidDel="00000000" w:rsidR="00000000" w:rsidRPr="00000000">
              <w:rPr>
                <w:rFonts w:ascii="Arial" w:cs="Arial" w:eastAsia="Arial" w:hAnsi="Arial"/>
                <w:color w:val="1f1f1f"/>
                <w:rtl w:val="0"/>
              </w:rPr>
              <w:t xml:space="preserve">: Excellent native RAG metrics, but lacks deterministic numeric evaluation out of the box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TruLens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(Via custom feedback functions and LLM judges)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(Requires authoring explicit programmatic wrappers)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(Groundedness feedback functions with high negative discrimination)</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Medium (Instrumentation and trace database setup required)</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High Overhead</w:t>
            </w:r>
            <w:r w:rsidDel="00000000" w:rsidR="00000000" w:rsidRPr="00000000">
              <w:rPr>
                <w:rFonts w:ascii="Arial" w:cs="Arial" w:eastAsia="Arial" w:hAnsi="Arial"/>
                <w:color w:val="1f1f1f"/>
                <w:rtl w:val="0"/>
              </w:rPr>
              <w:t xml:space="preserve">: Strong runtime tracing, but adds unnecessary database and UI complexity for rapid offline testing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DeepEval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(G-Eval framework and expected output comparison)</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Partial (Supports custom DAGs and Python unit assertions)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(Native Faithfulness and Hallucination unit-test metrics)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Low-Medium (Native pytest test-runner integration)</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Best Standard Framework</w:t>
            </w:r>
            <w:r w:rsidDel="00000000" w:rsidR="00000000" w:rsidRPr="00000000">
              <w:rPr>
                <w:rFonts w:ascii="Arial" w:cs="Arial" w:eastAsia="Arial" w:hAnsi="Arial"/>
                <w:color w:val="1f1f1f"/>
                <w:rtl w:val="0"/>
              </w:rPr>
              <w:t xml:space="preserve">: Native pytest architecture, verbose debugging, and metric modularity suit CI pipelines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Hybrid Harness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(Via tailored LLM-as-judge prompt rubrics)</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(Programmatic regular expression parsing and float tolerance matching)</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Yes (Regex citation extraction and atomic context verification)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Medium (2–3 engineering days)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Essential Architecture</w:t>
            </w:r>
            <w:r w:rsidDel="00000000" w:rsidR="00000000" w:rsidRPr="00000000">
              <w:rPr>
                <w:rFonts w:ascii="Arial" w:cs="Arial" w:eastAsia="Arial" w:hAnsi="Arial"/>
                <w:color w:val="1f1f1f"/>
                <w:rtl w:val="0"/>
              </w:rPr>
              <w:t xml:space="preserve">: A custom wrapper wrapping DeepEval or RAGAS alongside deterministic Python math logic is required.</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Framework Selection and Native Citation Support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Off-the-shelf evaluation frameworks evaluate quality through distinct architectural paradigms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RAGAS isolates RAG pipeline failures by decoupling retrieval metrics (context precision and context recall) from generation metrics (faithfulness and answer relevance)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evaluate evidence faithfulness, RAGAS extracts atomic statements from the generated response and checks whether each claim is logically entailed by the retrieved context chunks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faithfulness score represents the ratio of supported claims to total claims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92107"/>
            <wp:effectExtent b="0" l="0" r="0" t="0"/>
            <wp:docPr id="3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05500" cy="89210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DeepEval mirrors this claim-decomposition mechanism but structures execution directly within standard pytest workflows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DeepEval returns typed metric objects containing continuous scores between </w:t>
      </w:r>
      <w:r w:rsidDel="00000000" w:rsidR="00000000" w:rsidRPr="00000000">
        <w:rPr>
          <w:rFonts w:ascii="Arial" w:cs="Arial" w:eastAsia="Arial" w:hAnsi="Arial"/>
          <w:color w:val="1f1f1f"/>
        </w:rPr>
        <w:drawing>
          <wp:inline distB="19050" distT="19050" distL="19050" distR="19050">
            <wp:extent cx="250388" cy="242564"/>
            <wp:effectExtent b="0" l="0" r="0" t="0"/>
            <wp:docPr id="3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50388" cy="242564"/>
            <wp:effectExtent b="0" l="0" r="0" t="0"/>
            <wp:docPr id="32"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pass/fail booleans, and detailed explanations indicating exactly which generated statements lacked supporting context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TruLens frames evaluation around continuous feedback functions logged to an evaluation store, utilizing a normalized 4-point relevance scale (</w:t>
      </w:r>
      <w:r w:rsidDel="00000000" w:rsidR="00000000" w:rsidRPr="00000000">
        <w:rPr>
          <w:rFonts w:ascii="Arial" w:cs="Arial" w:eastAsia="Arial" w:hAnsi="Arial"/>
          <w:color w:val="1f1f1f"/>
        </w:rPr>
        <w:drawing>
          <wp:inline distB="19050" distT="19050" distL="19050" distR="19050">
            <wp:extent cx="97988" cy="253137"/>
            <wp:effectExtent b="0" l="0" r="0" t="0"/>
            <wp:docPr id="35"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97988" cy="253137"/>
            <wp:effectExtent b="0" l="0" r="0" t="0"/>
            <wp:docPr id="3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Benchmark evaluations demonstrate that TruLens achieves high discrimination ratios when identifying subtle context perturbations, such as entity swaps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standard frameworks treat numerical tokens as arbitrary string sequences rather than mathematical values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financial calculation returning $10,500,000 instead of $10,000,000 receives a high semantic similarity score from standard LLM judges despite representing a major calculation failure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Consequently, native citation and evidence verification is best handled using DeepEval or RAGAS claim-decomposition metrics, while numeric precision must be enforced using custom deterministic code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Methodology for LLM-as-a-Judge Validation and Bias Mitigation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Relying on an LLM as an automated judge introduces systematic biases, including position bias (preferring the first presented option), verbosity bias (favoring longer, redundant responses), self-affinity bias (scoring outputs from its own model family higher), and arbitrary numerical score clustering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To establish judge reliability prior to deployment, automated judge scores must be validated against a human-annotated baseline dataset (</w:t>
      </w:r>
      <w:r w:rsidDel="00000000" w:rsidR="00000000" w:rsidRPr="00000000">
        <w:rPr>
          <w:rFonts w:ascii="Arial" w:cs="Arial" w:eastAsia="Arial" w:hAnsi="Arial"/>
          <w:color w:val="1f1f1f"/>
        </w:rPr>
        <w:drawing>
          <wp:inline distB="19050" distT="19050" distL="19050" distR="19050">
            <wp:extent cx="574953" cy="245313"/>
            <wp:effectExtent b="0" l="0" r="0" t="0"/>
            <wp:docPr id="3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4953" cy="245313"/>
                    </a:xfrm>
                    <a:prstGeom prst="rect"/>
                    <a:ln/>
                  </pic:spPr>
                </pic:pic>
              </a:graphicData>
            </a:graphic>
          </wp:inline>
        </w:drawing>
      </w:r>
      <w:r w:rsidDel="00000000" w:rsidR="00000000" w:rsidRPr="00000000">
        <w:rPr>
          <w:rFonts w:ascii="Arial" w:cs="Arial" w:eastAsia="Arial" w:hAnsi="Arial"/>
          <w:color w:val="1f1f1f"/>
          <w:rtl w:val="0"/>
        </w:rPr>
        <w:t xml:space="preserve">) using statistical inter-rater agreement metrics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Categorical pass/fail decisions between the judge and human raters are evaluated using Cohen’s Kappa (</w:t>
      </w:r>
      <w:r w:rsidDel="00000000" w:rsidR="00000000" w:rsidRPr="00000000">
        <w:rPr>
          <w:rFonts w:ascii="Arial" w:cs="Arial" w:eastAsia="Arial" w:hAnsi="Arial"/>
          <w:color w:val="1f1f1f"/>
        </w:rPr>
        <w:drawing>
          <wp:inline distB="19050" distT="19050" distL="19050" distR="19050">
            <wp:extent cx="112871" cy="240792"/>
            <wp:effectExtent b="0" l="0" r="0" t="0"/>
            <wp:docPr id="3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12871" cy="240792"/>
                    </a:xfrm>
                    <a:prstGeom prst="rect"/>
                    <a:ln/>
                  </pic:spPr>
                </pic:pic>
              </a:graphicData>
            </a:graphic>
          </wp:inline>
        </w:drawing>
      </w:r>
      <w:r w:rsidDel="00000000" w:rsidR="00000000" w:rsidRPr="00000000">
        <w:rPr>
          <w:rFonts w:ascii="Arial" w:cs="Arial" w:eastAsia="Arial" w:hAnsi="Arial"/>
          <w:color w:val="1f1f1f"/>
          <w:rtl w:val="0"/>
        </w:rPr>
        <w:t xml:space="preserve">), which measures agreement adjusted for chance occurrence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Ordinal or continuous quality scores are validated using Spearman’s Rank Correlation Coefficient (</w:t>
      </w:r>
      <w:r w:rsidDel="00000000" w:rsidR="00000000" w:rsidRPr="00000000">
        <w:rPr>
          <w:rFonts w:ascii="Arial" w:cs="Arial" w:eastAsia="Arial" w:hAnsi="Arial"/>
          <w:color w:val="1f1f1f"/>
        </w:rPr>
        <w:drawing>
          <wp:inline distB="19050" distT="19050" distL="19050" distR="19050">
            <wp:extent cx="101322" cy="249408"/>
            <wp:effectExtent b="0" l="0" r="0" t="0"/>
            <wp:docPr id="43"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01322" cy="249408"/>
                    </a:xfrm>
                    <a:prstGeom prst="rect"/>
                    <a:ln/>
                  </pic:spPr>
                </pic:pic>
              </a:graphicData>
            </a:graphic>
          </wp:inline>
        </w:drawing>
      </w:r>
      <w:r w:rsidDel="00000000" w:rsidR="00000000" w:rsidRPr="00000000">
        <w:rPr>
          <w:rFonts w:ascii="Arial" w:cs="Arial" w:eastAsia="Arial" w:hAnsi="Arial"/>
          <w:color w:val="1f1f1f"/>
          <w:rtl w:val="0"/>
        </w:rPr>
        <w:t xml:space="preserve">) or Krippendorff’s Alpha (</w:t>
      </w:r>
      <w:r w:rsidDel="00000000" w:rsidR="00000000" w:rsidRPr="00000000">
        <w:rPr>
          <w:rFonts w:ascii="Arial" w:cs="Arial" w:eastAsia="Arial" w:hAnsi="Arial"/>
          <w:color w:val="1f1f1f"/>
        </w:rPr>
        <w:drawing>
          <wp:inline distB="19050" distT="19050" distL="19050" distR="19050">
            <wp:extent cx="126206" cy="252413"/>
            <wp:effectExtent b="0" l="0" r="0" t="0"/>
            <wp:docPr id="41"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126206" cy="252413"/>
                    </a:xfrm>
                    <a:prstGeom prst="rect"/>
                    <a:ln/>
                  </pic:spPr>
                </pic:pic>
              </a:graphicData>
            </a:graphic>
          </wp:inline>
        </w:drawing>
      </w:r>
      <w:r w:rsidDel="00000000" w:rsidR="00000000" w:rsidRPr="00000000">
        <w:rPr>
          <w:rFonts w:ascii="Arial" w:cs="Arial" w:eastAsia="Arial" w:hAnsi="Arial"/>
          <w:color w:val="1f1f1f"/>
          <w:rtl w:val="0"/>
        </w:rPr>
        <w:t xml:space="preserve">) to measure monotonic alignment across rating distributions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Achieving target reliability thresholds (</w:t>
      </w:r>
      <w:r w:rsidDel="00000000" w:rsidR="00000000" w:rsidRPr="00000000">
        <w:rPr>
          <w:rFonts w:ascii="Arial" w:cs="Arial" w:eastAsia="Arial" w:hAnsi="Arial"/>
          <w:color w:val="1f1f1f"/>
        </w:rPr>
        <w:drawing>
          <wp:inline distB="19050" distT="19050" distL="19050" distR="19050">
            <wp:extent cx="722590" cy="243399"/>
            <wp:effectExtent b="0" l="0" r="0" t="0"/>
            <wp:docPr id="4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722590" cy="24339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11041" cy="244659"/>
            <wp:effectExtent b="0" l="0" r="0" t="0"/>
            <wp:docPr id="4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711041" cy="244659"/>
                    </a:xfrm>
                    <a:prstGeom prst="rect"/>
                    <a:ln/>
                  </pic:spPr>
                </pic:pic>
              </a:graphicData>
            </a:graphic>
          </wp:inline>
        </w:drawing>
      </w:r>
      <w:r w:rsidDel="00000000" w:rsidR="00000000" w:rsidRPr="00000000">
        <w:rPr>
          <w:rFonts w:ascii="Arial" w:cs="Arial" w:eastAsia="Arial" w:hAnsi="Arial"/>
          <w:color w:val="1f1f1f"/>
          <w:rtl w:val="0"/>
        </w:rPr>
        <w:t xml:space="preserve">) requires implementing three structured judge design patterns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G-Eval (Chain-of-Thought Rubrics)</w:t>
      </w:r>
      <w:r w:rsidDel="00000000" w:rsidR="00000000" w:rsidRPr="00000000">
        <w:rPr>
          <w:rFonts w:ascii="Arial" w:cs="Arial" w:eastAsia="Arial" w:hAnsi="Arial"/>
          <w:color w:val="1f1f1f"/>
          <w:rtl w:val="0"/>
        </w:rPr>
        <w:t xml:space="preserve">: Prompts force the judge to generate explicit evaluation steps based on a specific criteria rubric before outputting a final numeric score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Directed Acyclic Graphs (DAG)</w:t>
      </w:r>
      <w:r w:rsidDel="00000000" w:rsidR="00000000" w:rsidRPr="00000000">
        <w:rPr>
          <w:rFonts w:ascii="Arial" w:cs="Arial" w:eastAsia="Arial" w:hAnsi="Arial"/>
          <w:color w:val="1f1f1f"/>
          <w:rtl w:val="0"/>
        </w:rPr>
        <w:t xml:space="preserve">: Complex quality decisions are broken down into a sequence of binary sub-checks, where the LLM evaluates individual boolean conditions while the overall score is computed deterministically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Question-Answering Generation (QAG)</w:t>
      </w:r>
      <w:r w:rsidDel="00000000" w:rsidR="00000000" w:rsidRPr="00000000">
        <w:rPr>
          <w:rFonts w:ascii="Arial" w:cs="Arial" w:eastAsia="Arial" w:hAnsi="Arial"/>
          <w:color w:val="1f1f1f"/>
          <w:rtl w:val="0"/>
        </w:rPr>
        <w:t xml:space="preserve">: The judge generates closed-ended verification questions based solely on the retrieved context, then checks whether the generated answer answers those questions without introducing unverified facts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Numerical Accuracy Test Construction and Partial Correctness Scoring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decision engines require rigorous computational evaluation where minor rounding variations are distinguished from fundamental calculation errors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Public financial benchmarks—such as FinQA, TAT-QA, ConvFinQA, and FinanceBench—provide structured question-answer pairs over financial statements, balance sheets, and earnings reports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However, direct string matching against benchmark targets causes false negatives due to formatting variations, such as $1.5\text{B} versus 1,500,000,000 or 1500 million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robust numerical evaluation pipeline implements a multi-stage scoring workflow:</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Regular Expression Canonicalization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generated output text is parsed using regular expressions to extract candidate numerical values, converting financial notation, currency symbols, percentages, and word multipliers into standard floating-point numbers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Dual-Tolerance Threshold Evaluation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canonicalized candidate float (</w:t>
      </w:r>
      <w:r w:rsidDel="00000000" w:rsidR="00000000" w:rsidRPr="00000000">
        <w:rPr>
          <w:rFonts w:ascii="Arial" w:cs="Arial" w:eastAsia="Arial" w:hAnsi="Arial"/>
          <w:color w:val="1f1f1f"/>
        </w:rPr>
        <w:drawing>
          <wp:inline distB="19050" distT="19050" distL="19050" distR="19050">
            <wp:extent cx="372904" cy="248603"/>
            <wp:effectExtent b="0" l="0" r="0" t="0"/>
            <wp:docPr id="45"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372904" cy="248603"/>
                    </a:xfrm>
                    <a:prstGeom prst="rect"/>
                    <a:ln/>
                  </pic:spPr>
                </pic:pic>
              </a:graphicData>
            </a:graphic>
          </wp:inline>
        </w:drawing>
      </w:r>
      <w:r w:rsidDel="00000000" w:rsidR="00000000" w:rsidRPr="00000000">
        <w:rPr>
          <w:rFonts w:ascii="Arial" w:cs="Arial" w:eastAsia="Arial" w:hAnsi="Arial"/>
          <w:color w:val="1f1f1f"/>
          <w:rtl w:val="0"/>
        </w:rPr>
        <w:t xml:space="preserve">) is evaluated against the ground-truth value (</w:t>
      </w:r>
      <w:r w:rsidDel="00000000" w:rsidR="00000000" w:rsidRPr="00000000">
        <w:rPr>
          <w:rFonts w:ascii="Arial" w:cs="Arial" w:eastAsia="Arial" w:hAnsi="Arial"/>
          <w:color w:val="1f1f1f"/>
        </w:rPr>
        <w:drawing>
          <wp:inline distB="19050" distT="19050" distL="19050" distR="19050">
            <wp:extent cx="350044" cy="243509"/>
            <wp:effectExtent b="0" l="0" r="0" t="0"/>
            <wp:docPr id="47"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350044" cy="243509"/>
                    </a:xfrm>
                    <a:prstGeom prst="rect"/>
                    <a:ln/>
                  </pic:spPr>
                </pic:pic>
              </a:graphicData>
            </a:graphic>
          </wp:inline>
        </w:drawing>
      </w:r>
      <w:r w:rsidDel="00000000" w:rsidR="00000000" w:rsidRPr="00000000">
        <w:rPr>
          <w:rFonts w:ascii="Arial" w:cs="Arial" w:eastAsia="Arial" w:hAnsi="Arial"/>
          <w:color w:val="1f1f1f"/>
          <w:rtl w:val="0"/>
        </w:rPr>
        <w:t xml:space="preserve">) using joint absolute and relative error bounds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48"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9283"/>
            <wp:effectExtent b="0" l="0" r="0" t="0"/>
            <wp:docPr id="4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Setting </w:t>
      </w:r>
      <w:r w:rsidDel="00000000" w:rsidR="00000000" w:rsidRPr="00000000">
        <w:rPr>
          <w:rFonts w:ascii="Arial" w:cs="Arial" w:eastAsia="Arial" w:hAnsi="Arial"/>
          <w:color w:val="1f1f1f"/>
        </w:rPr>
        <w:drawing>
          <wp:inline distB="19050" distT="19050" distL="19050" distR="19050">
            <wp:extent cx="897969" cy="245598"/>
            <wp:effectExtent b="0" l="0" r="0" t="0"/>
            <wp:docPr id="5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897969" cy="245598"/>
                    </a:xfrm>
                    <a:prstGeom prst="rect"/>
                    <a:ln/>
                  </pic:spPr>
                </pic:pic>
              </a:graphicData>
            </a:graphic>
          </wp:inline>
        </w:drawing>
      </w:r>
      <w:r w:rsidDel="00000000" w:rsidR="00000000" w:rsidRPr="00000000">
        <w:rPr>
          <w:rFonts w:ascii="Arial" w:cs="Arial" w:eastAsia="Arial" w:hAnsi="Arial"/>
          <w:color w:val="1f1f1f"/>
          <w:rtl w:val="0"/>
        </w:rPr>
        <w:t xml:space="preserve"> accounts for standard currency rounding, while </w:t>
      </w:r>
      <w:r w:rsidDel="00000000" w:rsidR="00000000" w:rsidRPr="00000000">
        <w:rPr>
          <w:rFonts w:ascii="Arial" w:cs="Arial" w:eastAsia="Arial" w:hAnsi="Arial"/>
          <w:color w:val="1f1f1f"/>
        </w:rPr>
        <w:drawing>
          <wp:inline distB="19050" distT="19050" distL="19050" distR="19050">
            <wp:extent cx="949881" cy="243169"/>
            <wp:effectExtent b="0" l="0" r="0" t="0"/>
            <wp:docPr id="5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949881" cy="243169"/>
                    </a:xfrm>
                    <a:prstGeom prst="rect"/>
                    <a:ln/>
                  </pic:spPr>
                </pic:pic>
              </a:graphicData>
            </a:graphic>
          </wp:inline>
        </w:drawing>
      </w:r>
      <w:r w:rsidDel="00000000" w:rsidR="00000000" w:rsidRPr="00000000">
        <w:rPr>
          <w:rFonts w:ascii="Arial" w:cs="Arial" w:eastAsia="Arial" w:hAnsi="Arial"/>
          <w:color w:val="1f1f1f"/>
          <w:rtl w:val="0"/>
        </w:rPr>
        <w:t xml:space="preserve"> permits a </w:t>
      </w:r>
      <w:r w:rsidDel="00000000" w:rsidR="00000000" w:rsidRPr="00000000">
        <w:rPr>
          <w:rFonts w:ascii="Arial" w:cs="Arial" w:eastAsia="Arial" w:hAnsi="Arial"/>
          <w:color w:val="1f1f1f"/>
        </w:rPr>
        <w:drawing>
          <wp:inline distB="19050" distT="19050" distL="19050" distR="19050">
            <wp:extent cx="413623" cy="241931"/>
            <wp:effectExtent b="0" l="0" r="0" t="0"/>
            <wp:docPr id="52"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413623" cy="241931"/>
                    </a:xfrm>
                    <a:prstGeom prst="rect"/>
                    <a:ln/>
                  </pic:spPr>
                </pic:pic>
              </a:graphicData>
            </a:graphic>
          </wp:inline>
        </w:drawing>
      </w:r>
      <w:r w:rsidDel="00000000" w:rsidR="00000000" w:rsidRPr="00000000">
        <w:rPr>
          <w:rFonts w:ascii="Arial" w:cs="Arial" w:eastAsia="Arial" w:hAnsi="Arial"/>
          <w:color w:val="1f1f1f"/>
          <w:rtl w:val="0"/>
        </w:rPr>
        <w:t xml:space="preserve"> margin for intermediate rounding differences in multi-step calculations.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Tiered Partial Correctness Scoring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reward partial correctness, outputs are graded along a structured credit scale based on mathematical closeness and intermediate formula logic: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Credit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Exact / Within Tolerance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07300" cy="207428"/>
                  <wp:effectExtent b="0" l="0" r="0" t="0"/>
                  <wp:docPr id="53"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307300" cy="2074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extracted float falls strictly within defined </w:t>
            </w:r>
            <w:r w:rsidDel="00000000" w:rsidR="00000000" w:rsidRPr="00000000">
              <w:rPr>
                <w:rFonts w:ascii="Arial" w:cs="Arial" w:eastAsia="Arial" w:hAnsi="Arial"/>
                <w:color w:val="1f1f1f"/>
              </w:rPr>
              <w:drawing>
                <wp:inline distB="19050" distT="19050" distL="19050" distR="19050">
                  <wp:extent cx="254318" cy="215785"/>
                  <wp:effectExtent b="0" l="0" r="0" t="0"/>
                  <wp:docPr id="54"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254318" cy="215785"/>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213717" cy="221633"/>
                  <wp:effectExtent b="0" l="0" r="0" t="0"/>
                  <wp:docPr id="2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213717" cy="221633"/>
                          </a:xfrm>
                          <a:prstGeom prst="rect"/>
                          <a:ln/>
                        </pic:spPr>
                      </pic:pic>
                    </a:graphicData>
                  </a:graphic>
                </wp:inline>
              </w:drawing>
            </w:r>
            <w:r w:rsidDel="00000000" w:rsidR="00000000" w:rsidRPr="00000000">
              <w:rPr>
                <w:rFonts w:ascii="Arial" w:cs="Arial" w:eastAsia="Arial" w:hAnsi="Arial"/>
                <w:color w:val="1f1f1f"/>
                <w:rtl w:val="0"/>
              </w:rPr>
              <w:t xml:space="preserve"> bounds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Rounding Deviation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07300" cy="207428"/>
                  <wp:effectExtent b="0" l="0" r="0" t="0"/>
                  <wp:docPr id="22"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307300" cy="2074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 Syntax Tree (AST) parsing confirms the logical formula is correct, but the final scalar exceeds rounding bounds.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Scale / Magnitude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07300" cy="207428"/>
                  <wp:effectExtent b="0" l="0" r="0" t="0"/>
                  <wp:docPr id="23"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307300" cy="2074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base scalar value is correct, but unit conversion failed (e.g., outputting thousands instead of millions).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Approach / Logic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07300" cy="207428"/>
                  <wp:effectExtent b="0" l="0" r="0" t="0"/>
                  <wp:docPr id="2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07300" cy="2074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derived formula or selected variables contradict the underlying financial context.</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Synthetic Data Generation for Document Versioning and Implicit Logic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open benchmarks rarely cover system-specific failure modes, such as document-version conflicts or implicit policy constraints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evaluation harness must incorporate synthetic test cases constructed deliberately to stress-test these scenarios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document-version conflict resolution, paired test cases are constructed containing explicit temporal overrides. A base document (such as </w:t>
      </w:r>
      <w:r w:rsidDel="00000000" w:rsidR="00000000" w:rsidRPr="00000000">
        <w:rPr>
          <w:rFonts w:ascii="Arial" w:cs="Arial" w:eastAsia="Arial" w:hAnsi="Arial"/>
          <w:i w:val="1"/>
          <w:iCs w:val="1"/>
          <w:color w:val="1f1f1f"/>
          <w:rtl w:val="0"/>
        </w:rPr>
        <w:t xml:space="preserve">Commercial Credit Guidelines 2023 v1.0</w:t>
      </w:r>
      <w:r w:rsidDel="00000000" w:rsidR="00000000" w:rsidRPr="00000000">
        <w:rPr>
          <w:rFonts w:ascii="Arial" w:cs="Arial" w:eastAsia="Arial" w:hAnsi="Arial"/>
          <w:color w:val="1f1f1f"/>
          <w:rtl w:val="0"/>
        </w:rPr>
        <w:t xml:space="preserve">, specifying a maximum loan limit of $500,000) is paired with an updated addendum (</w:t>
      </w:r>
      <w:r w:rsidDel="00000000" w:rsidR="00000000" w:rsidRPr="00000000">
        <w:rPr>
          <w:rFonts w:ascii="Arial" w:cs="Arial" w:eastAsia="Arial" w:hAnsi="Arial"/>
          <w:i w:val="1"/>
          <w:iCs w:val="1"/>
          <w:color w:val="1f1f1f"/>
          <w:rtl w:val="0"/>
        </w:rPr>
        <w:t xml:space="preserve">Credit Policy Addendum 2024 v2.1</w:t>
      </w:r>
      <w:r w:rsidDel="00000000" w:rsidR="00000000" w:rsidRPr="00000000">
        <w:rPr>
          <w:rFonts w:ascii="Arial" w:cs="Arial" w:eastAsia="Arial" w:hAnsi="Arial"/>
          <w:color w:val="1f1f1f"/>
          <w:rtl w:val="0"/>
        </w:rPr>
        <w:t xml:space="preserve">, revising the maximum limit to $750,000 for Tier-1 clients). Both files are ingested into the vector index simultaneously. Test queries require selecting the active policy rule for a current applicant. Evaluation logic verifies that the pipeline retrieves and cites </w:t>
      </w:r>
      <w:r w:rsidDel="00000000" w:rsidR="00000000" w:rsidRPr="00000000">
        <w:rPr>
          <w:rFonts w:ascii="Arial" w:cs="Arial" w:eastAsia="Arial" w:hAnsi="Arial"/>
          <w:i w:val="1"/>
          <w:iCs w:val="1"/>
          <w:color w:val="1f1f1f"/>
          <w:rtl w:val="0"/>
        </w:rPr>
        <w:t xml:space="preserve">v2.1</w:t>
      </w:r>
      <w:r w:rsidDel="00000000" w:rsidR="00000000" w:rsidRPr="00000000">
        <w:rPr>
          <w:rFonts w:ascii="Arial" w:cs="Arial" w:eastAsia="Arial" w:hAnsi="Arial"/>
          <w:color w:val="1f1f1f"/>
          <w:rtl w:val="0"/>
        </w:rPr>
        <w:t xml:space="preserve"> metadata while explicitly ignoring the superseded </w:t>
      </w:r>
      <w:r w:rsidDel="00000000" w:rsidR="00000000" w:rsidRPr="00000000">
        <w:rPr>
          <w:rFonts w:ascii="Arial" w:cs="Arial" w:eastAsia="Arial" w:hAnsi="Arial"/>
          <w:i w:val="1"/>
          <w:iCs w:val="1"/>
          <w:color w:val="1f1f1f"/>
          <w:rtl w:val="0"/>
        </w:rPr>
        <w:t xml:space="preserve">v1.0</w:t>
      </w:r>
      <w:r w:rsidDel="00000000" w:rsidR="00000000" w:rsidRPr="00000000">
        <w:rPr>
          <w:rFonts w:ascii="Arial" w:cs="Arial" w:eastAsia="Arial" w:hAnsi="Arial"/>
          <w:color w:val="1f1f1f"/>
          <w:rtl w:val="0"/>
        </w:rPr>
        <w:t xml:space="preserve"> clause.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hidden or implicit fact extraction, multi-hop test cases are designed where no single paragraph contains the complete answer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Business logic is split across disjoint sections—for example, applicant definitions in Section A, regional fee tables in Section B, and waiver conditions in Section C. Test queries require synthesizing all three sections to determine a final compliance decision. Grading is performed using binary DAG leaf nodes that check whether each required intermediate rule was successfully retrieved and applied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Statistical Power Analysis and Minimum Evaluation Dataset Size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Small test sets (</w:t>
      </w:r>
      <w:r w:rsidDel="00000000" w:rsidR="00000000" w:rsidRPr="00000000">
        <w:rPr>
          <w:rFonts w:ascii="Arial" w:cs="Arial" w:eastAsia="Arial" w:hAnsi="Arial"/>
          <w:color w:val="1f1f1f"/>
        </w:rPr>
        <w:drawing>
          <wp:inline distB="19050" distT="19050" distL="19050" distR="19050">
            <wp:extent cx="574953" cy="245313"/>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4953" cy="245313"/>
                    </a:xfrm>
                    <a:prstGeom prst="rect"/>
                    <a:ln/>
                  </pic:spPr>
                </pic:pic>
              </a:graphicData>
            </a:graphic>
          </wp:inline>
        </w:drawing>
      </w:r>
      <w:r w:rsidDel="00000000" w:rsidR="00000000" w:rsidRPr="00000000">
        <w:rPr>
          <w:rFonts w:ascii="Arial" w:cs="Arial" w:eastAsia="Arial" w:hAnsi="Arial"/>
          <w:color w:val="1f1f1f"/>
          <w:rtl w:val="0"/>
        </w:rPr>
        <w:t xml:space="preserve">) introduce significant sampling variance, making performance changes of </w:t>
      </w:r>
      <w:r w:rsidDel="00000000" w:rsidR="00000000" w:rsidRPr="00000000">
        <w:rPr>
          <w:rFonts w:ascii="Arial" w:cs="Arial" w:eastAsia="Arial" w:hAnsi="Arial"/>
          <w:color w:val="1f1f1f"/>
        </w:rPr>
        <w:drawing>
          <wp:inline distB="19050" distT="19050" distL="19050" distR="19050">
            <wp:extent cx="97988" cy="253137"/>
            <wp:effectExtent b="0" l="0" r="0" t="0"/>
            <wp:docPr id="2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97988" cy="253137"/>
            <wp:effectExtent b="0" l="0" r="0" t="0"/>
            <wp:docPr id="2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percentage points statistically indistinguishable from random noise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Detecting true pipeline improvements requires deriving minimum dataset sizes via statistical power analysis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binary pass/fail outcomes across system iterations, the minimum sample size </w:t>
      </w:r>
      <w:r w:rsidDel="00000000" w:rsidR="00000000" w:rsidRPr="00000000">
        <w:rPr>
          <w:rFonts w:ascii="Arial" w:cs="Arial" w:eastAsia="Arial" w:hAnsi="Arial"/>
          <w:color w:val="1f1f1f"/>
        </w:rPr>
        <w:drawing>
          <wp:inline distB="19050" distT="19050" distL="19050" distR="19050">
            <wp:extent cx="117634" cy="250952"/>
            <wp:effectExtent b="0" l="0" r="0" t="0"/>
            <wp:docPr id="2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17634" cy="250952"/>
                    </a:xfrm>
                    <a:prstGeom prst="rect"/>
                    <a:ln/>
                  </pic:spPr>
                </pic:pic>
              </a:graphicData>
            </a:graphic>
          </wp:inline>
        </w:drawing>
      </w:r>
      <w:r w:rsidDel="00000000" w:rsidR="00000000" w:rsidRPr="00000000">
        <w:rPr>
          <w:rFonts w:ascii="Arial" w:cs="Arial" w:eastAsia="Arial" w:hAnsi="Arial"/>
          <w:color w:val="1f1f1f"/>
          <w:rtl w:val="0"/>
        </w:rPr>
        <w:t xml:space="preserve"> required to detect a target accuracy improvement </w:t>
      </w:r>
      <w:r w:rsidDel="00000000" w:rsidR="00000000" w:rsidRPr="00000000">
        <w:rPr>
          <w:rFonts w:ascii="Arial" w:cs="Arial" w:eastAsia="Arial" w:hAnsi="Arial"/>
          <w:color w:val="1f1f1f"/>
        </w:rPr>
        <w:drawing>
          <wp:inline distB="19050" distT="19050" distL="19050" distR="19050">
            <wp:extent cx="94417" cy="251778"/>
            <wp:effectExtent b="0" l="0" r="0" t="0"/>
            <wp:docPr id="2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94417" cy="251778"/>
                    </a:xfrm>
                    <a:prstGeom prst="rect"/>
                    <a:ln/>
                  </pic:spPr>
                </pic:pic>
              </a:graphicData>
            </a:graphic>
          </wp:inline>
        </w:drawing>
      </w:r>
      <w:r w:rsidDel="00000000" w:rsidR="00000000" w:rsidRPr="00000000">
        <w:rPr>
          <w:rFonts w:ascii="Arial" w:cs="Arial" w:eastAsia="Arial" w:hAnsi="Arial"/>
          <w:color w:val="1f1f1f"/>
          <w:rtl w:val="0"/>
        </w:rPr>
        <w:t xml:space="preserve"> at significance level </w:t>
      </w:r>
      <w:r w:rsidDel="00000000" w:rsidR="00000000" w:rsidRPr="00000000">
        <w:rPr>
          <w:rFonts w:ascii="Arial" w:cs="Arial" w:eastAsia="Arial" w:hAnsi="Arial"/>
          <w:color w:val="1f1f1f"/>
        </w:rPr>
        <w:drawing>
          <wp:inline distB="19050" distT="19050" distL="19050" distR="19050">
            <wp:extent cx="735925" cy="245308"/>
            <wp:effectExtent b="0" l="0" r="0" t="0"/>
            <wp:docPr id="30"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735925" cy="245308"/>
                    </a:xfrm>
                    <a:prstGeom prst="rect"/>
                    <a:ln/>
                  </pic:spPr>
                </pic:pic>
              </a:graphicData>
            </a:graphic>
          </wp:inline>
        </w:drawing>
      </w:r>
      <w:r w:rsidDel="00000000" w:rsidR="00000000" w:rsidRPr="00000000">
        <w:rPr>
          <w:rFonts w:ascii="Arial" w:cs="Arial" w:eastAsia="Arial" w:hAnsi="Arial"/>
          <w:color w:val="1f1f1f"/>
          <w:rtl w:val="0"/>
        </w:rPr>
        <w:t xml:space="preserve"> and statistical power </w:t>
      </w:r>
      <w:r w:rsidDel="00000000" w:rsidR="00000000" w:rsidRPr="00000000">
        <w:rPr>
          <w:rFonts w:ascii="Arial" w:cs="Arial" w:eastAsia="Arial" w:hAnsi="Arial"/>
          <w:color w:val="1f1f1f"/>
        </w:rPr>
        <w:drawing>
          <wp:inline distB="19050" distT="19050" distL="19050" distR="19050">
            <wp:extent cx="1068343" cy="244193"/>
            <wp:effectExtent b="0" l="0" r="0" t="0"/>
            <wp:docPr id="1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1068343" cy="244193"/>
                    </a:xfrm>
                    <a:prstGeom prst="rect"/>
                    <a:ln/>
                  </pic:spPr>
                </pic:pic>
              </a:graphicData>
            </a:graphic>
          </wp:inline>
        </w:drawing>
      </w:r>
      <w:r w:rsidDel="00000000" w:rsidR="00000000" w:rsidRPr="00000000">
        <w:rPr>
          <w:rFonts w:ascii="Arial" w:cs="Arial" w:eastAsia="Arial" w:hAnsi="Arial"/>
          <w:color w:val="1f1f1f"/>
          <w:rtl w:val="0"/>
        </w:rPr>
        <w:t xml:space="preserve"> requires </w:t>
      </w:r>
      <w:r w:rsidDel="00000000" w:rsidR="00000000" w:rsidRPr="00000000">
        <w:rPr>
          <w:rFonts w:ascii="Arial" w:cs="Arial" w:eastAsia="Arial" w:hAnsi="Arial"/>
          <w:color w:val="1f1f1f"/>
        </w:rPr>
        <w:drawing>
          <wp:inline distB="19050" distT="19050" distL="19050" distR="19050">
            <wp:extent cx="574953" cy="245313"/>
            <wp:effectExtent b="0" l="0" r="0" t="0"/>
            <wp:docPr id="12"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74953" cy="245313"/>
                    </a:xfrm>
                    <a:prstGeom prst="rect"/>
                    <a:ln/>
                  </pic:spPr>
                </pic:pic>
              </a:graphicData>
            </a:graphic>
          </wp:inline>
        </w:drawing>
      </w:r>
      <w:r w:rsidDel="00000000" w:rsidR="00000000" w:rsidRPr="00000000">
        <w:rPr>
          <w:rFonts w:ascii="Arial" w:cs="Arial" w:eastAsia="Arial" w:hAnsi="Arial"/>
          <w:b w:val="1"/>
          <w:bCs w:val="1"/>
          <w:color w:val="1f1f1f"/>
          <w:rtl w:val="0"/>
        </w:rPr>
        <w:t xml:space="preserve"> test cases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Evaluating fewer than 50 cases results in wide confidence intervals, where real regressions can be mistaken for performance gains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comparing two pipeline versions (Baseline Model A versus Updated Model B) on the same paired evaluation dataset, hypothesis testing must be applied:</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McNemar’s Test for Paired Binary Outcomes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to assess whether a pipeline modification produces a statistically significant shift in pass/fail classifications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16718"/>
            <wp:effectExtent b="0" l="0" r="0" t="0"/>
            <wp:docPr id="1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264557" cy="241881"/>
            <wp:effectExtent b="0" l="0" r="0" t="0"/>
            <wp:docPr id="1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64557" cy="241881"/>
                    </a:xfrm>
                    <a:prstGeom prst="rect"/>
                    <a:ln/>
                  </pic:spPr>
                </pic:pic>
              </a:graphicData>
            </a:graphic>
          </wp:inline>
        </w:drawing>
      </w:r>
      <w:r w:rsidDel="00000000" w:rsidR="00000000" w:rsidRPr="00000000">
        <w:rPr>
          <w:rFonts w:ascii="Arial" w:cs="Arial" w:eastAsia="Arial" w:hAnsi="Arial"/>
          <w:color w:val="1f1f1f"/>
          <w:rtl w:val="0"/>
        </w:rPr>
        <w:t xml:space="preserve"> represents cases failed by Model A but passed by Model B, and </w:t>
      </w:r>
      <w:r w:rsidDel="00000000" w:rsidR="00000000" w:rsidRPr="00000000">
        <w:rPr>
          <w:rFonts w:ascii="Arial" w:cs="Arial" w:eastAsia="Arial" w:hAnsi="Arial"/>
          <w:color w:val="1f1f1f"/>
        </w:rPr>
        <w:drawing>
          <wp:inline distB="19050" distT="19050" distL="19050" distR="19050">
            <wp:extent cx="264557" cy="241881"/>
            <wp:effectExtent b="0" l="0" r="0" t="0"/>
            <wp:docPr id="15"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264557" cy="241881"/>
                    </a:xfrm>
                    <a:prstGeom prst="rect"/>
                    <a:ln/>
                  </pic:spPr>
                </pic:pic>
              </a:graphicData>
            </a:graphic>
          </wp:inline>
        </w:drawing>
      </w:r>
      <w:r w:rsidDel="00000000" w:rsidR="00000000" w:rsidRPr="00000000">
        <w:rPr>
          <w:rFonts w:ascii="Arial" w:cs="Arial" w:eastAsia="Arial" w:hAnsi="Arial"/>
          <w:color w:val="1f1f1f"/>
          <w:rtl w:val="0"/>
        </w:rPr>
        <w:t xml:space="preserve"> represents cases passed by Model A but failed by Model B</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 resulting </w:t>
      </w:r>
      <w:r w:rsidDel="00000000" w:rsidR="00000000" w:rsidRPr="00000000">
        <w:rPr>
          <w:rFonts w:ascii="Arial" w:cs="Arial" w:eastAsia="Arial" w:hAnsi="Arial"/>
          <w:color w:val="1f1f1f"/>
        </w:rPr>
        <w:drawing>
          <wp:inline distB="19050" distT="19050" distL="19050" distR="19050">
            <wp:extent cx="98584" cy="262890"/>
            <wp:effectExtent b="0" l="0" r="0" t="0"/>
            <wp:docPr id="16"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98584" cy="262890"/>
                    </a:xfrm>
                    <a:prstGeom prst="rect"/>
                    <a:ln/>
                  </pic:spPr>
                </pic:pic>
              </a:graphicData>
            </a:graphic>
          </wp:inline>
        </w:drawing>
      </w:r>
      <w:r w:rsidDel="00000000" w:rsidR="00000000" w:rsidRPr="00000000">
        <w:rPr>
          <w:rFonts w:ascii="Arial" w:cs="Arial" w:eastAsia="Arial" w:hAnsi="Arial"/>
          <w:color w:val="1f1f1f"/>
          <w:rtl w:val="0"/>
        </w:rPr>
        <w:t xml:space="preserve">-value </w:t>
      </w:r>
      <w:r w:rsidDel="00000000" w:rsidR="00000000" w:rsidRPr="00000000">
        <w:rPr>
          <w:rFonts w:ascii="Arial" w:cs="Arial" w:eastAsia="Arial" w:hAnsi="Arial"/>
          <w:color w:val="1f1f1f"/>
        </w:rPr>
        <w:drawing>
          <wp:inline distB="19050" distT="19050" distL="19050" distR="19050">
            <wp:extent cx="555307" cy="239091"/>
            <wp:effectExtent b="0" l="0" r="0" t="0"/>
            <wp:docPr id="17"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55307" cy="239091"/>
                    </a:xfrm>
                    <a:prstGeom prst="rect"/>
                    <a:ln/>
                  </pic:spPr>
                </pic:pic>
              </a:graphicData>
            </a:graphic>
          </wp:inline>
        </w:drawing>
      </w:r>
      <w:r w:rsidDel="00000000" w:rsidR="00000000" w:rsidRPr="00000000">
        <w:rPr>
          <w:rFonts w:ascii="Arial" w:cs="Arial" w:eastAsia="Arial" w:hAnsi="Arial"/>
          <w:color w:val="1f1f1f"/>
          <w:rtl w:val="0"/>
        </w:rPr>
        <w:t xml:space="preserve"> confirms that the observed accuracy change is statistically significant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Bootstrap Confidence Interval Computation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continuous quality metrics (such as faithfulness or answer relevance), 95% confidence intervals are estimated by resampling test scores </w:t>
      </w:r>
      <w:r w:rsidDel="00000000" w:rsidR="00000000" w:rsidRPr="00000000">
        <w:rPr>
          <w:rFonts w:ascii="Arial" w:cs="Arial" w:eastAsia="Arial" w:hAnsi="Arial"/>
          <w:color w:val="1f1f1f"/>
        </w:rPr>
        <w:drawing>
          <wp:inline distB="19050" distT="19050" distL="19050" distR="19050">
            <wp:extent cx="479107" cy="239554"/>
            <wp:effectExtent b="0" l="0" r="0" t="0"/>
            <wp:docPr id="18"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479107" cy="239554"/>
                    </a:xfrm>
                    <a:prstGeom prst="rect"/>
                    <a:ln/>
                  </pic:spPr>
                </pic:pic>
              </a:graphicData>
            </a:graphic>
          </wp:inline>
        </w:drawing>
      </w:r>
      <w:r w:rsidDel="00000000" w:rsidR="00000000" w:rsidRPr="00000000">
        <w:rPr>
          <w:rFonts w:ascii="Arial" w:cs="Arial" w:eastAsia="Arial" w:hAnsi="Arial"/>
          <w:color w:val="1f1f1f"/>
          <w:rtl w:val="0"/>
        </w:rPr>
        <w:t xml:space="preserve"> times with replacement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Non-overlapping confidence intervals between baseline and modified pipelines confirm a statistically meaningful quality shift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Verbalized Confidence Calibration and Evidence Integrity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Agentic LLMs prompted to self-report confidence (e.g., "I am 90% confident in this answer") frequently suffer from miscalibration, exhibiting high verbalized confidence even when outputting hallucinations or miscalculated values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overconfidence stems from model suggestibility on low-information queries and post-training alignment artifacts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Calibration quantifies how closely self-reported confidence probabilities (</w:t>
      </w:r>
      <w:r w:rsidDel="00000000" w:rsidR="00000000" w:rsidRPr="00000000">
        <w:rPr>
          <w:rFonts w:ascii="Arial" w:cs="Arial" w:eastAsia="Arial" w:hAnsi="Arial"/>
          <w:color w:val="1f1f1f"/>
        </w:rPr>
        <w:drawing>
          <wp:inline distB="19050" distT="19050" distL="19050" distR="19050">
            <wp:extent cx="98584" cy="262890"/>
            <wp:effectExtent b="0" l="0" r="0" t="0"/>
            <wp:docPr id="1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98584" cy="262890"/>
                    </a:xfrm>
                    <a:prstGeom prst="rect"/>
                    <a:ln/>
                  </pic:spPr>
                </pic:pic>
              </a:graphicData>
            </a:graphic>
          </wp:inline>
        </w:drawing>
      </w:r>
      <w:r w:rsidDel="00000000" w:rsidR="00000000" w:rsidRPr="00000000">
        <w:rPr>
          <w:rFonts w:ascii="Arial" w:cs="Arial" w:eastAsia="Arial" w:hAnsi="Arial"/>
          <w:color w:val="1f1f1f"/>
          <w:rtl w:val="0"/>
        </w:rPr>
        <w:t xml:space="preserve">) align with empirical accuracy</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Calibration quality is evaluated using two principal metrics: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Expected Calibration Error (ECE)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Groups predictions into </w:t>
      </w:r>
      <w:r w:rsidDel="00000000" w:rsidR="00000000" w:rsidRPr="00000000">
        <w:rPr>
          <w:rFonts w:ascii="Arial" w:cs="Arial" w:eastAsia="Arial" w:hAnsi="Arial"/>
          <w:color w:val="1f1f1f"/>
        </w:rPr>
        <w:drawing>
          <wp:inline distB="19050" distT="19050" distL="19050" distR="19050">
            <wp:extent cx="211455" cy="250613"/>
            <wp:effectExtent b="0" l="0" r="0" t="0"/>
            <wp:docPr id="20"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11455" cy="250613"/>
                    </a:xfrm>
                    <a:prstGeom prst="rect"/>
                    <a:ln/>
                  </pic:spPr>
                </pic:pic>
              </a:graphicData>
            </a:graphic>
          </wp:inline>
        </w:drawing>
      </w:r>
      <w:r w:rsidDel="00000000" w:rsidR="00000000" w:rsidRPr="00000000">
        <w:rPr>
          <w:rFonts w:ascii="Arial" w:cs="Arial" w:eastAsia="Arial" w:hAnsi="Arial"/>
          <w:color w:val="1f1f1f"/>
          <w:rtl w:val="0"/>
        </w:rPr>
        <w:t xml:space="preserve"> equally spaced confidence bins (</w:t>
      </w:r>
      <w:r w:rsidDel="00000000" w:rsidR="00000000" w:rsidRPr="00000000">
        <w:rPr>
          <w:rFonts w:ascii="Arial" w:cs="Arial" w:eastAsia="Arial" w:hAnsi="Arial"/>
          <w:color w:val="1f1f1f"/>
        </w:rPr>
        <w:drawing>
          <wp:inline distB="19050" distT="19050" distL="19050" distR="19050">
            <wp:extent cx="278844" cy="247862"/>
            <wp:effectExtent b="0" l="0" r="0" t="0"/>
            <wp:docPr id="1"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278844" cy="247862"/>
                    </a:xfrm>
                    <a:prstGeom prst="rect"/>
                    <a:ln/>
                  </pic:spPr>
                </pic:pic>
              </a:graphicData>
            </a:graphic>
          </wp:inline>
        </w:drawing>
      </w:r>
      <w:r w:rsidDel="00000000" w:rsidR="00000000" w:rsidRPr="00000000">
        <w:rPr>
          <w:rFonts w:ascii="Arial" w:cs="Arial" w:eastAsia="Arial" w:hAnsi="Arial"/>
          <w:color w:val="1f1f1f"/>
          <w:rtl w:val="0"/>
        </w:rPr>
        <w:t xml:space="preserve">) and calculates the weighted absolute difference between bin accuracy and average bin confidence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54932"/>
            <wp:effectExtent b="0" l="0" r="0" t="0"/>
            <wp:docPr id="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905500" cy="95493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Brier Score (BS)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Measures the mean squared difference between predicted confidence probabilities (</w:t>
      </w:r>
      <w:r w:rsidDel="00000000" w:rsidR="00000000" w:rsidRPr="00000000">
        <w:rPr>
          <w:rFonts w:ascii="Arial" w:cs="Arial" w:eastAsia="Arial" w:hAnsi="Arial"/>
          <w:color w:val="1f1f1f"/>
        </w:rPr>
        <w:drawing>
          <wp:inline distB="19050" distT="19050" distL="19050" distR="19050">
            <wp:extent cx="153233" cy="245173"/>
            <wp:effectExtent b="0" l="0" r="0" t="0"/>
            <wp:docPr id="3"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153233" cy="245173"/>
                    </a:xfrm>
                    <a:prstGeom prst="rect"/>
                    <a:ln/>
                  </pic:spPr>
                </pic:pic>
              </a:graphicData>
            </a:graphic>
          </wp:inline>
        </w:drawing>
      </w:r>
      <w:r w:rsidDel="00000000" w:rsidR="00000000" w:rsidRPr="00000000">
        <w:rPr>
          <w:rFonts w:ascii="Arial" w:cs="Arial" w:eastAsia="Arial" w:hAnsi="Arial"/>
          <w:color w:val="1f1f1f"/>
          <w:rtl w:val="0"/>
        </w:rPr>
        <w:t xml:space="preserve">) and binary correctness outcomes (</w:t>
      </w:r>
      <w:r w:rsidDel="00000000" w:rsidR="00000000" w:rsidRPr="00000000">
        <w:rPr>
          <w:rFonts w:ascii="Arial" w:cs="Arial" w:eastAsia="Arial" w:hAnsi="Arial"/>
          <w:color w:val="1f1f1f"/>
        </w:rPr>
        <w:drawing>
          <wp:inline distB="19050" distT="19050" distL="19050" distR="19050">
            <wp:extent cx="871895" cy="242614"/>
            <wp:effectExtent b="0" l="0" r="0" t="0"/>
            <wp:docPr id="4"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871895" cy="24261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23520"/>
            <wp:effectExtent b="0" l="0" r="0" t="0"/>
            <wp:docPr id="5"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05500" cy="9235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Verbalized confidence calibration can be significantly improved using </w:t>
      </w:r>
      <w:r w:rsidDel="00000000" w:rsidR="00000000" w:rsidRPr="00000000">
        <w:rPr>
          <w:rFonts w:ascii="Arial" w:cs="Arial" w:eastAsia="Arial" w:hAnsi="Arial"/>
          <w:b w:val="1"/>
          <w:bCs w:val="1"/>
          <w:color w:val="1f1f1f"/>
          <w:rtl w:val="0"/>
        </w:rPr>
        <w:t xml:space="preserve">Fact-and-Reflection (FaR) prompting</w:t>
      </w:r>
      <w:r w:rsidDel="00000000" w:rsidR="00000000" w:rsidRPr="00000000">
        <w:rPr>
          <w:rFonts w:ascii="Arial" w:cs="Arial" w:eastAsia="Arial" w:hAnsi="Arial"/>
          <w:color w:val="1f1f1f"/>
          <w:rtl w:val="0"/>
        </w:rPr>
        <w:t xml:space="preserve">, which requires the model to list supporting factual evidence first, reflect on missing or conflicting details, and only then output a verbalized confidence score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FaR prompting reduces Expected Calibration Error by up to </w:t>
      </w:r>
      <w:r w:rsidDel="00000000" w:rsidR="00000000" w:rsidRPr="00000000">
        <w:rPr>
          <w:rFonts w:ascii="Arial" w:cs="Arial" w:eastAsia="Arial" w:hAnsi="Arial"/>
          <w:color w:val="1f1f1f"/>
        </w:rPr>
        <w:drawing>
          <wp:inline distB="19050" distT="19050" distL="19050" distR="19050">
            <wp:extent cx="511612" cy="236716"/>
            <wp:effectExtent b="0" l="0" r="0" t="0"/>
            <wp:docPr id="6"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11612" cy="236716"/>
                    </a:xfrm>
                    <a:prstGeom prst="rect"/>
                    <a:ln/>
                  </pic:spPr>
                </pic:pic>
              </a:graphicData>
            </a:graphic>
          </wp:inline>
        </w:drawing>
      </w:r>
      <w:r w:rsidDel="00000000" w:rsidR="00000000" w:rsidRPr="00000000">
        <w:rPr>
          <w:rFonts w:ascii="Arial" w:cs="Arial" w:eastAsia="Arial" w:hAnsi="Arial"/>
          <w:color w:val="1f1f1f"/>
          <w:rtl w:val="0"/>
        </w:rPr>
        <w:t xml:space="preserve"> across complex QA tasks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Another approach, </w:t>
      </w:r>
      <w:r w:rsidDel="00000000" w:rsidR="00000000" w:rsidRPr="00000000">
        <w:rPr>
          <w:rFonts w:ascii="Arial" w:cs="Arial" w:eastAsia="Arial" w:hAnsi="Arial"/>
          <w:b w:val="1"/>
          <w:bCs w:val="1"/>
          <w:color w:val="1f1f1f"/>
          <w:rtl w:val="0"/>
        </w:rPr>
        <w:t xml:space="preserve">Distractor-Normalized Coherence (DiNCo)</w:t>
      </w:r>
      <w:r w:rsidDel="00000000" w:rsidR="00000000" w:rsidRPr="00000000">
        <w:rPr>
          <w:rFonts w:ascii="Arial" w:cs="Arial" w:eastAsia="Arial" w:hAnsi="Arial"/>
          <w:color w:val="1f1f1f"/>
          <w:rtl w:val="0"/>
        </w:rPr>
        <w:t xml:space="preserve">, normalizes verbalized confidence by evaluating agreement across self-generated alternative claims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Well-calibrated confidence scores serve as an automated fallback guardrail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If an agent's calibrated confidence drops below a defined threshold (e.g., </w:t>
      </w:r>
      <w:r w:rsidDel="00000000" w:rsidR="00000000" w:rsidRPr="00000000">
        <w:rPr>
          <w:rFonts w:ascii="Arial" w:cs="Arial" w:eastAsia="Arial" w:hAnsi="Arial"/>
          <w:color w:val="1f1f1f"/>
        </w:rPr>
        <w:drawing>
          <wp:inline distB="19050" distT="19050" distL="19050" distR="19050">
            <wp:extent cx="555307" cy="239091"/>
            <wp:effectExtent b="0" l="0" r="0" t="0"/>
            <wp:docPr id="7"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55307" cy="239091"/>
                    </a:xfrm>
                    <a:prstGeom prst="rect"/>
                    <a:ln/>
                  </pic:spPr>
                </pic:pic>
              </a:graphicData>
            </a:graphic>
          </wp:inline>
        </w:drawing>
      </w:r>
      <w:r w:rsidDel="00000000" w:rsidR="00000000" w:rsidRPr="00000000">
        <w:rPr>
          <w:rFonts w:ascii="Arial" w:cs="Arial" w:eastAsia="Arial" w:hAnsi="Arial"/>
          <w:color w:val="1f1f1f"/>
          <w:rtl w:val="0"/>
        </w:rPr>
        <w:t xml:space="preserve">), the evaluation harness or agentic runtime intercepts the execution, triggering a secondary retrieval pass or routing the query to a safe fallback response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Synthesized Recommendation: Minimal Evaluation Harness Structure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Dataset Composition (</w:t>
      </w:r>
      <w:r w:rsidDel="00000000" w:rsidR="00000000" w:rsidRPr="00000000">
        <w:rPr>
          <w:rFonts w:ascii="Arial" w:cs="Arial" w:eastAsia="Arial" w:hAnsi="Arial"/>
          <w:b w:val="1"/>
          <w:bCs w:val="1"/>
          <w:color w:val="1f1f1f"/>
        </w:rPr>
        <w:drawing>
          <wp:inline distB="19050" distT="19050" distL="19050" distR="19050">
            <wp:extent cx="574953" cy="245313"/>
            <wp:effectExtent b="0" l="0" r="0" t="0"/>
            <wp:docPr id="8"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74953" cy="245313"/>
                    </a:xfrm>
                    <a:prstGeom prst="rect"/>
                    <a:ln/>
                  </pic:spPr>
                </pic:pic>
              </a:graphicData>
            </a:graphic>
          </wp:inline>
        </w:drawing>
      </w:r>
      <w:r w:rsidDel="00000000" w:rsidR="00000000" w:rsidRPr="00000000">
        <w:rPr>
          <w:rFonts w:ascii="Arial" w:cs="Arial" w:eastAsia="Arial" w:hAnsi="Arial"/>
          <w:b w:val="1"/>
          <w:bCs w:val="1"/>
          <w:color w:val="1f1f1f"/>
          <w:rtl w:val="0"/>
        </w:rPr>
        <w:t xml:space="preserve"> total test cases)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20 numerical QA cases sourced from FinQA and FinanceBench with gold-standard formulas and target floats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15 synthetic document-version conflict pairs testing temporal policy overrides and citation metadata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15 synthetic multi-hop implicit rule cases requiring synthesis across disjoint document sections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Execution Engine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Parallelized Python test runner built on pytest that executes queries against the agent pipeline and caches raw responses, retrieved chunk IDs, generated calculations, and citation tags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Metric Suite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Evidence Faithfulness</w:t>
      </w:r>
      <w:r w:rsidDel="00000000" w:rsidR="00000000" w:rsidRPr="00000000">
        <w:rPr>
          <w:rFonts w:ascii="Arial" w:cs="Arial" w:eastAsia="Arial" w:hAnsi="Arial"/>
          <w:color w:val="1f1f1f"/>
          <w:rtl w:val="0"/>
        </w:rPr>
        <w:t xml:space="preserve">: DeepEval FaithfulnessMetric decomposing answers into claims and validating context support (</w:t>
      </w:r>
      <w:r w:rsidDel="00000000" w:rsidR="00000000" w:rsidRPr="00000000">
        <w:rPr>
          <w:rFonts w:ascii="Arial" w:cs="Arial" w:eastAsia="Arial" w:hAnsi="Arial"/>
          <w:color w:val="1f1f1f"/>
        </w:rPr>
        <w:drawing>
          <wp:inline distB="19050" distT="19050" distL="19050" distR="19050">
            <wp:extent cx="555307" cy="239091"/>
            <wp:effectExtent b="0" l="0" r="0" t="0"/>
            <wp:docPr id="9"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55307" cy="239091"/>
                    </a:xfrm>
                    <a:prstGeom prst="rect"/>
                    <a:ln/>
                  </pic:spPr>
                </pic:pic>
              </a:graphicData>
            </a:graphic>
          </wp:inline>
        </w:drawing>
      </w:r>
      <w:r w:rsidDel="00000000" w:rsidR="00000000" w:rsidRPr="00000000">
        <w:rPr>
          <w:rFonts w:ascii="Arial" w:cs="Arial" w:eastAsia="Arial" w:hAnsi="Arial"/>
          <w:color w:val="1f1f1f"/>
          <w:rtl w:val="0"/>
        </w:rPr>
        <w:t xml:space="preserve"> threshold)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Numeric Accuracy</w:t>
      </w:r>
      <w:r w:rsidDel="00000000" w:rsidR="00000000" w:rsidRPr="00000000">
        <w:rPr>
          <w:rFonts w:ascii="Arial" w:cs="Arial" w:eastAsia="Arial" w:hAnsi="Arial"/>
          <w:color w:val="1f1f1f"/>
          <w:rtl w:val="0"/>
        </w:rPr>
        <w:t xml:space="preserve">: Custom regular expression float extractor executing absolute (</w:t>
      </w:r>
      <w:r w:rsidDel="00000000" w:rsidR="00000000" w:rsidRPr="00000000">
        <w:rPr>
          <w:rFonts w:ascii="Arial" w:cs="Arial" w:eastAsia="Arial" w:hAnsi="Arial"/>
          <w:color w:val="1f1f1f"/>
        </w:rPr>
        <w:drawing>
          <wp:inline distB="19050" distT="19050" distL="19050" distR="19050">
            <wp:extent cx="897969" cy="245598"/>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897969" cy="245598"/>
                    </a:xfrm>
                    <a:prstGeom prst="rect"/>
                    <a:ln/>
                  </pic:spPr>
                </pic:pic>
              </a:graphicData>
            </a:graphic>
          </wp:inline>
        </w:drawing>
      </w:r>
      <w:r w:rsidDel="00000000" w:rsidR="00000000" w:rsidRPr="00000000">
        <w:rPr>
          <w:rFonts w:ascii="Arial" w:cs="Arial" w:eastAsia="Arial" w:hAnsi="Arial"/>
          <w:color w:val="1f1f1f"/>
          <w:rtl w:val="0"/>
        </w:rPr>
        <w:t xml:space="preserve">) and relative (</w:t>
      </w:r>
      <w:r w:rsidDel="00000000" w:rsidR="00000000" w:rsidRPr="00000000">
        <w:rPr>
          <w:rFonts w:ascii="Arial" w:cs="Arial" w:eastAsia="Arial" w:hAnsi="Arial"/>
          <w:color w:val="1f1f1f"/>
        </w:rPr>
        <w:drawing>
          <wp:inline distB="19050" distT="19050" distL="19050" distR="19050">
            <wp:extent cx="949881" cy="243169"/>
            <wp:effectExtent b="0" l="0" r="0" t="0"/>
            <wp:docPr id="3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949881" cy="243169"/>
                    </a:xfrm>
                    <a:prstGeom prst="rect"/>
                    <a:ln/>
                  </pic:spPr>
                </pic:pic>
              </a:graphicData>
            </a:graphic>
          </wp:inline>
        </w:drawing>
      </w:r>
      <w:r w:rsidDel="00000000" w:rsidR="00000000" w:rsidRPr="00000000">
        <w:rPr>
          <w:rFonts w:ascii="Arial" w:cs="Arial" w:eastAsia="Arial" w:hAnsi="Arial"/>
          <w:color w:val="1f1f1f"/>
          <w:rtl w:val="0"/>
        </w:rPr>
        <w:t xml:space="preserve">) tolerance checks, paired with AST formula validation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Decision Correctness</w:t>
      </w:r>
      <w:r w:rsidDel="00000000" w:rsidR="00000000" w:rsidRPr="00000000">
        <w:rPr>
          <w:rFonts w:ascii="Arial" w:cs="Arial" w:eastAsia="Arial" w:hAnsi="Arial"/>
          <w:color w:val="1f1f1f"/>
          <w:rtl w:val="0"/>
        </w:rPr>
        <w:t xml:space="preserve">: G-Eval rubric grading final business decisions as binary pass/fail (</w:t>
      </w:r>
      <w:r w:rsidDel="00000000" w:rsidR="00000000" w:rsidRPr="00000000">
        <w:rPr>
          <w:rFonts w:ascii="Arial" w:cs="Arial" w:eastAsia="Arial" w:hAnsi="Arial"/>
          <w:color w:val="1f1f1f"/>
        </w:rPr>
        <w:drawing>
          <wp:inline distB="19050" distT="19050" distL="19050" distR="19050">
            <wp:extent cx="250388" cy="242564"/>
            <wp:effectExtent b="0" l="0" r="0" t="0"/>
            <wp:docPr id="39"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250388" cy="242564"/>
            <wp:effectExtent b="0" l="0" r="0" t="0"/>
            <wp:docPr id="4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Citation Verification</w:t>
      </w:r>
      <w:r w:rsidDel="00000000" w:rsidR="00000000" w:rsidRPr="00000000">
        <w:rPr>
          <w:rFonts w:ascii="Arial" w:cs="Arial" w:eastAsia="Arial" w:hAnsi="Arial"/>
          <w:color w:val="1f1f1f"/>
          <w:rtl w:val="0"/>
        </w:rPr>
        <w:t xml:space="preserve">: Regular expression verification asserting that mandatory metadata tags (e.g., [Doc ID, Page X]) match retrieved context chunks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Statistical Verification Gate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Automated statistical module running McNemar’s test on binary outcomes and computing </w:t>
      </w:r>
      <w:r w:rsidDel="00000000" w:rsidR="00000000" w:rsidRPr="00000000">
        <w:rPr>
          <w:rFonts w:ascii="Arial" w:cs="Arial" w:eastAsia="Arial" w:hAnsi="Arial"/>
          <w:color w:val="1f1f1f"/>
        </w:rPr>
        <w:drawing>
          <wp:inline distB="19050" distT="19050" distL="19050" distR="19050">
            <wp:extent cx="359212" cy="236927"/>
            <wp:effectExtent b="0" l="0" r="0" t="0"/>
            <wp:docPr id="42"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 bootstrap confidence intervals across pipeline iterations to block regressions before code merges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tight engineering timeline and zero-feedback evaluation constraints, building a </w:t>
      </w:r>
      <w:r w:rsidDel="00000000" w:rsidR="00000000" w:rsidRPr="00000000">
        <w:rPr>
          <w:rFonts w:ascii="Arial" w:cs="Arial" w:eastAsia="Arial" w:hAnsi="Arial"/>
          <w:b w:val="1"/>
          <w:bCs w:val="1"/>
          <w:color w:val="1f1f1f"/>
          <w:rtl w:val="0"/>
        </w:rPr>
        <w:t xml:space="preserve">custom Python test wrapper around DeepEval</w:t>
      </w:r>
      <w:r w:rsidDel="00000000" w:rsidR="00000000" w:rsidRPr="00000000">
        <w:rPr>
          <w:rFonts w:ascii="Arial" w:cs="Arial" w:eastAsia="Arial" w:hAnsi="Arial"/>
          <w:color w:val="1f1f1f"/>
          <w:rtl w:val="0"/>
        </w:rPr>
        <w:t xml:space="preserve"> represents the optimal strategy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DeepEval provides native pytest integration, robust claim-decomposition metrics for evidence faithfulness, and modular assertion structures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However, because off-the-shelf frameworks do not evaluate numerical precision or verify exact citation metadata schemas, the test suite must enclose DeepEval within a lightweight programmatic wrapper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Adding regular expression numerical extraction, dual-tolerance mathematical bounds, and McNemar statistical significance testing delivers an automated, reliable evaluation harness capable of verifying pipeline quality prior to submission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Ragas RAG Evaluation Metrics Complete Guide 2026 - QASkills.sh, </w:t>
      </w:r>
      <w:hyperlink r:id="rId55">
        <w:r w:rsidDel="00000000" w:rsidR="00000000" w:rsidRPr="00000000">
          <w:rPr>
            <w:rFonts w:ascii="Arial" w:cs="Arial" w:eastAsia="Arial" w:hAnsi="Arial"/>
            <w:color w:val="0000ee"/>
            <w:sz w:val="24"/>
            <w:szCs w:val="24"/>
            <w:u w:val="single"/>
            <w:rtl w:val="0"/>
          </w:rPr>
          <w:t xml:space="preserve">https://qaskills.sh/blog/ragas-rag-evaluation-metrics-complete-guide</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Faithfulness - Ragas, </w:t>
      </w:r>
      <w:hyperlink r:id="rId56">
        <w:r w:rsidDel="00000000" w:rsidR="00000000" w:rsidRPr="00000000">
          <w:rPr>
            <w:rFonts w:ascii="Arial" w:cs="Arial" w:eastAsia="Arial" w:hAnsi="Arial"/>
            <w:color w:val="0000ee"/>
            <w:sz w:val="24"/>
            <w:szCs w:val="24"/>
            <w:u w:val="single"/>
            <w:rtl w:val="0"/>
          </w:rPr>
          <w:t xml:space="preserve">https://docs.ragas.io/en/stable/concepts/metrics/available_metrics/faithfulness/</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Arushi-05/LangChainRAGImplementation-Evals - GitHub, </w:t>
      </w:r>
      <w:hyperlink r:id="rId57">
        <w:r w:rsidDel="00000000" w:rsidR="00000000" w:rsidRPr="00000000">
          <w:rPr>
            <w:rFonts w:ascii="Arial" w:cs="Arial" w:eastAsia="Arial" w:hAnsi="Arial"/>
            <w:color w:val="0000ee"/>
            <w:sz w:val="24"/>
            <w:szCs w:val="24"/>
            <w:u w:val="single"/>
            <w:rtl w:val="0"/>
          </w:rPr>
          <w:t xml:space="preserve">https://github.com/Arushi-05/LangChainRAGImplementation-Evals</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Evaluation Frameworks: How to Measure Model Quality (RAGAS, DeepEval, TruLens), </w:t>
      </w:r>
      <w:hyperlink r:id="rId58">
        <w:r w:rsidDel="00000000" w:rsidR="00000000" w:rsidRPr="00000000">
          <w:rPr>
            <w:rFonts w:ascii="Arial" w:cs="Arial" w:eastAsia="Arial" w:hAnsi="Arial"/>
            <w:color w:val="0000ee"/>
            <w:sz w:val="24"/>
            <w:szCs w:val="24"/>
            <w:u w:val="single"/>
            <w:rtl w:val="0"/>
          </w:rPr>
          <w:t xml:space="preserve">https://www.abstractalgorithms.dev/llm-evaluation-frameworks-ragas-deepeval-trulens-1</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 Evaluation Frameworks: RAGAS vs TruLens vs DeepEval - DATASUMI, </w:t>
      </w:r>
      <w:hyperlink r:id="rId59">
        <w:r w:rsidDel="00000000" w:rsidR="00000000" w:rsidRPr="00000000">
          <w:rPr>
            <w:rFonts w:ascii="Arial" w:cs="Arial" w:eastAsia="Arial" w:hAnsi="Arial"/>
            <w:color w:val="0000ee"/>
            <w:sz w:val="24"/>
            <w:szCs w:val="24"/>
            <w:u w:val="single"/>
            <w:rtl w:val="0"/>
          </w:rPr>
          <w:t xml:space="preserve">https://www.datasumi.com/blog/rag-evaluation-frameworks</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Evaluation Frameworks (2026): 7 Compared - MorphLLM, </w:t>
      </w:r>
      <w:hyperlink r:id="rId60">
        <w:r w:rsidDel="00000000" w:rsidR="00000000" w:rsidRPr="00000000">
          <w:rPr>
            <w:rFonts w:ascii="Arial" w:cs="Arial" w:eastAsia="Arial" w:hAnsi="Arial"/>
            <w:color w:val="0000ee"/>
            <w:sz w:val="24"/>
            <w:szCs w:val="24"/>
            <w:u w:val="single"/>
            <w:rtl w:val="0"/>
          </w:rPr>
          <w:t xml:space="preserve">https://www.morphllm.com/ai-agent-evaluation-frameworks</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 Evaluation Tools: Weights &amp; Biases vs Ragas vs DeepEval - AIMultiple, </w:t>
      </w:r>
      <w:hyperlink r:id="rId61">
        <w:r w:rsidDel="00000000" w:rsidR="00000000" w:rsidRPr="00000000">
          <w:rPr>
            <w:rFonts w:ascii="Arial" w:cs="Arial" w:eastAsia="Arial" w:hAnsi="Arial"/>
            <w:color w:val="0000ee"/>
            <w:sz w:val="24"/>
            <w:szCs w:val="24"/>
            <w:u w:val="single"/>
            <w:rtl w:val="0"/>
          </w:rPr>
          <w:t xml:space="preserve">https://aimultiple.com/rag-evaluation-tools</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DeepEval vs Ragas | DeepEval - The LLM Evaluation Framework, </w:t>
      </w:r>
      <w:hyperlink r:id="rId62">
        <w:r w:rsidDel="00000000" w:rsidR="00000000" w:rsidRPr="00000000">
          <w:rPr>
            <w:rFonts w:ascii="Arial" w:cs="Arial" w:eastAsia="Arial" w:hAnsi="Arial"/>
            <w:color w:val="0000ee"/>
            <w:sz w:val="24"/>
            <w:szCs w:val="24"/>
            <w:u w:val="single"/>
            <w:rtl w:val="0"/>
          </w:rPr>
          <w:t xml:space="preserve">https://deepeval.com/blog/deepeval-vs-ragas</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LLM Evaluators for Testing LLM Systems at Scale - Confident AI, </w:t>
      </w:r>
      <w:hyperlink r:id="rId63">
        <w:r w:rsidDel="00000000" w:rsidR="00000000" w:rsidRPr="00000000">
          <w:rPr>
            <w:rFonts w:ascii="Arial" w:cs="Arial" w:eastAsia="Arial" w:hAnsi="Arial"/>
            <w:color w:val="0000ee"/>
            <w:sz w:val="24"/>
            <w:szCs w:val="24"/>
            <w:u w:val="single"/>
            <w:rtl w:val="0"/>
          </w:rPr>
          <w:t xml:space="preserve">https://www.confident-ai.com/blog/top-llm-evaluators-for-testing-llms-at-scale</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Promptfoo alternatives in 2026: Open-source tools and SaaS - Articles - Braintrust, </w:t>
      </w:r>
      <w:hyperlink r:id="rId64">
        <w:r w:rsidDel="00000000" w:rsidR="00000000" w:rsidRPr="00000000">
          <w:rPr>
            <w:rFonts w:ascii="Arial" w:cs="Arial" w:eastAsia="Arial" w:hAnsi="Arial"/>
            <w:color w:val="0000ee"/>
            <w:sz w:val="24"/>
            <w:szCs w:val="24"/>
            <w:u w:val="single"/>
            <w:rtl w:val="0"/>
          </w:rPr>
          <w:t xml:space="preserve">https://www.braintrust.dev/articles/best-promptfoo-alternatives-2026</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RAGe: A Retrieval-Augmented Generation Evaluation Framework - arXiv, </w:t>
      </w:r>
      <w:hyperlink r:id="rId65">
        <w:r w:rsidDel="00000000" w:rsidR="00000000" w:rsidRPr="00000000">
          <w:rPr>
            <w:rFonts w:ascii="Arial" w:cs="Arial" w:eastAsia="Arial" w:hAnsi="Arial"/>
            <w:color w:val="0000ee"/>
            <w:sz w:val="24"/>
            <w:szCs w:val="24"/>
            <w:u w:val="single"/>
            <w:rtl w:val="0"/>
          </w:rPr>
          <w:t xml:space="preserve">https://arxiv.org/html/2605.27445v1</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Decoding LLM Performance: A Guide to Evaluating LLM Applications - Amogh Agastya, </w:t>
      </w:r>
      <w:hyperlink r:id="rId66">
        <w:r w:rsidDel="00000000" w:rsidR="00000000" w:rsidRPr="00000000">
          <w:rPr>
            <w:rFonts w:ascii="Arial" w:cs="Arial" w:eastAsia="Arial" w:hAnsi="Arial"/>
            <w:color w:val="0000ee"/>
            <w:sz w:val="24"/>
            <w:szCs w:val="24"/>
            <w:u w:val="single"/>
            <w:rtl w:val="0"/>
          </w:rPr>
          <w:t xml:space="preserve">https://amagastya.medium.com/decoding-llm-performance-a-guide-to-evaluating-llm-applications-e8d7939cafce</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rotalabs-eval - PyPI, </w:t>
      </w:r>
      <w:hyperlink r:id="rId67">
        <w:r w:rsidDel="00000000" w:rsidR="00000000" w:rsidRPr="00000000">
          <w:rPr>
            <w:rFonts w:ascii="Arial" w:cs="Arial" w:eastAsia="Arial" w:hAnsi="Arial"/>
            <w:color w:val="0000ee"/>
            <w:sz w:val="24"/>
            <w:szCs w:val="24"/>
            <w:u w:val="single"/>
            <w:rtl w:val="0"/>
          </w:rPr>
          <w:t xml:space="preserve">https://pypi.org/project/rotalabs-eval/</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an Evaluation Harness for Production AI Agents: A 12-Metric Framework From 100+ Deployments | Towards Data Science, </w:t>
      </w:r>
      <w:hyperlink r:id="rId68">
        <w:r w:rsidDel="00000000" w:rsidR="00000000" w:rsidRPr="00000000">
          <w:rPr>
            <w:rFonts w:ascii="Arial" w:cs="Arial" w:eastAsia="Arial" w:hAnsi="Arial"/>
            <w:color w:val="0000ee"/>
            <w:sz w:val="24"/>
            <w:szCs w:val="24"/>
            <w:u w:val="single"/>
            <w:rtl w:val="0"/>
          </w:rPr>
          <w:t xml:space="preserve">https://towardsdatascience.com/building-an-evaluation-harness-for-production-ai-agents-a-12-metric-framework-from-100-deployments/</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DeepEval with Langfuse: LLM evaluation guide - Langfuse, </w:t>
      </w:r>
      <w:hyperlink r:id="rId69">
        <w:r w:rsidDel="00000000" w:rsidR="00000000" w:rsidRPr="00000000">
          <w:rPr>
            <w:rFonts w:ascii="Arial" w:cs="Arial" w:eastAsia="Arial" w:hAnsi="Arial"/>
            <w:color w:val="0000ee"/>
            <w:sz w:val="24"/>
            <w:szCs w:val="24"/>
            <w:u w:val="single"/>
            <w:rtl w:val="0"/>
          </w:rPr>
          <w:t xml:space="preserve">https://langfuse.com/resources/engineering/deepeval</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Potential and Perils of Large Language Models as Judges ... - arXiv, </w:t>
      </w:r>
      <w:hyperlink r:id="rId70">
        <w:r w:rsidDel="00000000" w:rsidR="00000000" w:rsidRPr="00000000">
          <w:rPr>
            <w:rFonts w:ascii="Arial" w:cs="Arial" w:eastAsia="Arial" w:hAnsi="Arial"/>
            <w:color w:val="0000ee"/>
            <w:sz w:val="24"/>
            <w:szCs w:val="24"/>
            <w:u w:val="single"/>
            <w:rtl w:val="0"/>
          </w:rPr>
          <w:t xml:space="preserve">https://www.arxiv.org/pdf/2501.08167v1</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FinForge: Semi-Synthetic Financial Benchmark Generation - arXiv, </w:t>
      </w:r>
      <w:hyperlink r:id="rId71">
        <w:r w:rsidDel="00000000" w:rsidR="00000000" w:rsidRPr="00000000">
          <w:rPr>
            <w:rFonts w:ascii="Arial" w:cs="Arial" w:eastAsia="Arial" w:hAnsi="Arial"/>
            <w:color w:val="0000ee"/>
            <w:sz w:val="24"/>
            <w:szCs w:val="24"/>
            <w:u w:val="single"/>
            <w:rtl w:val="0"/>
          </w:rPr>
          <w:t xml:space="preserve">https://arxiv.org/html/2601.06747v1</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Numerical Reasoning for Financial Reports - Takara TLDR, </w:t>
      </w:r>
      <w:hyperlink r:id="rId72">
        <w:r w:rsidDel="00000000" w:rsidR="00000000" w:rsidRPr="00000000">
          <w:rPr>
            <w:rFonts w:ascii="Arial" w:cs="Arial" w:eastAsia="Arial" w:hAnsi="Arial"/>
            <w:color w:val="0000ee"/>
            <w:sz w:val="24"/>
            <w:szCs w:val="24"/>
            <w:u w:val="single"/>
            <w:rtl w:val="0"/>
          </w:rPr>
          <w:t xml:space="preserve">https://tldr.takara.ai/p/2312.14870</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Empirical Evaluation of PDF Parsing and Chunking for, </w:t>
      </w:r>
      <w:hyperlink r:id="rId73">
        <w:r w:rsidDel="00000000" w:rsidR="00000000" w:rsidRPr="00000000">
          <w:rPr>
            <w:rFonts w:ascii="Arial" w:cs="Arial" w:eastAsia="Arial" w:hAnsi="Arial"/>
            <w:color w:val="0000ee"/>
            <w:sz w:val="24"/>
            <w:szCs w:val="24"/>
            <w:u w:val="single"/>
            <w:rtl w:val="0"/>
          </w:rPr>
          <w:t xml:space="preserve">https://www.semanticscholar.org/paper/Empirical-Evaluation-of-PDF-Parsing-and-Chunking-Bachyr-Song/c3c9659e435099cc3f8f94aeab6d0a1c296a6a85</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[2502.15854] Enhancing Domain-Specific Retrieval-Augmented Generation: Synthetic Data Generation and Evaluation using Reasoning Models - arXiv, </w:t>
      </w:r>
      <w:hyperlink r:id="rId74">
        <w:r w:rsidDel="00000000" w:rsidR="00000000" w:rsidRPr="00000000">
          <w:rPr>
            <w:rFonts w:ascii="Arial" w:cs="Arial" w:eastAsia="Arial" w:hAnsi="Arial"/>
            <w:color w:val="0000ee"/>
            <w:sz w:val="24"/>
            <w:szCs w:val="24"/>
            <w:u w:val="single"/>
            <w:rtl w:val="0"/>
          </w:rPr>
          <w:t xml:space="preserve">https://arxiv.org/abs/2502.15854</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McNemar's Test to evaluate Machine Learning Classifiers with Python - Medium, </w:t>
      </w:r>
      <w:hyperlink r:id="rId75">
        <w:r w:rsidDel="00000000" w:rsidR="00000000" w:rsidRPr="00000000">
          <w:rPr>
            <w:rFonts w:ascii="Arial" w:cs="Arial" w:eastAsia="Arial" w:hAnsi="Arial"/>
            <w:color w:val="0000ee"/>
            <w:sz w:val="24"/>
            <w:szCs w:val="24"/>
            <w:u w:val="single"/>
            <w:rtl w:val="0"/>
          </w:rPr>
          <w:t xml:space="preserve">https://medium.com/data-science/mcnemars-test-to-evaluate-machine-learning-classifiers-with-python-9f26191e1a6b</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Evaluation with McNemar's Test | TDS Archive - Medium, </w:t>
      </w:r>
      <w:hyperlink r:id="rId76">
        <w:r w:rsidDel="00000000" w:rsidR="00000000" w:rsidRPr="00000000">
          <w:rPr>
            <w:rFonts w:ascii="Arial" w:cs="Arial" w:eastAsia="Arial" w:hAnsi="Arial"/>
            <w:color w:val="0000ee"/>
            <w:sz w:val="24"/>
            <w:szCs w:val="24"/>
            <w:u w:val="single"/>
            <w:rtl w:val="0"/>
          </w:rPr>
          <w:t xml:space="preserve">https://medium.com/data-science/have-you-ever-evaluated-your-model-in-this-way-a6a599a2f89c</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Domain Fine-Tuning vs. Retrieval-Augmented Generation for Medical Multiple-Choice Question Answering: A Controlled Comparison at the 4B-Parameter Scale - arXiv, </w:t>
      </w:r>
      <w:hyperlink r:id="rId77">
        <w:r w:rsidDel="00000000" w:rsidR="00000000" w:rsidRPr="00000000">
          <w:rPr>
            <w:rFonts w:ascii="Arial" w:cs="Arial" w:eastAsia="Arial" w:hAnsi="Arial"/>
            <w:color w:val="0000ee"/>
            <w:sz w:val="24"/>
            <w:szCs w:val="24"/>
            <w:u w:val="single"/>
            <w:rtl w:val="0"/>
          </w:rPr>
          <w:t xml:space="preserve">https://arxiv.org/html/2604.23801v1</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Generative AI Architecture Integrating Retrieval-Augmented Generation and Low-Rank Adaptation for Knowledge-Intensive Medical Reasoning - MDPI, </w:t>
      </w:r>
      <w:hyperlink r:id="rId78">
        <w:r w:rsidDel="00000000" w:rsidR="00000000" w:rsidRPr="00000000">
          <w:rPr>
            <w:rFonts w:ascii="Arial" w:cs="Arial" w:eastAsia="Arial" w:hAnsi="Arial"/>
            <w:color w:val="0000ee"/>
            <w:sz w:val="24"/>
            <w:szCs w:val="24"/>
            <w:u w:val="single"/>
            <w:rtl w:val="0"/>
          </w:rPr>
          <w:t xml:space="preserve">https://www.mdpi.com/1999-5903/18/6/280</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Calibrating Verbalized Confidence with Self-Generated Distractors - arXiv, </w:t>
      </w:r>
      <w:hyperlink r:id="rId79">
        <w:r w:rsidDel="00000000" w:rsidR="00000000" w:rsidRPr="00000000">
          <w:rPr>
            <w:rFonts w:ascii="Arial" w:cs="Arial" w:eastAsia="Arial" w:hAnsi="Arial"/>
            <w:color w:val="0000ee"/>
            <w:sz w:val="24"/>
            <w:szCs w:val="24"/>
            <w:u w:val="single"/>
            <w:rtl w:val="0"/>
          </w:rPr>
          <w:t xml:space="preserve">https://arxiv.org/html/2509.25532v2</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Calibrating Verbalized Confidence with Self-Generated Distractors - arXiv, </w:t>
      </w:r>
      <w:hyperlink r:id="rId80">
        <w:r w:rsidDel="00000000" w:rsidR="00000000" w:rsidRPr="00000000">
          <w:rPr>
            <w:rFonts w:ascii="Arial" w:cs="Arial" w:eastAsia="Arial" w:hAnsi="Arial"/>
            <w:color w:val="0000ee"/>
            <w:sz w:val="24"/>
            <w:szCs w:val="24"/>
            <w:u w:val="single"/>
            <w:rtl w:val="0"/>
          </w:rPr>
          <w:t xml:space="preserve">https://arxiv.org/html/2509.25532v1</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Wired for Overconfidence: A Mechanistic Perspective on Inflated Verbalized Confidence in LLMs - arXiv, </w:t>
      </w:r>
      <w:hyperlink r:id="rId81">
        <w:r w:rsidDel="00000000" w:rsidR="00000000" w:rsidRPr="00000000">
          <w:rPr>
            <w:rFonts w:ascii="Arial" w:cs="Arial" w:eastAsia="Arial" w:hAnsi="Arial"/>
            <w:color w:val="0000ee"/>
            <w:sz w:val="24"/>
            <w:szCs w:val="24"/>
            <w:u w:val="single"/>
            <w:rtl w:val="0"/>
          </w:rPr>
          <w:t xml:space="preserve">https://arxiv.org/html/2604.01457v1</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Confidence Calibration in LLMs - Emergent Mind, </w:t>
      </w:r>
      <w:hyperlink r:id="rId82">
        <w:r w:rsidDel="00000000" w:rsidR="00000000" w:rsidRPr="00000000">
          <w:rPr>
            <w:rFonts w:ascii="Arial" w:cs="Arial" w:eastAsia="Arial" w:hAnsi="Arial"/>
            <w:color w:val="0000ee"/>
            <w:sz w:val="24"/>
            <w:szCs w:val="24"/>
            <w:u w:val="single"/>
            <w:rtl w:val="0"/>
          </w:rPr>
          <w:t xml:space="preserve">https://www.emergentmind.com/topics/confidence-calibration-in-llms</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Verbalized Confidence Scores for LLMs - arXiv, </w:t>
      </w:r>
      <w:hyperlink r:id="rId83">
        <w:r w:rsidDel="00000000" w:rsidR="00000000" w:rsidRPr="00000000">
          <w:rPr>
            <w:rFonts w:ascii="Arial" w:cs="Arial" w:eastAsia="Arial" w:hAnsi="Arial"/>
            <w:color w:val="0000ee"/>
            <w:sz w:val="24"/>
            <w:szCs w:val="24"/>
            <w:u w:val="single"/>
            <w:rtl w:val="0"/>
          </w:rPr>
          <w:t xml:space="preserve">https://arxiv.org/html/2412.14737v2</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Fact-and-Reflection (FaR) Improves Confidence Calibration of Large Language Models - arXiv, </w:t>
      </w:r>
      <w:hyperlink r:id="rId84">
        <w:r w:rsidDel="00000000" w:rsidR="00000000" w:rsidRPr="00000000">
          <w:rPr>
            <w:rFonts w:ascii="Arial" w:cs="Arial" w:eastAsia="Arial" w:hAnsi="Arial"/>
            <w:color w:val="0000ee"/>
            <w:sz w:val="24"/>
            <w:szCs w:val="24"/>
            <w:u w:val="single"/>
            <w:rtl w:val="0"/>
          </w:rPr>
          <w:t xml:space="preserve">https://arxiv.org/html/2402.17124v2</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ADVICE: Answer-Dependent Verbalized Confidence Estimation - arXiv, </w:t>
      </w:r>
      <w:hyperlink r:id="rId85">
        <w:r w:rsidDel="00000000" w:rsidR="00000000" w:rsidRPr="00000000">
          <w:rPr>
            <w:rFonts w:ascii="Arial" w:cs="Arial" w:eastAsia="Arial" w:hAnsi="Arial"/>
            <w:color w:val="0000ee"/>
            <w:sz w:val="24"/>
            <w:szCs w:val="24"/>
            <w:u w:val="single"/>
            <w:rtl w:val="0"/>
          </w:rPr>
          <w:t xml:space="preserve">https://arxiv.org/html/2510.10913v2</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ConfidenceBench: Evaluating Confidence Calibration in Large Language Models - arXiv, </w:t>
      </w:r>
      <w:hyperlink r:id="rId86">
        <w:r w:rsidDel="00000000" w:rsidR="00000000" w:rsidRPr="00000000">
          <w:rPr>
            <w:rFonts w:ascii="Arial" w:cs="Arial" w:eastAsia="Arial" w:hAnsi="Arial"/>
            <w:color w:val="0000ee"/>
            <w:sz w:val="24"/>
            <w:szCs w:val="24"/>
            <w:u w:val="single"/>
            <w:rtl w:val="0"/>
          </w:rPr>
          <w:t xml:space="preserve">https://arxiv.org/html/2607.20526v1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84" Type="http://schemas.openxmlformats.org/officeDocument/2006/relationships/hyperlink" Target="https://arxiv.org/html/2402.17124v2" TargetMode="External"/><Relationship Id="rId83" Type="http://schemas.openxmlformats.org/officeDocument/2006/relationships/hyperlink" Target="https://arxiv.org/html/2412.14737v2" TargetMode="External"/><Relationship Id="rId42" Type="http://schemas.openxmlformats.org/officeDocument/2006/relationships/image" Target="media/image1.png"/><Relationship Id="rId86" Type="http://schemas.openxmlformats.org/officeDocument/2006/relationships/hyperlink" Target="https://arxiv.org/html/2607.20526v1" TargetMode="External"/><Relationship Id="rId41" Type="http://schemas.openxmlformats.org/officeDocument/2006/relationships/image" Target="media/image7.png"/><Relationship Id="rId85" Type="http://schemas.openxmlformats.org/officeDocument/2006/relationships/hyperlink" Target="https://arxiv.org/html/2510.10913v2" TargetMode="External"/><Relationship Id="rId44" Type="http://schemas.openxmlformats.org/officeDocument/2006/relationships/image" Target="media/image12.png"/><Relationship Id="rId43" Type="http://schemas.openxmlformats.org/officeDocument/2006/relationships/image" Target="media/image13.png"/><Relationship Id="rId46" Type="http://schemas.openxmlformats.org/officeDocument/2006/relationships/image" Target="media/image4.png"/><Relationship Id="rId45" Type="http://schemas.openxmlformats.org/officeDocument/2006/relationships/image" Target="media/image10.png"/><Relationship Id="rId80" Type="http://schemas.openxmlformats.org/officeDocument/2006/relationships/hyperlink" Target="https://arxiv.org/html/2509.25532v1" TargetMode="External"/><Relationship Id="rId82" Type="http://schemas.openxmlformats.org/officeDocument/2006/relationships/hyperlink" Target="https://www.emergentmind.com/topics/confidence-calibration-in-llms" TargetMode="External"/><Relationship Id="rId81" Type="http://schemas.openxmlformats.org/officeDocument/2006/relationships/hyperlink" Target="https://arxiv.org/html/2604.01457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43.png"/><Relationship Id="rId47" Type="http://schemas.openxmlformats.org/officeDocument/2006/relationships/image" Target="media/image18.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3.png"/><Relationship Id="rId8" Type="http://schemas.openxmlformats.org/officeDocument/2006/relationships/image" Target="media/image45.png"/><Relationship Id="rId73" Type="http://schemas.openxmlformats.org/officeDocument/2006/relationships/hyperlink" Target="https://www.semanticscholar.org/paper/Empirical-Evaluation-of-PDF-Parsing-and-Chunking-Bachyr-Song/c3c9659e435099cc3f8f94aeab6d0a1c296a6a85" TargetMode="External"/><Relationship Id="rId72" Type="http://schemas.openxmlformats.org/officeDocument/2006/relationships/hyperlink" Target="https://tldr.takara.ai/p/2312.14870" TargetMode="External"/><Relationship Id="rId31" Type="http://schemas.openxmlformats.org/officeDocument/2006/relationships/image" Target="media/image30.png"/><Relationship Id="rId75" Type="http://schemas.openxmlformats.org/officeDocument/2006/relationships/hyperlink" Target="https://medium.com/data-science/mcnemars-test-to-evaluate-machine-learning-classifiers-with-python-9f26191e1a6b" TargetMode="External"/><Relationship Id="rId30" Type="http://schemas.openxmlformats.org/officeDocument/2006/relationships/image" Target="media/image25.png"/><Relationship Id="rId74" Type="http://schemas.openxmlformats.org/officeDocument/2006/relationships/hyperlink" Target="https://arxiv.org/abs/2502.15854" TargetMode="External"/><Relationship Id="rId33" Type="http://schemas.openxmlformats.org/officeDocument/2006/relationships/image" Target="media/image15.png"/><Relationship Id="rId77" Type="http://schemas.openxmlformats.org/officeDocument/2006/relationships/hyperlink" Target="https://arxiv.org/html/2604.23801v1" TargetMode="External"/><Relationship Id="rId32" Type="http://schemas.openxmlformats.org/officeDocument/2006/relationships/image" Target="media/image19.png"/><Relationship Id="rId76" Type="http://schemas.openxmlformats.org/officeDocument/2006/relationships/hyperlink" Target="https://medium.com/data-science/have-you-ever-evaluated-your-model-in-this-way-a6a599a2f89c" TargetMode="External"/><Relationship Id="rId35" Type="http://schemas.openxmlformats.org/officeDocument/2006/relationships/image" Target="media/image49.png"/><Relationship Id="rId79" Type="http://schemas.openxmlformats.org/officeDocument/2006/relationships/hyperlink" Target="https://arxiv.org/html/2509.25532v2" TargetMode="External"/><Relationship Id="rId34" Type="http://schemas.openxmlformats.org/officeDocument/2006/relationships/image" Target="media/image26.png"/><Relationship Id="rId78" Type="http://schemas.openxmlformats.org/officeDocument/2006/relationships/hyperlink" Target="https://www.mdpi.com/1999-5903/18/6/280" TargetMode="External"/><Relationship Id="rId71" Type="http://schemas.openxmlformats.org/officeDocument/2006/relationships/hyperlink" Target="https://arxiv.org/html/2601.06747v1" TargetMode="External"/><Relationship Id="rId70" Type="http://schemas.openxmlformats.org/officeDocument/2006/relationships/hyperlink" Target="https://www.arxiv.org/pdf/2501.08167v1" TargetMode="External"/><Relationship Id="rId37" Type="http://schemas.openxmlformats.org/officeDocument/2006/relationships/image" Target="media/image17.png"/><Relationship Id="rId36" Type="http://schemas.openxmlformats.org/officeDocument/2006/relationships/image" Target="media/image21.png"/><Relationship Id="rId39" Type="http://schemas.openxmlformats.org/officeDocument/2006/relationships/image" Target="media/image9.png"/><Relationship Id="rId38" Type="http://schemas.openxmlformats.org/officeDocument/2006/relationships/image" Target="media/image6.png"/><Relationship Id="rId62" Type="http://schemas.openxmlformats.org/officeDocument/2006/relationships/hyperlink" Target="https://deepeval.com/blog/deepeval-vs-ragas" TargetMode="External"/><Relationship Id="rId61" Type="http://schemas.openxmlformats.org/officeDocument/2006/relationships/hyperlink" Target="https://aimultiple.com/rag-evaluation-tools" TargetMode="External"/><Relationship Id="rId20" Type="http://schemas.openxmlformats.org/officeDocument/2006/relationships/image" Target="media/image39.png"/><Relationship Id="rId64" Type="http://schemas.openxmlformats.org/officeDocument/2006/relationships/hyperlink" Target="https://www.braintrust.dev/articles/best-promptfoo-alternatives-2026" TargetMode="External"/><Relationship Id="rId63" Type="http://schemas.openxmlformats.org/officeDocument/2006/relationships/hyperlink" Target="https://www.confident-ai.com/blog/top-llm-evaluators-for-testing-llms-at-scale" TargetMode="External"/><Relationship Id="rId22" Type="http://schemas.openxmlformats.org/officeDocument/2006/relationships/image" Target="media/image24.png"/><Relationship Id="rId66" Type="http://schemas.openxmlformats.org/officeDocument/2006/relationships/hyperlink" Target="https://amagastya.medium.com/decoding-llm-performance-a-guide-to-evaluating-llm-applications-e8d7939cafce" TargetMode="External"/><Relationship Id="rId21" Type="http://schemas.openxmlformats.org/officeDocument/2006/relationships/image" Target="media/image5.png"/><Relationship Id="rId65" Type="http://schemas.openxmlformats.org/officeDocument/2006/relationships/hyperlink" Target="https://arxiv.org/html/2605.27445v1" TargetMode="External"/><Relationship Id="rId24" Type="http://schemas.openxmlformats.org/officeDocument/2006/relationships/image" Target="media/image47.png"/><Relationship Id="rId68" Type="http://schemas.openxmlformats.org/officeDocument/2006/relationships/hyperlink" Target="https://towardsdatascience.com/building-an-evaluation-harness-for-production-ai-agents-a-12-metric-framework-from-100-deployments/" TargetMode="External"/><Relationship Id="rId23" Type="http://schemas.openxmlformats.org/officeDocument/2006/relationships/image" Target="media/image48.png"/><Relationship Id="rId67" Type="http://schemas.openxmlformats.org/officeDocument/2006/relationships/hyperlink" Target="https://pypi.org/project/rotalabs-eval/" TargetMode="External"/><Relationship Id="rId60" Type="http://schemas.openxmlformats.org/officeDocument/2006/relationships/hyperlink" Target="https://www.morphllm.com/ai-agent-evaluation-frameworks" TargetMode="External"/><Relationship Id="rId26" Type="http://schemas.openxmlformats.org/officeDocument/2006/relationships/image" Target="media/image11.png"/><Relationship Id="rId25" Type="http://schemas.openxmlformats.org/officeDocument/2006/relationships/image" Target="media/image44.png"/><Relationship Id="rId69" Type="http://schemas.openxmlformats.org/officeDocument/2006/relationships/hyperlink" Target="https://langfuse.com/resources/engineering/deepeval" TargetMode="External"/><Relationship Id="rId28" Type="http://schemas.openxmlformats.org/officeDocument/2006/relationships/image" Target="media/image35.png"/><Relationship Id="rId27" Type="http://schemas.openxmlformats.org/officeDocument/2006/relationships/image" Target="media/image38.png"/><Relationship Id="rId29" Type="http://schemas.openxmlformats.org/officeDocument/2006/relationships/image" Target="media/image20.png"/><Relationship Id="rId51" Type="http://schemas.openxmlformats.org/officeDocument/2006/relationships/image" Target="media/image46.png"/><Relationship Id="rId50" Type="http://schemas.openxmlformats.org/officeDocument/2006/relationships/image" Target="media/image8.png"/><Relationship Id="rId53" Type="http://schemas.openxmlformats.org/officeDocument/2006/relationships/image" Target="media/image14.png"/><Relationship Id="rId52" Type="http://schemas.openxmlformats.org/officeDocument/2006/relationships/image" Target="media/image42.png"/><Relationship Id="rId11" Type="http://schemas.openxmlformats.org/officeDocument/2006/relationships/image" Target="media/image29.png"/><Relationship Id="rId55" Type="http://schemas.openxmlformats.org/officeDocument/2006/relationships/hyperlink" Target="https://qaskills.sh/blog/ragas-rag-evaluation-metrics-complete-guide" TargetMode="External"/><Relationship Id="rId10" Type="http://schemas.openxmlformats.org/officeDocument/2006/relationships/image" Target="media/image22.png"/><Relationship Id="rId54" Type="http://schemas.openxmlformats.org/officeDocument/2006/relationships/image" Target="media/image36.png"/><Relationship Id="rId13" Type="http://schemas.openxmlformats.org/officeDocument/2006/relationships/image" Target="media/image31.png"/><Relationship Id="rId57" Type="http://schemas.openxmlformats.org/officeDocument/2006/relationships/hyperlink" Target="https://github.com/Arushi-05/LangChainRAGImplementation-Evals" TargetMode="External"/><Relationship Id="rId12" Type="http://schemas.openxmlformats.org/officeDocument/2006/relationships/image" Target="media/image27.png"/><Relationship Id="rId56" Type="http://schemas.openxmlformats.org/officeDocument/2006/relationships/hyperlink" Target="https://docs.ragas.io/en/stable/concepts/metrics/available_metrics/faithfulness/" TargetMode="External"/><Relationship Id="rId15" Type="http://schemas.openxmlformats.org/officeDocument/2006/relationships/image" Target="media/image34.png"/><Relationship Id="rId59" Type="http://schemas.openxmlformats.org/officeDocument/2006/relationships/hyperlink" Target="https://www.datasumi.com/blog/rag-evaluation-frameworks" TargetMode="External"/><Relationship Id="rId14" Type="http://schemas.openxmlformats.org/officeDocument/2006/relationships/image" Target="media/image40.png"/><Relationship Id="rId58" Type="http://schemas.openxmlformats.org/officeDocument/2006/relationships/hyperlink" Target="https://www.abstractalgorithms.dev/llm-evaluation-frameworks-ragas-deepeval-trulens-1" TargetMode="External"/><Relationship Id="rId17" Type="http://schemas.openxmlformats.org/officeDocument/2006/relationships/image" Target="media/image33.png"/><Relationship Id="rId16" Type="http://schemas.openxmlformats.org/officeDocument/2006/relationships/image" Target="media/image32.png"/><Relationship Id="rId19" Type="http://schemas.openxmlformats.org/officeDocument/2006/relationships/image" Target="media/image37.png"/><Relationship Id="rId18"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