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Engineering Verifiable RAG Architectures: Structured Output, Claim-Level Citation Grounding, and Automated Faithfulness Verification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high-stakes financial, legal, and regulatory domains, large language model (LLM) outputs must move beyond surface-level plausibility to absolute auditability. When designing an agentic Retrieval-Augmented Generation (RAG) system for financial applications, every claim, numerical deduction, and decision must be deterministically traceable to verified source documents, specific page spans, or transaction records.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How It 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Maturity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Source Link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Constrained Decoding &amp; Structured Schema Enforcement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Enforces JSON output boundaries at token generation time via Pydantic or context-free grammars, binding every claim to explicitly typed citation fields.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Production-Proven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hyperlink r:id="rId6">
              <w:r w:rsidDel="00000000" w:rsidR="00000000" w:rsidRPr="00000000">
                <w:rPr>
                  <w:rFonts w:ascii="Google Sans" w:cs="Google Sans" w:eastAsia="Google Sans" w:hAnsi="Google Sans"/>
                  <w:color w:val="0000ee"/>
                  <w:u w:val="single"/>
                  <w:rtl w:val="0"/>
                </w:rPr>
                <w:t xml:space="preserve">Guardrails AI</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Character &amp; Token Span-Linking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Maps generated assertions directly to exact byte, token, or character offsets (start_char_idx, end_char_idx) in retrieved document nodes.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Production-Proven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hyperlink r:id="rId7">
              <w:r w:rsidDel="00000000" w:rsidR="00000000" w:rsidRPr="00000000">
                <w:rPr>
                  <w:rFonts w:ascii="Google Sans" w:cs="Google Sans" w:eastAsia="Google Sans" w:hAnsi="Google Sans"/>
                  <w:color w:val="0000ee"/>
                  <w:u w:val="single"/>
                  <w:rtl w:val="0"/>
                </w:rPr>
                <w:t xml:space="preserve">LlamaIndex TextNode</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Two-Stage "Citation-Then-Verify" Pipelines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Decouples text generation from citation validation. Generates structured claims first, then passes claim-source pairs through deterministic or NLI verifiers before final response delivery.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Production-Proven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hyperlink r:id="rId8">
              <w:r w:rsidDel="00000000" w:rsidR="00000000" w:rsidRPr="00000000">
                <w:rPr>
                  <w:rFonts w:ascii="Google Sans" w:cs="Google Sans" w:eastAsia="Google Sans" w:hAnsi="Google Sans"/>
                  <w:color w:val="0000ee"/>
                  <w:u w:val="single"/>
                  <w:rtl w:val="0"/>
                </w:rPr>
                <w:t xml:space="preserve">citation-verifier Repo</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NLI-Based Atomic Fact Classifiers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Decomposes generated sentences into atomic propositions and evaluates textual entailment against source context using compact, specialized fine-tuned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Production-Proven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hyperlink r:id="rId9">
              <w:r w:rsidDel="00000000" w:rsidR="00000000" w:rsidRPr="00000000">
                <w:rPr>
                  <w:rFonts w:ascii="Google Sans" w:cs="Google Sans" w:eastAsia="Google Sans" w:hAnsi="Google Sans"/>
                  <w:color w:val="0000ee"/>
                  <w:u w:val="single"/>
                  <w:rtl w:val="0"/>
                </w:rPr>
                <w:t xml:space="preserve">MiniCheck Project</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5,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Chain-of-Thought LLM-as-a-Judge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Uses large fine-tuned evaluation models to generate explicit binary pass/fail decisions along with step-by-step reasoning traces regarding factual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Production-Proven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hyperlink r:id="rId10">
              <w:r w:rsidDel="00000000" w:rsidR="00000000" w:rsidRPr="00000000">
                <w:rPr>
                  <w:rFonts w:ascii="Google Sans" w:cs="Google Sans" w:eastAsia="Google Sans" w:hAnsi="Google Sans"/>
                  <w:color w:val="0000ee"/>
                  <w:u w:val="single"/>
                  <w:rtl w:val="0"/>
                </w:rPr>
                <w:t xml:space="preserve">Patronus Lynx</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7, 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Self-Consistency &amp; Perplexity Confidence Scoring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Evaluates output reliability by measuring token logprobs, semantic variability across sample trajectories, and context agreement without needing ground-truth labels.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Research / Emerging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hyperlink r:id="rId11">
              <w:r w:rsidDel="00000000" w:rsidR="00000000" w:rsidRPr="00000000">
                <w:rPr>
                  <w:rFonts w:ascii="Google Sans" w:cs="Google Sans" w:eastAsia="Google Sans" w:hAnsi="Google Sans"/>
                  <w:color w:val="0000ee"/>
                  <w:u w:val="single"/>
                  <w:rtl w:val="0"/>
                </w:rPr>
                <w:t xml:space="preserve">Cleanlab TLM</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Financial Agent Guardrail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Executes multi-layer validation including schema checks, business rules, concentration/risk limits, and semantic citation grounding.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Production-Proven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hyperlink r:id="rId12">
              <w:r w:rsidDel="00000000" w:rsidR="00000000" w:rsidRPr="00000000">
                <w:rPr>
                  <w:rFonts w:ascii="Google Sans" w:cs="Google Sans" w:eastAsia="Google Sans" w:hAnsi="Google Sans"/>
                  <w:color w:val="0000ee"/>
                  <w:u w:val="single"/>
                  <w:rtl w:val="0"/>
                </w:rPr>
                <w:t xml:space="preserve">VenturFlow Assay</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10]</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Claim-Level Source Attribution Techniques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Achieving verifiable LLM outputs requires strict mechanics to tie every generated claim to its originating source passage. Relying on unconstrained generative text where the model inline-formats citation brackets often yields hallucinated references or mismatched document tags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Modern enterprise systems employ three primary architectural techniques to ensure strict attribution mechanics.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Constrained Decoding and JSON Schema Enforcement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guarantee that an agent outputs a decision alongside its supporting evidence, the LLM's token generation process must be bound to a pre-defined JSON schema using constrained decoding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Frameworks like Guardrails AI, Pydantic, and Outlines enforce schema boundaries at the logits level, preventing the model from emitting a string output that lacks corresponding metadata fields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a structured JSON pipeline, every logical claim is isolated into an array object containing the claim string, target document identifier, page or section reference, and specific transaction or chunk index</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Enforcing structured outputs prevents missing citation fields, though schema enforcement alone ensures syntactic correctness rather than semantic truthfulness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Token and Character Span-Linking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allow human reviewers to audit claims in seconds, systems must go beyond document-level citations by calculating exact character or token offsets (start_char_idx, end_char_idx) within source documents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Frameworks like LlamaIndex implement this through the TextNode schema, where retrieved chunks preserve exact character indexes relative to the original PDF or file stream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ingestion pipeline tags source document text chunks with precise start and end character positions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When the LLM extracts a specific figure (such as net working capital or account balance), the system executes a secondary substring or fuzzy locator over the retrieved TextNode context to resolve the exact character coordinates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Fine-tuned span detectors, such as Qwen3.5-2B, have demonstrated the ability to pinpoint localized character-level hallucinations across structured agent outputs with span-F1 scores reaching 0.689</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enables frontend user interfaces to highlight the precise source text span when a human grader clicks a cited claim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Two-Stage Citation-Then-Verify Pipelines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Production-grade architectures decouple generation from citation checking</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Asking a single LLM call to simultaneously reason through financial logic, construct an answer, and inline-verify its own citations introduces cognitive overload, frequently leading to hallucinated metadata</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a two-stage pipeline, Stage 1 focuses on reasoning and generating candidate claims along with candidate document IDs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Stage 2 isolates each claim-document pair and passes it to a verification engine—either a deterministic string/API matcher or a specialized Natural Language Inference (NLI) model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If Stage 2 flags a claim as unsupported or misattributed, the pipeline triggers a self-correction loop or marks the claim as unverified prior to final JSON assembly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Automated Faithfulness and Groundedness Scoring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a structured JSON payload is transmitted to end users or grading harnesses, it must undergo automated verification to confirm whether a generated claim is strictly supported by the cited source context. Three primary paradigms are deployed for automated groundedness evaluation, each presenting clear tradeoffs in latency, compute, and domain-specific accuracy.</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LLM-as-a-Judge Prompting Patterns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LLM-as-a-Judge architectures leverage large models fine-tuned specifically to evaluate factual consistency using Chain-of-Thought (CoT) reasoning</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Models such as Patronus Lynx (available in 8B and 70B parameter variants fine-tuned from Llama-3) analyze the input question, retrieved context document, and generated answer to emit explicit reasoning steps followed by a binary pass or fail verdict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Patronus Lynx 70B achieves strong performance on complex multi-hop reasoning tasks, outperforming general-purpose models like GPT-3.5 by 29% across diverse hallucination benchmarks such as HaluBench</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However, judge models incur higher token costs and latency, making them best suited for asynchronous evaluation or high-stakes final validation steps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Natural Language Inference Models and Specialized Classifiers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NLI models reframe faithfulness evaluation as a premise-hypothesis entailment task, determining whether a source text premise logically entails a generated claim hypothesis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MiniCheck</w:t>
      </w:r>
      <w:r w:rsidDel="00000000" w:rsidR="00000000" w:rsidRPr="00000000">
        <w:rPr>
          <w:rFonts w:ascii="Google Sans" w:cs="Google Sans" w:eastAsia="Google Sans" w:hAnsi="Google Sans"/>
          <w:rtl w:val="0"/>
        </w:rPr>
        <w:t xml:space="preserve">: Introduced by Tang et al. (EMNLP 2024), MiniCheck synthesizes training data to train compact models specifically for grounding detection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MiniCheck-FT5 model (770M parameters) matches GPT-4 accuracy on the LLM-AggreFact benchmark while offering faster execution and lower resource requirements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Bespoke-Minicheck-7B</w:t>
      </w:r>
      <w:r w:rsidDel="00000000" w:rsidR="00000000" w:rsidRPr="00000000">
        <w:rPr>
          <w:rFonts w:ascii="Google Sans" w:cs="Google Sans" w:eastAsia="Google Sans" w:hAnsi="Google Sans"/>
          <w:rtl w:val="0"/>
        </w:rPr>
        <w:t xml:space="preserve">: Optimized for short-context claim verification, this model excels at sentence-level atomic fact checking but can experience reduced performance on long, unstructured multi-page contexts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Qwen3.5-2B Span Detectors</w:t>
      </w:r>
      <w:r w:rsidDel="00000000" w:rsidR="00000000" w:rsidRPr="00000000">
        <w:rPr>
          <w:rFonts w:ascii="Google Sans" w:cs="Google Sans" w:eastAsia="Google Sans" w:hAnsi="Google Sans"/>
          <w:rtl w:val="0"/>
        </w:rPr>
        <w:t xml:space="preserve">: Recent fine-tuned small language models trained with Hallucination Self-Play (HSP) reach a 0.689 span-F1 score on structured and code-agent benchmarks, significantly outperforming broader zero-shot LLM judges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Probabilistic Confidence and Self-Consistency Models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Cleanlab’s Trustworthy Language Model (TLM) evaluates response reliability without requiring explicit gold-standard annotations or separate judge prompts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TLM measures token-level log probabilities, model self-consistency across sampled inference paths, and context-agreement scores to calculate an overall trustworthiness index</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Frameworks like llm-as-a-verifier similarly utilize logprob distributions across score tokens to execute Probabilistic Pivot Tournaments, achieving high evaluation accuracy across agentic trajectories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Benchmark Performance on Financial and Legal Texts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Evaluating these methods on financial datasets such as FinanceBench (10-K filings, balance sheets) and FinQA (arithmetic reasoning over financial statements) reveals significant performance disparities across evaluation frameworks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Evaluation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Financial / Legal Benchmark 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Operational Tradeoffs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Cleanlab TLM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Highest Precision/Recall and AUROC on FinanceBench and FinQA</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Reference-free; detects subtle numerical/tabular errors effectively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LLM-as-a-Judge (GPT-4o)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Precision/Recall on complex financial QA</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Strong reasoning over dense context; higher API latency and cost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Patronus Lynx 70B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Outperforms GPT-3.5 by 29% on HaluBench</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moderate on pure numeric tables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Generates explainable CoT reasoning traces; fine-tuned for RAG</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MiniCheck-7B / FT5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Outperforms models of similar size on LLM-AggreFact</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excellent on short contexts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latency (770M/7B); struggles with dense, multi-page financial filings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RAGAS Faithfulness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Failed to generate scores for 83.5% of FinanceBench samples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Fails when answer statements are isolated numbers rather than full sentences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Financial Table and Numerical Sensitivity represents a critical differentiator. On FinanceBench and FinQA, Cleanlab TLM and LLM-as-a-Judge powered by GPT-4o consistently achieve the highest AUROC precision and recall</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Because financial answers often consist of single monetary values or precise percentages, custom fine-tuned NLI models and specialized open-source judge models frequently struggle to parse tabular context without explicit arithmetic step-by-step traces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RAGAS Faithfulness metrics struggle when evaluating single numerical answers common in banking domains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In empirical testing on FinanceBench, default RAGAS Faithfulness failed to output a valid score for 83.5% of test samples because its internal statement-extraction step failed to convert isolated numeric values (such as "$2,850.00") into complete testable sentences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Furthermore, sentence-based detectors like MiniCheck excel at localized, short-context sentence verification, whereas models fine-tuned on long contexts (such as Patronus Lynx 70B) perform better when verifying long-form summaries against dense 10-K filings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Graceful Degradation and Failure Handling in Production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high-stakes banking workflows, an unsupported or hallucinated claim cannot be allowed to ship silently. System architectures must implement deterministic fallback and graceful degradation strategies when the agent cannot locate sufficient evidence to verify a claim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Explicit Flagging versus Refusal Taxonomies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Production financial AI systems enforce a tri-state output logic rather than binary true or false classifications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a status of VERIFIED is assigned when the claim is directly supported by the cited source passage, meeting all quote fidelity and NLI entailment thresholds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 a status of UNSUPPORTED or LOW_CONFIDENCE is applied when the claim represents a plausible deduction, but exact character-level alignment or NLI verification yields a score below accepted limits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claim is included in the JSON payload but explicitly tagged with an actionable warning flag and reason code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Frameworks like cite-verify and citation-verifier utilize explicit status codes such as VERIFIED_PARTIAL, WRONG_CASE, VERIFICATION_INCOMPLETE, or INSUFFICIENT_DATA to convey exact diagnostic state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Third, a status of INSUFFICIENT_DATA or REFUSED is triggered when the underlying documents do not contain information to answer the query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system halts execution of that sub-task, declines to state a factual number, and outputs a structured refusal payload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Policy-As-Code and Execution Gates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Frameworks such as VenturFlow Assay implement explicit policy gates (ToolGate, TrajectoryValidator) that sit between the agent's generative layer and downstream API execution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If an agent makes a financial claim or attempts an automated wire or trade based on context where citation grounding confidence falls below strict limits, the system blocks the action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workflow transitions to a Human-in-the-Loop (HITL) approval queue, passing the structured decision ledger, low-confidence flags, and raw context directly to a human auditor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Open-Source Cite-and-Verify Frameworks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Several open-source projects provide functional codebases for validating citations, verifying quote fidelity, and preventing factual drift in structured outputs.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Framework /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Domain &amp; Core 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Verification Mechanics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rlfordon/citation-verifier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Legal tech (court dockets)</w:t>
            </w:r>
            <w:r w:rsidDel="00000000" w:rsidR="00000000" w:rsidRPr="00000000">
              <w:rPr>
                <w:rFonts w:ascii="Google Sans" w:cs="Google Sans" w:eastAsia="Google Sans" w:hAnsi="Google Sans"/>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API lookup against CourtListener, rule-based case matching, fuzzy quote fidelity checks, and LLM proposition verification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jonckr/cite-verify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Academic / Bibliographic</w:t>
            </w:r>
            <w:r w:rsidDel="00000000" w:rsidR="00000000" w:rsidRPr="00000000">
              <w:rPr>
                <w:rFonts w:ascii="Google Sans" w:cs="Google Sans" w:eastAsia="Google Sans" w:hAnsi="Google Sans"/>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Claude Code skill verifying references against Crossref canonical metadata using blended F1 title similarity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markrussinovich/refchecker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Multi-source scholarly papers</w:t>
            </w:r>
            <w:r w:rsidDel="00000000" w:rsidR="00000000" w:rsidRPr="00000000">
              <w:rPr>
                <w:rFonts w:ascii="Google Sans" w:cs="Google Sans" w:eastAsia="Google Sans" w:hAnsi="Google Sans"/>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Cascade extraction (regex/GROBID/LLM) cross-checked against Semantic Scholar, OpenAlex, Crossref, and DBLP with citation context extraction</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guardrails-ai/guardrails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Structured data generation</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Pydantic model validation with Hub validators like ProvenanceLLM and ProvenanceEmbeddings for factual entailment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VenturFlow/Assay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Financial agent workflows</w:t>
            </w:r>
            <w:r w:rsidDel="00000000" w:rsidR="00000000" w:rsidRPr="00000000">
              <w:rPr>
                <w:rFonts w:ascii="Google Sans" w:cs="Google Sans" w:eastAsia="Google Sans" w:hAnsi="Google Sans"/>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5-layer validation suite: Pydantic schema, business rules, risk limits, firm BYOD, and semantic citation grounding</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KathCYM/CiteGuard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Scientific citation attribution</w:t>
            </w:r>
            <w:r w:rsidDel="00000000" w:rsidR="00000000" w:rsidRPr="00000000">
              <w:rPr>
                <w:rFonts w:ascii="Google Sans" w:cs="Google Sans" w:eastAsia="Google Sans" w:hAnsi="Google Sans"/>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Retrieval-aware agent framework evaluating citation attribution alignment against human author reference baselines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kau10082/slide-verify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Healthcare &amp; Medical slides</w:t>
            </w:r>
            <w:r w:rsidDel="00000000" w:rsidR="00000000" w:rsidRPr="00000000">
              <w:rPr>
                <w:rFonts w:ascii="Google Sans" w:cs="Google Sans" w:eastAsia="Google Sans" w:hAnsi="Google Sans"/>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Claude skill fact-checking medical slide decks against PubMed abstracts to verify numeric claims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llm-as-a-verifier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Multi-domain agent evaluation</w:t>
            </w:r>
            <w:r w:rsidDel="00000000" w:rsidR="00000000" w:rsidRPr="00000000">
              <w:rPr>
                <w:rFonts w:ascii="Google Sans" w:cs="Google Sans" w:eastAsia="Google Sans" w:hAnsi="Google Sans"/>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Fine-grained logprob expectation framework using Probabilistic Pivot Tournaments over score token distributions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operational workflows of these repositories demonstrate how deterministic and neural verification layers are combined in practice. For instance, rlfordon/citation-verifier first runs a fast, zero-token deterministic check against API databases to confirm document existence and party names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Only after document resolution succeeds does it invoke a hybrid proposition verifier that combines fuzzy string matching for quote fidelity with targeted LLM calls for claim support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Similarly, VenturFlow/Assay wraps agent outputs in financial workflows with multi-layer checks, validating structural JSON constraints, applying firm-specific restricted security watchlists, and enforcing citation grounding before allowing downstream tool execution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Structured Data Schemas for Decision and Evidence Chains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Representing a financial decision alongside its full audit trail requires a structured schema that explicitly links claims, confidence metrics, and context coordinates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structural shapes below illustrate standard real-world formats for representing explainable decision-evidence chains.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Decision and Evidence Chain Submission Schema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structural JSON schema represents a submission payload where every factual statement is backed by array-bound citation references and character offsets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JSON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"$schema": "https://json-schema.org/draft/2020-12/schema",</w:t>
        <w:br w:type="textWrapping"/>
        <w:t xml:space="preserve">  "title": "BankingDecisionSubmission",</w:t>
        <w:br w:type="textWrapping"/>
        <w:t xml:space="preserve">  "type": "object",</w:t>
        <w:br w:type="textWrapping"/>
        <w:t xml:space="preserve">  "required": ["submission_id", "decision", "confidence_score", "claims_ledger"],</w:t>
        <w:br w:type="textWrapping"/>
        <w:t xml:space="preserve">  "properties": {</w:t>
        <w:br w:type="textWrapping"/>
        <w:t xml:space="preserve">    "submission_id": { "type": "string" },</w:t>
        <w:br w:type="textWrapping"/>
        <w:t xml:space="preserve">    "decision": {</w:t>
        <w:br w:type="textWrapping"/>
        <w:t xml:space="preserve">      "type": "string",</w:t>
        <w:br w:type="textWrapping"/>
        <w:t xml:space="preserve">      "enum": ["APPROVED", "DENIED", "FLAGGED_FOR_REVIEW", "INSUFFICIENT_DATA"]</w:t>
        <w:br w:type="textWrapping"/>
        <w:t xml:space="preserve">    },</w:t>
        <w:br w:type="textWrapping"/>
        <w:t xml:space="preserve">    "confidence_score": { "type": "number", "minimum": 0.0, "maximum": 1.0 },</w:t>
        <w:br w:type="textWrapping"/>
        <w:t xml:space="preserve">    "claims_ledger": {</w:t>
        <w:br w:type="textWrapping"/>
        <w:t xml:space="preserve">      "type": "array",</w:t>
        <w:br w:type="textWrapping"/>
        <w:t xml:space="preserve">      "items": {</w:t>
        <w:br w:type="textWrapping"/>
        <w:t xml:space="preserve">        "type": "object",</w:t>
        <w:br w:type="textWrapping"/>
        <w:t xml:space="preserve">        "required": ["claim_id", "statement", "verification_status", "citations"],</w:t>
        <w:br w:type="textWrapping"/>
        <w:t xml:space="preserve">        "properties": {</w:t>
        <w:br w:type="textWrapping"/>
        <w:t xml:space="preserve">          "claim_id": { "type": "string" },</w:t>
        <w:br w:type="textWrapping"/>
        <w:t xml:space="preserve">          "statement": { "type": "string" },</w:t>
        <w:br w:type="textWrapping"/>
        <w:t xml:space="preserve">          "verification_status": {</w:t>
        <w:br w:type="textWrapping"/>
        <w:t xml:space="preserve">            "type": "string",</w:t>
        <w:br w:type="textWrapping"/>
        <w:t xml:space="preserve">            "enum": ["VERIFIED", "VERIFIED_PARTIAL", "UNSUPPORTED", "WRONG_SOURCE"]</w:t>
        <w:br w:type="textWrapping"/>
        <w:t xml:space="preserve">          },</w:t>
        <w:br w:type="textWrapping"/>
        <w:t xml:space="preserve">          "confidence_tier": { "type": "string", "enum": ["HIGH", "MEDIUM", "LOW"] },</w:t>
        <w:br w:type="textWrapping"/>
        <w:t xml:space="preserve">          "citations": {</w:t>
        <w:br w:type="textWrapping"/>
        <w:t xml:space="preserve">            "type": "array",</w:t>
        <w:br w:type="textWrapping"/>
        <w:t xml:space="preserve">            "items": {</w:t>
        <w:br w:type="textWrapping"/>
        <w:t xml:space="preserve">              "type": "object",</w:t>
        <w:br w:type="textWrapping"/>
        <w:t xml:space="preserve">              "required": ["document_id", "source_type"],</w:t>
        <w:br w:type="textWrapping"/>
        <w:t xml:space="preserve">              "properties": {</w:t>
        <w:br w:type="textWrapping"/>
        <w:t xml:space="preserve">                "document_id": { "type": "string" },</w:t>
        <w:br w:type="textWrapping"/>
        <w:t xml:space="preserve">                "source_type": { "type": "string", "enum": ["SEC_FILING", "TRANSACTION_LOG", "INTERNAL_POLICY"] },</w:t>
        <w:br w:type="textWrapping"/>
        <w:t xml:space="preserve">                "page_number": { "type": "integer" },</w:t>
        <w:br w:type="textWrapping"/>
        <w:t xml:space="preserve">                "section_title": { "type": "string" },</w:t>
        <w:br w:type="textWrapping"/>
        <w:t xml:space="preserve">                "transaction_id": { "type": "string" },</w:t>
        <w:br w:type="textWrapping"/>
        <w:t xml:space="preserve">                "exact_quote": { "type": "string" },</w:t>
        <w:br w:type="textWrapping"/>
        <w:t xml:space="preserve">                "start_char_idx": { "type": "integer" },</w:t>
        <w:br w:type="textWrapping"/>
        <w:t xml:space="preserve">                "end_char_idx": { "type": "integer"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 Node Span Provenance Schema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schema format reflects the structural shape used in node-indexing frameworks such as LlamaIndex TextNode objects to maintain exact provenance metadata prior to JSON response construction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JSON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"node_id": "chunk_doc_90124_p12",</w:t>
        <w:br w:type="textWrapping"/>
        <w:t xml:space="preserve">  "text": "Net working capital for FY2023 was $4,837 million compared to $2,298 million in FY2022.",</w:t>
        <w:br w:type="textWrapping"/>
        <w:t xml:space="preserve">  "start_char_idx": 1420,</w:t>
        <w:br w:type="textWrapping"/>
        <w:t xml:space="preserve">  "end_char_idx": 1508,</w:t>
        <w:br w:type="textWrapping"/>
        <w:t xml:space="preserve">  "metadata": {</w:t>
        <w:br w:type="textWrapping"/>
        <w:t xml:space="preserve">    "document_name": "Kraft_Heinz_2023_10K.pdf",</w:t>
        <w:br w:type="textWrapping"/>
        <w:t xml:space="preserve">    "document_id": "DOC_KH_2023",</w:t>
        <w:br w:type="textWrapping"/>
        <w:t xml:space="preserve">    "page_number": 12,</w:t>
        <w:br w:type="textWrapping"/>
        <w:t xml:space="preserve">    "section_path": "Consolidated Financial Statements &gt; Balance Sheets",</w:t>
        <w:br w:type="textWrapping"/>
        <w:t xml:space="preserve">    "file_hash_sha256": "e3b0c44298fc1c149afbf4c8996fb92427ae41e4649b934ca495991b7852b855"</w:t>
        <w:br w:type="textWrapping"/>
        <w:t xml:space="preserve">  }</w:t>
        <w:br w:type="textWrapping"/>
        <w:t xml:space="preserve">}</w:t>
        <w:br w:type="textWrapping"/>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Mitigating Misattributed and Misleading Valid Citations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frequent and challenging failure mode in RAG engineering occurs when an LLM outputs a citation that appears structurally perfect and points to a real document and page number, but the underlying text at that location does not actually support the generated claim</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For instance, an agent might cite "SEC Form 10-K, Page 42" for a revenue figure of $4.8B, where Page 42 exists in the document but discusses operating expenses or mentions a completely different dollar amount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Systems catch valid-looking misattributions by deploying a three-step validation pipeline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deterministic metadata and identifier matching is performed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Reference checking systems verify canonical metadata against external databases or internal indices before evaluating semantic content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Projects like cite-verify calculate a blended F1 title similarity score to detect cases where an LLM pairs a real working paper number or DOI with a fabricated paper title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In legal dockets, citation-verifier queries CourtListener APIs to confirm that reporter numbers belong to the cited case caption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 exact and fuzzy quote fidelity matching is executed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When an LLM claims that a specific sentence or table supports an assertion, the verifier extracts the exact_quote string provided in the output and runs a fuzzy string alignment (such as Token Sort Ratio or Levenshtein Distance) against the raw source text stored at the target start_char_idx and end_char_idx</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If quote similarity falls below 85%, the citation is flagged for mismatch</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Third, span-isolated NLI verification is applied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system extracts the localized text chunk corresponding strictly to the cited page or section and inputs only that isolated chunk as premise alongside the extracted atomic claim as hypothesis into an NLI verifier like MiniCheck-FT5 or Patronus Lynx</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Evaluating the claim against the specific cited span—rather than the full global document context—prevents the model from marking a claim as verified simply because the statement appeared elsewhere on a different page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Engineering teams test these verification layers using specialized adversarial evaluation harnesses with injected localized hallucinations, such as swapped numbers or altered entity names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Recommendation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immediate implementation in high-stakes banking and financial RAG workflows, engineering teams should adopt a decoupled, two-stage "cite-and-verify" pipeline architecture. Generative LLMs should be bound strictly via Pydantic schema enforcement (using Guardrails AI or OpenAI Structured Outputs) to emit structured decision payloads where every numerical statement or factual claim is isolated into an array containing explicit document IDs, section labels, and character offsets (start_char_idx, end_char_idx) derived from LlamaIndex TextNode objects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Before final JSON payload delivery, every claim-citation pair must pass through an automated verification gate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For numerical and financial table assertions, teams should employ Cleanlab TLM or LLM-as-a-Judge calls (using Patronus Lynx 70B or GPT-4o) to verify exact figure alignment, avoiding basic sentence-decomposition metrics that frequently fail on short numeric outputs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For standard text claims, a compact NLI model like MiniCheck-FT5 (770M) should execute localized entailment checks against the cited text span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Any claim failing exact quote fidelity or NLI entailment must automatically degrade to an explicit UNSUPPORTED flag or trigger an INSUFFICIENT_DATA tri-state status, ensuring human graders can instantly inspect verified claims while safely filtering out hallucinated or misattributed source references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guardrails-ai - PyPI, </w:t>
      </w:r>
      <w:hyperlink r:id="rId13">
        <w:r w:rsidDel="00000000" w:rsidR="00000000" w:rsidRPr="00000000">
          <w:rPr>
            <w:rFonts w:ascii="Google Sans" w:cs="Google Sans" w:eastAsia="Google Sans" w:hAnsi="Google Sans"/>
            <w:color w:val="0000ee"/>
            <w:sz w:val="24"/>
            <w:szCs w:val="24"/>
            <w:u w:val="single"/>
            <w:rtl w:val="0"/>
          </w:rPr>
          <w:t xml:space="preserve">https://pypi.org/project/guardrails-ai/</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Guardrails AI 0.2.0 - My Framer Site, </w:t>
      </w:r>
      <w:hyperlink r:id="rId14">
        <w:r w:rsidDel="00000000" w:rsidR="00000000" w:rsidRPr="00000000">
          <w:rPr>
            <w:rFonts w:ascii="Google Sans" w:cs="Google Sans" w:eastAsia="Google Sans" w:hAnsi="Google Sans"/>
            <w:color w:val="0000ee"/>
            <w:sz w:val="24"/>
            <w:szCs w:val="24"/>
            <w:u w:val="single"/>
            <w:rtl w:val="0"/>
          </w:rPr>
          <w:t xml:space="preserve">https://guardrailsai.com/blog/0.2.0-release</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TextNode - LlamaIndex v0.10.10, </w:t>
      </w:r>
      <w:hyperlink r:id="rId15">
        <w:r w:rsidDel="00000000" w:rsidR="00000000" w:rsidRPr="00000000">
          <w:rPr>
            <w:rFonts w:ascii="Google Sans" w:cs="Google Sans" w:eastAsia="Google Sans" w:hAnsi="Google Sans"/>
            <w:color w:val="0000ee"/>
            <w:sz w:val="24"/>
            <w:szCs w:val="24"/>
            <w:u w:val="single"/>
            <w:rtl w:val="0"/>
          </w:rPr>
          <w:t xml:space="preserve">https://llamaindexxx.readthedocs.io/en/latest/api/llama_index.core.schema.TextNode.html</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rlfordon/citation-verifier - GitHub, </w:t>
      </w:r>
      <w:hyperlink r:id="rId16">
        <w:r w:rsidDel="00000000" w:rsidR="00000000" w:rsidRPr="00000000">
          <w:rPr>
            <w:rFonts w:ascii="Google Sans" w:cs="Google Sans" w:eastAsia="Google Sans" w:hAnsi="Google Sans"/>
            <w:color w:val="0000ee"/>
            <w:sz w:val="24"/>
            <w:szCs w:val="24"/>
            <w:u w:val="single"/>
            <w:rtl w:val="0"/>
          </w:rPr>
          <w:t xml:space="preserve">https://github.com/rlfordon/citation-verifier</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MiniCheck: Efficient Fact-Checking of LLMs on Grounding Documents | Request PDF,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https://www.researchgate.net/publication/386205259_MiniCheck_Efficient_Fact-Checking_of_LLMs_on_Grounding_Documents</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[2404.10774] MiniCheck: Efficient Fact-Checking of LLMs on Grounding Documents - arXiv, </w:t>
      </w:r>
      <w:hyperlink r:id="rId18">
        <w:r w:rsidDel="00000000" w:rsidR="00000000" w:rsidRPr="00000000">
          <w:rPr>
            <w:rFonts w:ascii="Google Sans" w:cs="Google Sans" w:eastAsia="Google Sans" w:hAnsi="Google Sans"/>
            <w:color w:val="0000ee"/>
            <w:sz w:val="24"/>
            <w:szCs w:val="24"/>
            <w:u w:val="single"/>
            <w:rtl w:val="0"/>
          </w:rPr>
          <w:t xml:space="preserve">https://arxiv.org/abs/2404.10774</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Evaluation Models for RAG: Who Detects Hallucinations Best? - Cleanlab, </w:t>
      </w:r>
      <w:hyperlink r:id="rId19">
        <w:r w:rsidDel="00000000" w:rsidR="00000000" w:rsidRPr="00000000">
          <w:rPr>
            <w:rFonts w:ascii="Google Sans" w:cs="Google Sans" w:eastAsia="Google Sans" w:hAnsi="Google Sans"/>
            <w:color w:val="0000ee"/>
            <w:sz w:val="24"/>
            <w:szCs w:val="24"/>
            <w:u w:val="single"/>
            <w:rtl w:val="0"/>
          </w:rPr>
          <w:t xml:space="preserve">https://cleanlab.ai/blog/rag-evaluation-models/</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Lynx: State-of-the-Art Open Source Hallucination Detection Model - Patronus AI, </w:t>
      </w:r>
      <w:hyperlink r:id="rId20">
        <w:r w:rsidDel="00000000" w:rsidR="00000000" w:rsidRPr="00000000">
          <w:rPr>
            <w:rFonts w:ascii="Google Sans" w:cs="Google Sans" w:eastAsia="Google Sans" w:hAnsi="Google Sans"/>
            <w:color w:val="0000ee"/>
            <w:sz w:val="24"/>
            <w:szCs w:val="24"/>
            <w:u w:val="single"/>
            <w:rtl w:val="0"/>
          </w:rPr>
          <w:t xml:space="preserve">https://www.patronus.ai/blog/lynx-state-of-the-art-open-source-hallucination-detection-model</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Evaluation Models for RAG: Who Detects Hallucinations Best? - ResearchGate,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https://www.researchgate.net/publication/390247766_Real-Time_Evaluation_Models_for_RAG_Who_Detects_Hallucinations_Best</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VenturFlow/Assay - GitHub, </w:t>
      </w:r>
      <w:hyperlink r:id="rId22">
        <w:r w:rsidDel="00000000" w:rsidR="00000000" w:rsidRPr="00000000">
          <w:rPr>
            <w:rFonts w:ascii="Google Sans" w:cs="Google Sans" w:eastAsia="Google Sans" w:hAnsi="Google Sans"/>
            <w:color w:val="0000ee"/>
            <w:sz w:val="24"/>
            <w:szCs w:val="24"/>
            <w:u w:val="single"/>
            <w:rtl w:val="0"/>
          </w:rPr>
          <w:t xml:space="preserve">https://github.com/VenturFlow/Assay</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jonckr/cite-verify: Catch LLM-hallucinated bibliography citations via Crossref canonical metadata lookup. Applies the Ludwig-Mullainathan-Rambachan (2025) validation principle to academic bibliographies. - GitHub, </w:t>
      </w:r>
      <w:hyperlink r:id="rId23">
        <w:r w:rsidDel="00000000" w:rsidR="00000000" w:rsidRPr="00000000">
          <w:rPr>
            <w:rFonts w:ascii="Google Sans" w:cs="Google Sans" w:eastAsia="Google Sans" w:hAnsi="Google Sans"/>
            <w:color w:val="0000ee"/>
            <w:sz w:val="24"/>
            <w:szCs w:val="24"/>
            <w:u w:val="single"/>
            <w:rtl w:val="0"/>
          </w:rPr>
          <w:t xml:space="preserve">https://github.com/jonckr/cite-verify</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Request]: Number citations sequentially in the CitationQueryEngine. · Issue #7299 · run-llama/llama_index - GitHub, </w:t>
      </w:r>
      <w:hyperlink r:id="rId24">
        <w:r w:rsidDel="00000000" w:rsidR="00000000" w:rsidRPr="00000000">
          <w:rPr>
            <w:rFonts w:ascii="Google Sans" w:cs="Google Sans" w:eastAsia="Google Sans" w:hAnsi="Google Sans"/>
            <w:color w:val="0000ee"/>
            <w:sz w:val="24"/>
            <w:szCs w:val="24"/>
            <w:u w:val="single"/>
            <w:rtl w:val="0"/>
          </w:rPr>
          <w:t xml:space="preserve">https://github.com/run-llama/llama_index/issues/7299</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Cranot/agi-in-md: Cognitive prisms for structural analysis — any domain, any model. 1000+ experiments, 58 prisms, 27 scan modes. The cheapest model + right prism beats the most expensive without one. Cross-architecture validated: Claude + Gemini converge on the same structural laws., </w:t>
      </w:r>
      <w:hyperlink r:id="rId25">
        <w:r w:rsidDel="00000000" w:rsidR="00000000" w:rsidRPr="00000000">
          <w:rPr>
            <w:rFonts w:ascii="Google Sans" w:cs="Google Sans" w:eastAsia="Google Sans" w:hAnsi="Google Sans"/>
            <w:color w:val="0000ee"/>
            <w:sz w:val="24"/>
            <w:szCs w:val="24"/>
            <w:u w:val="single"/>
            <w:rtl w:val="0"/>
          </w:rPr>
          <w:t xml:space="preserve">https://github.com/Cranot/agi-in-md</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quotientai/HalluMix · Datasets at Hugging Face, </w:t>
      </w:r>
      <w:hyperlink r:id="rId26">
        <w:r w:rsidDel="00000000" w:rsidR="00000000" w:rsidRPr="00000000">
          <w:rPr>
            <w:rFonts w:ascii="Google Sans" w:cs="Google Sans" w:eastAsia="Google Sans" w:hAnsi="Google Sans"/>
            <w:color w:val="0000ee"/>
            <w:sz w:val="24"/>
            <w:szCs w:val="24"/>
            <w:u w:val="single"/>
            <w:rtl w:val="0"/>
          </w:rPr>
          <w:t xml:space="preserve">https://huggingface.co/datasets/quotientai/HalluMix</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Hallucination Detection Methods in RAG - Cleanlab, </w:t>
      </w:r>
      <w:hyperlink r:id="rId27">
        <w:r w:rsidDel="00000000" w:rsidR="00000000" w:rsidRPr="00000000">
          <w:rPr>
            <w:rFonts w:ascii="Google Sans" w:cs="Google Sans" w:eastAsia="Google Sans" w:hAnsi="Google Sans"/>
            <w:color w:val="0000ee"/>
            <w:sz w:val="24"/>
            <w:szCs w:val="24"/>
            <w:u w:val="single"/>
            <w:rtl w:val="0"/>
          </w:rPr>
          <w:t xml:space="preserve">https://cleanlab.ai/blog/rag-tlm-hallucination-benchmarking/</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LLM-as-a-Verifier is a general-purpose framework that provides fine-grained feedback for any agent without requiring additional training. It achieves SOTA performance across coding, robotics, and medical agentic benchmarks. · GitHub, </w:t>
      </w:r>
      <w:hyperlink r:id="rId28">
        <w:r w:rsidDel="00000000" w:rsidR="00000000" w:rsidRPr="00000000">
          <w:rPr>
            <w:rFonts w:ascii="Google Sans" w:cs="Google Sans" w:eastAsia="Google Sans" w:hAnsi="Google Sans"/>
            <w:color w:val="0000ee"/>
            <w:sz w:val="24"/>
            <w:szCs w:val="24"/>
            <w:u w:val="single"/>
            <w:rtl w:val="0"/>
          </w:rPr>
          <w:t xml:space="preserve">https://github.com/llm-as-a-verifier/llm-as-a-verifier</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reference-checking · GitHub Topics, </w:t>
      </w:r>
      <w:hyperlink r:id="rId29">
        <w:r w:rsidDel="00000000" w:rsidR="00000000" w:rsidRPr="00000000">
          <w:rPr>
            <w:rFonts w:ascii="Google Sans" w:cs="Google Sans" w:eastAsia="Google Sans" w:hAnsi="Google Sans"/>
            <w:color w:val="0000ee"/>
            <w:sz w:val="24"/>
            <w:szCs w:val="24"/>
            <w:u w:val="single"/>
            <w:rtl w:val="0"/>
          </w:rPr>
          <w:t xml:space="preserve">https://github.com/topics/reference-checking</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markrussinovich/refchecker: A tool that validates academic paper references, </w:t>
      </w:r>
      <w:hyperlink r:id="rId30">
        <w:r w:rsidDel="00000000" w:rsidR="00000000" w:rsidRPr="00000000">
          <w:rPr>
            <w:rFonts w:ascii="Google Sans" w:cs="Google Sans" w:eastAsia="Google Sans" w:hAnsi="Google Sans"/>
            <w:color w:val="0000ee"/>
            <w:sz w:val="24"/>
            <w:szCs w:val="24"/>
            <w:u w:val="single"/>
            <w:rtl w:val="0"/>
          </w:rPr>
          <w:t xml:space="preserve">https://github.com/markrussinovich/refchecker</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Guardrails Hub, </w:t>
      </w:r>
      <w:hyperlink r:id="rId31">
        <w:r w:rsidDel="00000000" w:rsidR="00000000" w:rsidRPr="00000000">
          <w:rPr>
            <w:rFonts w:ascii="Google Sans" w:cs="Google Sans" w:eastAsia="Google Sans" w:hAnsi="Google Sans"/>
            <w:color w:val="0000ee"/>
            <w:sz w:val="24"/>
            <w:szCs w:val="24"/>
            <w:u w:val="single"/>
            <w:rtl w:val="0"/>
          </w:rPr>
          <w:t xml:space="preserve">https://guardrailsai.com/hub</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KathCYM/CiteGuard - GitHub, </w:t>
      </w:r>
      <w:hyperlink r:id="rId32">
        <w:r w:rsidDel="00000000" w:rsidR="00000000" w:rsidRPr="00000000">
          <w:rPr>
            <w:rFonts w:ascii="Google Sans" w:cs="Google Sans" w:eastAsia="Google Sans" w:hAnsi="Google Sans"/>
            <w:color w:val="0000ee"/>
            <w:sz w:val="24"/>
            <w:szCs w:val="24"/>
            <w:u w:val="single"/>
            <w:rtl w:val="0"/>
          </w:rPr>
          <w:t xml:space="preserve">https://github.com/KathCYM/CiteGuard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atronus.ai/blog/lynx-state-of-the-art-open-source-hallucination-detection-model" TargetMode="External"/><Relationship Id="rId22" Type="http://schemas.openxmlformats.org/officeDocument/2006/relationships/hyperlink" Target="https://github.com/VenturFlow/Assay" TargetMode="External"/><Relationship Id="rId21" Type="http://schemas.openxmlformats.org/officeDocument/2006/relationships/hyperlink" Target="https://www.researchgate.net/publication/390247766_Real-Time_Evaluation_Models_for_RAG_Who_Detects_Hallucinations_Best" TargetMode="External"/><Relationship Id="rId24" Type="http://schemas.openxmlformats.org/officeDocument/2006/relationships/hyperlink" Target="https://github.com/run-llama/llama_index/issues/7299" TargetMode="External"/><Relationship Id="rId23" Type="http://schemas.openxmlformats.org/officeDocument/2006/relationships/hyperlink" Target="https://github.com/jonckr/cite-verif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oogle-research/minicheck" TargetMode="External"/><Relationship Id="rId26" Type="http://schemas.openxmlformats.org/officeDocument/2006/relationships/hyperlink" Target="https://huggingface.co/datasets/quotientai/HalluMix" TargetMode="External"/><Relationship Id="rId25" Type="http://schemas.openxmlformats.org/officeDocument/2006/relationships/hyperlink" Target="https://github.com/Cranot/agi-in-md" TargetMode="External"/><Relationship Id="rId28" Type="http://schemas.openxmlformats.org/officeDocument/2006/relationships/hyperlink" Target="https://github.com/llm-as-a-verifier/llm-as-a-verifier" TargetMode="External"/><Relationship Id="rId27" Type="http://schemas.openxmlformats.org/officeDocument/2006/relationships/hyperlink" Target="https://cleanlab.ai/blog/rag-tlm-hallucination-benchmarking/" TargetMode="External"/><Relationship Id="rId5" Type="http://schemas.openxmlformats.org/officeDocument/2006/relationships/styles" Target="styles.xml"/><Relationship Id="rId6" Type="http://schemas.openxmlformats.org/officeDocument/2006/relationships/hyperlink" Target="https://pypi.org/project/guardrails-ai/" TargetMode="External"/><Relationship Id="rId29" Type="http://schemas.openxmlformats.org/officeDocument/2006/relationships/hyperlink" Target="https://github.com/topics/reference-checking" TargetMode="External"/><Relationship Id="rId7" Type="http://schemas.openxmlformats.org/officeDocument/2006/relationships/hyperlink" Target="https://llamaindexxx.readthedocs.io/en/latest/api/llama_index.core.schema.TextNode.html" TargetMode="External"/><Relationship Id="rId8" Type="http://schemas.openxmlformats.org/officeDocument/2006/relationships/hyperlink" Target="https://github.com/rlfordon/citation-verifier" TargetMode="External"/><Relationship Id="rId31" Type="http://schemas.openxmlformats.org/officeDocument/2006/relationships/hyperlink" Target="https://guardrailsai.com/hub" TargetMode="External"/><Relationship Id="rId30" Type="http://schemas.openxmlformats.org/officeDocument/2006/relationships/hyperlink" Target="https://github.com/markrussinovich/refchecker" TargetMode="External"/><Relationship Id="rId11" Type="http://schemas.openxmlformats.org/officeDocument/2006/relationships/hyperlink" Target="https://cleanlab.ai/blog/rag-evaluation-models/" TargetMode="External"/><Relationship Id="rId10" Type="http://schemas.openxmlformats.org/officeDocument/2006/relationships/hyperlink" Target="https://huggingface.co/PatronusAI/Llama-3-Patronus-Lynx-70B-Instruct" TargetMode="External"/><Relationship Id="rId32" Type="http://schemas.openxmlformats.org/officeDocument/2006/relationships/hyperlink" Target="https://github.com/KathCYM/CiteGuard" TargetMode="External"/><Relationship Id="rId13" Type="http://schemas.openxmlformats.org/officeDocument/2006/relationships/hyperlink" Target="https://pypi.org/project/guardrails-ai/" TargetMode="External"/><Relationship Id="rId12" Type="http://schemas.openxmlformats.org/officeDocument/2006/relationships/hyperlink" Target="https://github.com/VenturFlow/Assay" TargetMode="External"/><Relationship Id="rId15" Type="http://schemas.openxmlformats.org/officeDocument/2006/relationships/hyperlink" Target="https://llamaindexxx.readthedocs.io/en/latest/api/llama_index.core.schema.TextNode.html" TargetMode="External"/><Relationship Id="rId14" Type="http://schemas.openxmlformats.org/officeDocument/2006/relationships/hyperlink" Target="https://guardrailsai.com/blog/0.2.0-release" TargetMode="External"/><Relationship Id="rId17" Type="http://schemas.openxmlformats.org/officeDocument/2006/relationships/hyperlink" Target="https://www.researchgate.net/publication/386205259_MiniCheck_Efficient_Fact-Checking_of_LLMs_on_Grounding_Documents" TargetMode="External"/><Relationship Id="rId16" Type="http://schemas.openxmlformats.org/officeDocument/2006/relationships/hyperlink" Target="https://github.com/rlfordon/citation-verifier" TargetMode="External"/><Relationship Id="rId19" Type="http://schemas.openxmlformats.org/officeDocument/2006/relationships/hyperlink" Target="https://cleanlab.ai/blog/rag-evaluation-models/" TargetMode="External"/><Relationship Id="rId18" Type="http://schemas.openxmlformats.org/officeDocument/2006/relationships/hyperlink" Target="https://arxiv.org/abs/2404.107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