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rPr>
          <w:rFonts w:ascii="Calibri" w:hAnsi="Calibri"/>
          <w:b/>
          <w:color w:val="1F4E79"/>
          <w:sz w:val="36"/>
        </w:rPr>
        <w:t>Project Design Phase-II</w:t>
      </w:r>
    </w:p>
    <w:p>
      <w:pPr>
        <w:pStyle w:val="Heading2"/>
        <w:spacing w:before="200" w:after="60"/>
      </w:pPr>
      <w:r>
        <w:rPr>
          <w:rFonts w:ascii="Calibri" w:hAnsi="Calibri"/>
          <w:b/>
          <w:color w:val="2E75B6"/>
          <w:sz w:val="28"/>
        </w:rPr>
        <w:t>Solution Requirements (Functional &amp; Non-Functional)</w:t>
      </w:r>
    </w:p>
    <w:tbl>
      <w:tblPr>
        <w:tblStyle w:val="TableGrid"/>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shd w:val="clear" w:color="auto" w:fill="1F4E79"/>
          </w:tcPr>
          <w:p>
            <w:pPr>
              <w:spacing w:before="40" w:after="40"/>
            </w:pPr>
            <w:r>
              <w:rPr>
                <w:b/>
                <w:color w:val="FFFFFF"/>
                <w:sz w:val="19"/>
              </w:rPr>
              <w:t>Date</w:t>
            </w:r>
          </w:p>
        </w:tc>
        <w:tc>
          <w:tcPr>
            <w:tcW w:type="dxa" w:w="4968"/>
            <w:tcMar>
              <w:top w:w="120" w:type="dxa"/>
              <w:bottom w:w="120" w:type="dxa"/>
              <w:left w:w="150" w:type="dxa"/>
              <w:right w:w="150" w:type="dxa"/>
            </w:tcMar>
            <w:shd w:val="clear" w:color="auto" w:fill="1F4E79"/>
          </w:tcPr>
          <w:p>
            <w:pPr>
              <w:spacing w:before="40" w:after="40"/>
            </w:pPr>
            <w:r>
              <w:rPr>
                <w:b/>
                <w:color w:val="FFFFFF"/>
                <w:sz w:val="19"/>
              </w:rPr>
              <w:t>30 September 2026</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Team ID</w:t>
            </w:r>
          </w:p>
        </w:tc>
        <w:tc>
          <w:tcPr>
            <w:tcW w:type="dxa" w:w="4968"/>
            <w:tcMar>
              <w:top w:w="120" w:type="dxa"/>
              <w:bottom w:w="120" w:type="dxa"/>
              <w:left w:w="150" w:type="dxa"/>
              <w:right w:w="150" w:type="dxa"/>
            </w:tcMar>
            <w:shd w:val="clear" w:color="auto" w:fill="F2F4F7"/>
          </w:tcPr>
          <w:p>
            <w:pPr>
              <w:spacing w:before="40" w:after="40"/>
            </w:pPr>
            <w:r>
              <w:rPr>
                <w:color w:val="333333"/>
                <w:sz w:val="18"/>
              </w:rPr>
              <w:t>SWITID-2026-5400</w:t>
            </w:r>
          </w:p>
        </w:tc>
      </w:tr>
      <w:tr>
        <w:tc>
          <w:tcPr>
            <w:tcW w:type="dxa" w:w="4968"/>
            <w:tcMar>
              <w:top w:w="120" w:type="dxa"/>
              <w:bottom w:w="120" w:type="dxa"/>
              <w:left w:w="150" w:type="dxa"/>
              <w:right w:w="150" w:type="dxa"/>
            </w:tcMar>
          </w:tcPr>
          <w:p>
            <w:pPr>
              <w:spacing w:before="40" w:after="40"/>
            </w:pPr>
            <w:r>
              <w:rPr>
                <w:color w:val="333333"/>
                <w:sz w:val="18"/>
              </w:rPr>
              <w:t>Project Name</w:t>
            </w:r>
          </w:p>
        </w:tc>
        <w:tc>
          <w:tcPr>
            <w:tcW w:type="dxa" w:w="4968"/>
            <w:tcMar>
              <w:top w:w="120" w:type="dxa"/>
              <w:bottom w:w="120" w:type="dxa"/>
              <w:left w:w="150" w:type="dxa"/>
              <w:right w:w="150" w:type="dxa"/>
            </w:tcMar>
          </w:tcPr>
          <w:p>
            <w:pPr>
              <w:spacing w:before="40" w:after="40"/>
            </w:pPr>
            <w:r>
              <w:rPr>
                <w:color w:val="333333"/>
                <w:sz w:val="18"/>
              </w:rPr>
              <w:t>AI WEATHER WISE</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Maximum Marks</w:t>
            </w:r>
          </w:p>
        </w:tc>
        <w:tc>
          <w:tcPr>
            <w:tcW w:type="dxa" w:w="4968"/>
            <w:tcMar>
              <w:top w:w="120" w:type="dxa"/>
              <w:bottom w:w="120" w:type="dxa"/>
              <w:left w:w="150" w:type="dxa"/>
              <w:right w:w="150" w:type="dxa"/>
            </w:tcMar>
            <w:shd w:val="clear" w:color="auto" w:fill="F2F4F7"/>
          </w:tcPr>
          <w:p>
            <w:pPr>
              <w:spacing w:before="40" w:after="40"/>
            </w:pPr>
            <w:r>
              <w:rPr>
                <w:color w:val="333333"/>
                <w:sz w:val="18"/>
              </w:rPr>
              <w:t>4 Marks</w:t>
            </w:r>
          </w:p>
        </w:tc>
      </w:tr>
    </w:tbl>
    <w:p/>
    <w:p>
      <w:pPr>
        <w:pStyle w:val="Heading3"/>
        <w:spacing w:before="160" w:after="40"/>
      </w:pPr>
      <w:r>
        <w:rPr>
          <w:rFonts w:ascii="Calibri" w:hAnsi="Calibri"/>
          <w:b/>
          <w:color w:val="1F4E79"/>
          <w:sz w:val="24"/>
        </w:rPr>
        <w:t>1. Functional Requirements</w:t>
      </w:r>
    </w:p>
    <w:p>
      <w:pPr>
        <w:spacing w:before="40" w:after="40" w:line="276" w:lineRule="auto"/>
      </w:pPr>
      <w:r>
        <w:rPr>
          <w:rFonts w:ascii="Calibri" w:hAnsi="Calibri"/>
          <w:sz w:val="20"/>
        </w:rPr>
        <w:t>The following table details the functional requirements of the AI WEATHER WISE backend platform implemented using Node.js, Express.js, MongoDB, and Google Gemini AI.</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val="clear" w:color="auto" w:fill="1F4E79"/>
          </w:tcPr>
          <w:p>
            <w:pPr>
              <w:spacing w:before="40" w:after="40"/>
            </w:pPr>
            <w:r>
              <w:rPr>
                <w:b/>
                <w:color w:val="FFFFFF"/>
                <w:sz w:val="19"/>
              </w:rPr>
              <w:t>FR No.</w:t>
            </w:r>
          </w:p>
        </w:tc>
        <w:tc>
          <w:tcPr>
            <w:tcW w:type="dxa" w:w="3312"/>
            <w:tcMar>
              <w:top w:w="120" w:type="dxa"/>
              <w:bottom w:w="120" w:type="dxa"/>
              <w:left w:w="150" w:type="dxa"/>
              <w:right w:w="150" w:type="dxa"/>
            </w:tcMar>
            <w:shd w:val="clear" w:color="auto" w:fill="1F4E79"/>
          </w:tcPr>
          <w:p>
            <w:pPr>
              <w:spacing w:before="40" w:after="40"/>
            </w:pPr>
            <w:r>
              <w:rPr>
                <w:b/>
                <w:color w:val="FFFFFF"/>
                <w:sz w:val="19"/>
              </w:rPr>
              <w:t>Functional Requirement (Epic)</w:t>
            </w:r>
          </w:p>
        </w:tc>
        <w:tc>
          <w:tcPr>
            <w:tcW w:type="dxa" w:w="3312"/>
            <w:tcMar>
              <w:top w:w="120" w:type="dxa"/>
              <w:bottom w:w="120" w:type="dxa"/>
              <w:left w:w="150" w:type="dxa"/>
              <w:right w:w="150" w:type="dxa"/>
            </w:tcMar>
            <w:shd w:val="clear" w:color="auto" w:fill="1F4E79"/>
          </w:tcPr>
          <w:p>
            <w:pPr>
              <w:spacing w:before="40" w:after="40"/>
            </w:pPr>
            <w:r>
              <w:rPr>
                <w:b/>
                <w:color w:val="FFFFFF"/>
                <w:sz w:val="19"/>
              </w:rPr>
              <w:t>Sub-Requirement (Story / Sub-Task)</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FR-1</w:t>
            </w:r>
          </w:p>
        </w:tc>
        <w:tc>
          <w:tcPr>
            <w:tcW w:type="dxa" w:w="3312"/>
            <w:tcMar>
              <w:top w:w="120" w:type="dxa"/>
              <w:bottom w:w="120" w:type="dxa"/>
              <w:left w:w="150" w:type="dxa"/>
              <w:right w:w="150" w:type="dxa"/>
            </w:tcMar>
            <w:shd w:val="clear" w:color="auto" w:fill="F2F4F7"/>
          </w:tcPr>
          <w:p>
            <w:pPr>
              <w:spacing w:before="40" w:after="40"/>
            </w:pPr>
            <w:r>
              <w:rPr>
                <w:color w:val="333333"/>
                <w:sz w:val="18"/>
              </w:rPr>
              <w:t>User Registration &amp; Profile</w:t>
            </w:r>
          </w:p>
        </w:tc>
        <w:tc>
          <w:tcPr>
            <w:tcW w:type="dxa" w:w="3312"/>
            <w:tcMar>
              <w:top w:w="120" w:type="dxa"/>
              <w:bottom w:w="120" w:type="dxa"/>
              <w:left w:w="150" w:type="dxa"/>
              <w:right w:w="150" w:type="dxa"/>
            </w:tcMar>
            <w:shd w:val="clear" w:color="auto" w:fill="F2F4F7"/>
          </w:tcPr>
          <w:p>
            <w:pPr>
              <w:spacing w:before="40" w:after="40"/>
            </w:pPr>
            <w:r>
              <w:rPr>
                <w:color w:val="333333"/>
                <w:sz w:val="18"/>
              </w:rPr>
              <w:t>- User registration via POST /api/auth/register with name, email, and password.</w:t>
              <w:br/>
              <w:t>- Password encryption using bcryptjs before persisting to MongoDB.</w:t>
              <w:br/>
              <w:t>- Duplicate email verification returning HTTP 400 with a descriptive collision message.</w:t>
            </w:r>
          </w:p>
        </w:tc>
      </w:tr>
      <w:tr>
        <w:tc>
          <w:tcPr>
            <w:tcW w:type="dxa" w:w="3312"/>
            <w:tcMar>
              <w:top w:w="120" w:type="dxa"/>
              <w:bottom w:w="120" w:type="dxa"/>
              <w:left w:w="150" w:type="dxa"/>
              <w:right w:w="150" w:type="dxa"/>
            </w:tcMar>
          </w:tcPr>
          <w:p>
            <w:pPr>
              <w:spacing w:before="40" w:after="40"/>
            </w:pPr>
            <w:r>
              <w:rPr>
                <w:color w:val="333333"/>
                <w:sz w:val="18"/>
              </w:rPr>
              <w:t>FR-2</w:t>
            </w:r>
          </w:p>
        </w:tc>
        <w:tc>
          <w:tcPr>
            <w:tcW w:type="dxa" w:w="3312"/>
            <w:tcMar>
              <w:top w:w="120" w:type="dxa"/>
              <w:bottom w:w="120" w:type="dxa"/>
              <w:left w:w="150" w:type="dxa"/>
              <w:right w:w="150" w:type="dxa"/>
            </w:tcMar>
          </w:tcPr>
          <w:p>
            <w:pPr>
              <w:spacing w:before="40" w:after="40"/>
            </w:pPr>
            <w:r>
              <w:rPr>
                <w:color w:val="333333"/>
                <w:sz w:val="18"/>
              </w:rPr>
              <w:t>Authentication &amp; Route Guarding</w:t>
            </w:r>
          </w:p>
        </w:tc>
        <w:tc>
          <w:tcPr>
            <w:tcW w:type="dxa" w:w="3312"/>
            <w:tcMar>
              <w:top w:w="120" w:type="dxa"/>
              <w:bottom w:w="120" w:type="dxa"/>
              <w:left w:w="150" w:type="dxa"/>
              <w:right w:w="150" w:type="dxa"/>
            </w:tcMar>
          </w:tcPr>
          <w:p>
            <w:pPr>
              <w:spacing w:before="40" w:after="40"/>
            </w:pPr>
            <w:r>
              <w:rPr>
                <w:color w:val="333333"/>
                <w:sz w:val="18"/>
              </w:rPr>
              <w:t>- User login via POST /api/auth/login returning signed JSON Web Token (JWT).</w:t>
              <w:br/>
              <w:t>- authMiddleware.js extracting Bearer token from authorization headers.</w:t>
              <w:br/>
              <w:t>- Role-Based Access Control (RBAC) supporting default role (reader) and elevated privileges (admin).</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FR-3</w:t>
            </w:r>
          </w:p>
        </w:tc>
        <w:tc>
          <w:tcPr>
            <w:tcW w:type="dxa" w:w="3312"/>
            <w:tcMar>
              <w:top w:w="120" w:type="dxa"/>
              <w:bottom w:w="120" w:type="dxa"/>
              <w:left w:w="150" w:type="dxa"/>
              <w:right w:w="150" w:type="dxa"/>
            </w:tcMar>
            <w:shd w:val="clear" w:color="auto" w:fill="F2F4F7"/>
          </w:tcPr>
          <w:p>
            <w:pPr>
              <w:spacing w:before="40" w:after="40"/>
            </w:pPr>
            <w:r>
              <w:rPr>
                <w:color w:val="333333"/>
                <w:sz w:val="18"/>
              </w:rPr>
              <w:t>Saved Locations Management (CRUD)</w:t>
            </w:r>
          </w:p>
        </w:tc>
        <w:tc>
          <w:tcPr>
            <w:tcW w:type="dxa" w:w="3312"/>
            <w:tcMar>
              <w:top w:w="120" w:type="dxa"/>
              <w:bottom w:w="120" w:type="dxa"/>
              <w:left w:w="150" w:type="dxa"/>
              <w:right w:w="150" w:type="dxa"/>
            </w:tcMar>
            <w:shd w:val="clear" w:color="auto" w:fill="F2F4F7"/>
          </w:tcPr>
          <w:p>
            <w:pPr>
              <w:spacing w:before="40" w:after="40"/>
            </w:pPr>
            <w:r>
              <w:rPr>
                <w:color w:val="333333"/>
                <w:sz w:val="18"/>
              </w:rPr>
              <w:t>- Create favorite city via POST /api/locations referencing the authenticated User ObjectId.</w:t>
              <w:br/>
              <w:t>- Retrieve user's saved locations via GET /api/locations.</w:t>
              <w:br/>
              <w:t>- Update location preferences via PUT /api/locations/:id.</w:t>
              <w:br/>
              <w:t>- Delete saved city via DELETE /api/locations/:id.</w:t>
            </w:r>
          </w:p>
        </w:tc>
      </w:tr>
      <w:tr>
        <w:tc>
          <w:tcPr>
            <w:tcW w:type="dxa" w:w="3312"/>
            <w:tcMar>
              <w:top w:w="120" w:type="dxa"/>
              <w:bottom w:w="120" w:type="dxa"/>
              <w:left w:w="150" w:type="dxa"/>
              <w:right w:w="150" w:type="dxa"/>
            </w:tcMar>
          </w:tcPr>
          <w:p>
            <w:pPr>
              <w:spacing w:before="40" w:after="40"/>
            </w:pPr>
            <w:r>
              <w:rPr>
                <w:color w:val="333333"/>
                <w:sz w:val="18"/>
              </w:rPr>
              <w:t>FR-4</w:t>
            </w:r>
          </w:p>
        </w:tc>
        <w:tc>
          <w:tcPr>
            <w:tcW w:type="dxa" w:w="3312"/>
            <w:tcMar>
              <w:top w:w="120" w:type="dxa"/>
              <w:bottom w:w="120" w:type="dxa"/>
              <w:left w:w="150" w:type="dxa"/>
              <w:right w:w="150" w:type="dxa"/>
            </w:tcMar>
          </w:tcPr>
          <w:p>
            <w:pPr>
              <w:spacing w:before="40" w:after="40"/>
            </w:pPr>
            <w:r>
              <w:rPr>
                <w:color w:val="333333"/>
                <w:sz w:val="18"/>
              </w:rPr>
              <w:t>Real-Time Weather Ingestion</w:t>
            </w:r>
          </w:p>
        </w:tc>
        <w:tc>
          <w:tcPr>
            <w:tcW w:type="dxa" w:w="3312"/>
            <w:tcMar>
              <w:top w:w="120" w:type="dxa"/>
              <w:bottom w:w="120" w:type="dxa"/>
              <w:left w:w="150" w:type="dxa"/>
              <w:right w:w="150" w:type="dxa"/>
            </w:tcMar>
          </w:tcPr>
          <w:p>
            <w:pPr>
              <w:spacing w:before="40" w:after="40"/>
            </w:pPr>
            <w:r>
              <w:rPr>
                <w:color w:val="333333"/>
                <w:sz w:val="18"/>
              </w:rPr>
              <w:t>- Fetch live meteorological data by city name via GET /api/weather/:city.</w:t>
              <w:br/>
              <w:t>- Query OpenWeatherMap REST API for temperature, humidity, feels-like, wind speed, and weather condition.</w:t>
              <w:br/>
              <w:t>- Response transformation into standardized JSON payload.</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FR-5</w:t>
            </w:r>
          </w:p>
        </w:tc>
        <w:tc>
          <w:tcPr>
            <w:tcW w:type="dxa" w:w="3312"/>
            <w:tcMar>
              <w:top w:w="120" w:type="dxa"/>
              <w:bottom w:w="120" w:type="dxa"/>
              <w:left w:w="150" w:type="dxa"/>
              <w:right w:w="150" w:type="dxa"/>
            </w:tcMar>
            <w:shd w:val="clear" w:color="auto" w:fill="F2F4F7"/>
          </w:tcPr>
          <w:p>
            <w:pPr>
              <w:spacing w:before="40" w:after="40"/>
            </w:pPr>
            <w:r>
              <w:rPr>
                <w:color w:val="333333"/>
                <w:sz w:val="18"/>
              </w:rPr>
              <w:t>Resilient Fallback Mode</w:t>
            </w:r>
          </w:p>
        </w:tc>
        <w:tc>
          <w:tcPr>
            <w:tcW w:type="dxa" w:w="3312"/>
            <w:tcMar>
              <w:top w:w="120" w:type="dxa"/>
              <w:bottom w:w="120" w:type="dxa"/>
              <w:left w:w="150" w:type="dxa"/>
              <w:right w:w="150" w:type="dxa"/>
            </w:tcMar>
            <w:shd w:val="clear" w:color="auto" w:fill="F2F4F7"/>
          </w:tcPr>
          <w:p>
            <w:pPr>
              <w:spacing w:before="40" w:after="40"/>
            </w:pPr>
            <w:r>
              <w:rPr>
                <w:color w:val="333333"/>
                <w:sz w:val="18"/>
              </w:rPr>
              <w:t>- Built-in offline mock data generator within weather.service.js.</w:t>
              <w:br/>
              <w:t>- Automatic fallback execution if OPENWEATHER_API_KEY is missing or external rate limits are exceeded, ensuring zero application crashes.</w:t>
            </w:r>
          </w:p>
        </w:tc>
      </w:tr>
      <w:tr>
        <w:tc>
          <w:tcPr>
            <w:tcW w:type="dxa" w:w="3312"/>
            <w:tcMar>
              <w:top w:w="120" w:type="dxa"/>
              <w:bottom w:w="120" w:type="dxa"/>
              <w:left w:w="150" w:type="dxa"/>
              <w:right w:w="150" w:type="dxa"/>
            </w:tcMar>
          </w:tcPr>
          <w:p>
            <w:pPr>
              <w:spacing w:before="40" w:after="40"/>
            </w:pPr>
            <w:r>
              <w:rPr>
                <w:color w:val="333333"/>
                <w:sz w:val="18"/>
              </w:rPr>
              <w:t>FR-6</w:t>
            </w:r>
          </w:p>
        </w:tc>
        <w:tc>
          <w:tcPr>
            <w:tcW w:type="dxa" w:w="3312"/>
            <w:tcMar>
              <w:top w:w="120" w:type="dxa"/>
              <w:bottom w:w="120" w:type="dxa"/>
              <w:left w:w="150" w:type="dxa"/>
              <w:right w:w="150" w:type="dxa"/>
            </w:tcMar>
          </w:tcPr>
          <w:p>
            <w:pPr>
              <w:spacing w:before="40" w:after="40"/>
            </w:pPr>
            <w:r>
              <w:rPr>
                <w:color w:val="333333"/>
                <w:sz w:val="18"/>
              </w:rPr>
              <w:t>AI Insights &amp; Summaries (Google Gemini)</w:t>
            </w:r>
          </w:p>
        </w:tc>
        <w:tc>
          <w:tcPr>
            <w:tcW w:type="dxa" w:w="3312"/>
            <w:tcMar>
              <w:top w:w="120" w:type="dxa"/>
              <w:bottom w:w="120" w:type="dxa"/>
              <w:left w:w="150" w:type="dxa"/>
              <w:right w:w="150" w:type="dxa"/>
            </w:tcMar>
          </w:tcPr>
          <w:p>
            <w:pPr>
              <w:spacing w:before="40" w:after="40"/>
            </w:pPr>
            <w:r>
              <w:rPr>
                <w:color w:val="333333"/>
                <w:sz w:val="18"/>
              </w:rPr>
              <w:t>- Ingestion of weather metrics into Google Gemini AI via @google/genai SDK.</w:t>
              <w:br/>
              <w:t>- Dynamic prompt construction to generate concise natural language summaries of atmospheric conditions.</w:t>
              <w:br/>
              <w:t>- Personalized recommendations for outdoor activities and appropriate clothing based on live parameters.</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FR-7</w:t>
            </w:r>
          </w:p>
        </w:tc>
        <w:tc>
          <w:tcPr>
            <w:tcW w:type="dxa" w:w="3312"/>
            <w:tcMar>
              <w:top w:w="120" w:type="dxa"/>
              <w:bottom w:w="120" w:type="dxa"/>
              <w:left w:w="150" w:type="dxa"/>
              <w:right w:w="150" w:type="dxa"/>
            </w:tcMar>
            <w:shd w:val="clear" w:color="auto" w:fill="F2F4F7"/>
          </w:tcPr>
          <w:p>
            <w:pPr>
              <w:spacing w:before="40" w:after="40"/>
            </w:pPr>
            <w:r>
              <w:rPr>
                <w:color w:val="333333"/>
                <w:sz w:val="18"/>
              </w:rPr>
              <w:t>Centralized Error Handling &amp; Sanitization</w:t>
            </w:r>
          </w:p>
        </w:tc>
        <w:tc>
          <w:tcPr>
            <w:tcW w:type="dxa" w:w="3312"/>
            <w:tcMar>
              <w:top w:w="120" w:type="dxa"/>
              <w:bottom w:w="120" w:type="dxa"/>
              <w:left w:w="150" w:type="dxa"/>
              <w:right w:w="150" w:type="dxa"/>
            </w:tcMar>
            <w:shd w:val="clear" w:color="auto" w:fill="F2F4F7"/>
          </w:tcPr>
          <w:p>
            <w:pPr>
              <w:spacing w:before="40" w:after="40"/>
            </w:pPr>
            <w:r>
              <w:rPr>
                <w:color w:val="333333"/>
                <w:sz w:val="18"/>
              </w:rPr>
              <w:t>- Centralized Express error handler capturing unhandled rejections and operational errors.</w:t>
              <w:br/>
              <w:t>- Request sanitization preventing NoSQL parameter injection and Cross-Site Scripting (XSS).</w:t>
            </w:r>
          </w:p>
        </w:tc>
      </w:tr>
      <w:tr>
        <w:tc>
          <w:tcPr>
            <w:tcW w:type="dxa" w:w="3312"/>
            <w:tcMar>
              <w:top w:w="120" w:type="dxa"/>
              <w:bottom w:w="120" w:type="dxa"/>
              <w:left w:w="150" w:type="dxa"/>
              <w:right w:w="150" w:type="dxa"/>
            </w:tcMar>
          </w:tcPr>
          <w:p>
            <w:pPr>
              <w:spacing w:before="40" w:after="40"/>
            </w:pPr>
            <w:r>
              <w:rPr>
                <w:color w:val="333333"/>
                <w:sz w:val="18"/>
              </w:rPr>
              <w:t>FR-8</w:t>
            </w:r>
          </w:p>
        </w:tc>
        <w:tc>
          <w:tcPr>
            <w:tcW w:type="dxa" w:w="3312"/>
            <w:tcMar>
              <w:top w:w="120" w:type="dxa"/>
              <w:bottom w:w="120" w:type="dxa"/>
              <w:left w:w="150" w:type="dxa"/>
              <w:right w:w="150" w:type="dxa"/>
            </w:tcMar>
          </w:tcPr>
          <w:p>
            <w:pPr>
              <w:spacing w:before="40" w:after="40"/>
            </w:pPr>
            <w:r>
              <w:rPr>
                <w:color w:val="333333"/>
                <w:sz w:val="18"/>
              </w:rPr>
              <w:t>Environment &amp; Configuration Management</w:t>
            </w:r>
          </w:p>
        </w:tc>
        <w:tc>
          <w:tcPr>
            <w:tcW w:type="dxa" w:w="3312"/>
            <w:tcMar>
              <w:top w:w="120" w:type="dxa"/>
              <w:bottom w:w="120" w:type="dxa"/>
              <w:left w:w="150" w:type="dxa"/>
              <w:right w:w="150" w:type="dxa"/>
            </w:tcMar>
          </w:tcPr>
          <w:p>
            <w:pPr>
              <w:spacing w:before="40" w:after="40"/>
            </w:pPr>
            <w:r>
              <w:rPr>
                <w:color w:val="333333"/>
                <w:sz w:val="18"/>
              </w:rPr>
              <w:t>- Centralized .env configuration for PORT=5000, MONGO_URI, JWT_SECRET, and GEMINI_API_KEY.</w:t>
              <w:br/>
              <w:t>- Graceful MongoDB connection state management via src/config/db.js.</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FR-9</w:t>
            </w:r>
          </w:p>
        </w:tc>
        <w:tc>
          <w:tcPr>
            <w:tcW w:type="dxa" w:w="3312"/>
            <w:tcMar>
              <w:top w:w="120" w:type="dxa"/>
              <w:bottom w:w="120" w:type="dxa"/>
              <w:left w:w="150" w:type="dxa"/>
              <w:right w:w="150" w:type="dxa"/>
            </w:tcMar>
            <w:shd w:val="clear" w:color="auto" w:fill="F2F4F7"/>
          </w:tcPr>
          <w:p>
            <w:pPr>
              <w:spacing w:before="40" w:after="40"/>
            </w:pPr>
            <w:r>
              <w:rPr>
                <w:color w:val="333333"/>
                <w:sz w:val="18"/>
              </w:rPr>
              <w:t>API Testing Suite &amp; Documentation</w:t>
            </w:r>
          </w:p>
        </w:tc>
        <w:tc>
          <w:tcPr>
            <w:tcW w:type="dxa" w:w="3312"/>
            <w:tcMar>
              <w:top w:w="120" w:type="dxa"/>
              <w:bottom w:w="120" w:type="dxa"/>
              <w:left w:w="150" w:type="dxa"/>
              <w:right w:w="150" w:type="dxa"/>
            </w:tcMar>
            <w:shd w:val="clear" w:color="auto" w:fill="F2F4F7"/>
          </w:tcPr>
          <w:p>
            <w:pPr>
              <w:spacing w:before="40" w:after="40"/>
            </w:pPr>
            <w:r>
              <w:rPr>
                <w:color w:val="333333"/>
                <w:sz w:val="18"/>
              </w:rPr>
              <w:t>- Complete postman_collection.json containing pre-configured request headers, bearer auth scripts, and sample payloads for all endpoints.</w:t>
            </w:r>
          </w:p>
        </w:tc>
      </w:tr>
    </w:tbl>
    <w:p/>
    <w:p>
      <w:pPr>
        <w:pStyle w:val="Heading3"/>
        <w:spacing w:before="160" w:after="40"/>
      </w:pPr>
      <w:r>
        <w:rPr>
          <w:rFonts w:ascii="Calibri" w:hAnsi="Calibri"/>
          <w:b/>
          <w:color w:val="1F4E79"/>
          <w:sz w:val="24"/>
        </w:rPr>
        <w:t>2. Non-Functional Requirements</w:t>
      </w:r>
    </w:p>
    <w:p>
      <w:pPr>
        <w:spacing w:before="40" w:after="40" w:line="276" w:lineRule="auto"/>
      </w:pPr>
      <w:r>
        <w:rPr>
          <w:rFonts w:ascii="Calibri" w:hAnsi="Calibri"/>
          <w:sz w:val="20"/>
        </w:rPr>
        <w:t>The non-functional requirements define the quality attributes, operational limits, security protocols, and performance metrics of the AI WEATHER WISE backend.</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val="clear" w:color="auto" w:fill="1F4E79"/>
          </w:tcPr>
          <w:p>
            <w:pPr>
              <w:spacing w:before="40" w:after="40"/>
            </w:pPr>
            <w:r>
              <w:rPr>
                <w:b/>
                <w:color w:val="FFFFFF"/>
                <w:sz w:val="19"/>
              </w:rPr>
              <w:t>NFR No.</w:t>
            </w:r>
          </w:p>
        </w:tc>
        <w:tc>
          <w:tcPr>
            <w:tcW w:type="dxa" w:w="3312"/>
            <w:tcMar>
              <w:top w:w="120" w:type="dxa"/>
              <w:bottom w:w="120" w:type="dxa"/>
              <w:left w:w="150" w:type="dxa"/>
              <w:right w:w="150" w:type="dxa"/>
            </w:tcMar>
            <w:shd w:val="clear" w:color="auto" w:fill="1F4E79"/>
          </w:tcPr>
          <w:p>
            <w:pPr>
              <w:spacing w:before="40" w:after="40"/>
            </w:pPr>
            <w:r>
              <w:rPr>
                <w:b/>
                <w:color w:val="FFFFFF"/>
                <w:sz w:val="19"/>
              </w:rPr>
              <w:t>Non-Functional Requirement</w:t>
            </w:r>
          </w:p>
        </w:tc>
        <w:tc>
          <w:tcPr>
            <w:tcW w:type="dxa" w:w="3312"/>
            <w:tcMar>
              <w:top w:w="120" w:type="dxa"/>
              <w:bottom w:w="120" w:type="dxa"/>
              <w:left w:w="150" w:type="dxa"/>
              <w:right w:w="150" w:type="dxa"/>
            </w:tcMar>
            <w:shd w:val="clear" w:color="auto" w:fill="1F4E79"/>
          </w:tcPr>
          <w:p>
            <w:pPr>
              <w:spacing w:before="40" w:after="40"/>
            </w:pPr>
            <w:r>
              <w:rPr>
                <w:b/>
                <w:color w:val="FFFFFF"/>
                <w:sz w:val="19"/>
              </w:rPr>
              <w:t>Description &amp; Technical Benchmark</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NFR-1</w:t>
            </w:r>
          </w:p>
        </w:tc>
        <w:tc>
          <w:tcPr>
            <w:tcW w:type="dxa" w:w="3312"/>
            <w:tcMar>
              <w:top w:w="120" w:type="dxa"/>
              <w:bottom w:w="120" w:type="dxa"/>
              <w:left w:w="150" w:type="dxa"/>
              <w:right w:w="150" w:type="dxa"/>
            </w:tcMar>
            <w:shd w:val="clear" w:color="auto" w:fill="F2F4F7"/>
          </w:tcPr>
          <w:p>
            <w:pPr>
              <w:spacing w:before="40" w:after="40"/>
            </w:pPr>
            <w:r>
              <w:rPr>
                <w:color w:val="333333"/>
                <w:sz w:val="18"/>
              </w:rPr>
              <w:t>Usability &amp; Developer Experience</w:t>
            </w:r>
          </w:p>
        </w:tc>
        <w:tc>
          <w:tcPr>
            <w:tcW w:type="dxa" w:w="3312"/>
            <w:tcMar>
              <w:top w:w="120" w:type="dxa"/>
              <w:bottom w:w="120" w:type="dxa"/>
              <w:left w:w="150" w:type="dxa"/>
              <w:right w:w="150" w:type="dxa"/>
            </w:tcMar>
            <w:shd w:val="clear" w:color="auto" w:fill="F2F4F7"/>
          </w:tcPr>
          <w:p>
            <w:pPr>
              <w:spacing w:before="40" w:after="40"/>
            </w:pPr>
            <w:r>
              <w:rPr>
                <w:color w:val="333333"/>
                <w:sz w:val="18"/>
              </w:rPr>
              <w:t>The RESTful API endpoints shall strictly follow standard HTTP status codes (200 OK, 201 Created, 400 Bad Request, 401 Unauthorized, 404 Not Found, 500 Internal Error). Clear and comprehensive documentation alongside a ready-to-run Postman collection ensures immediate onboarding.</w:t>
            </w:r>
          </w:p>
        </w:tc>
      </w:tr>
      <w:tr>
        <w:tc>
          <w:tcPr>
            <w:tcW w:type="dxa" w:w="3312"/>
            <w:tcMar>
              <w:top w:w="120" w:type="dxa"/>
              <w:bottom w:w="120" w:type="dxa"/>
              <w:left w:w="150" w:type="dxa"/>
              <w:right w:w="150" w:type="dxa"/>
            </w:tcMar>
          </w:tcPr>
          <w:p>
            <w:pPr>
              <w:spacing w:before="40" w:after="40"/>
            </w:pPr>
            <w:r>
              <w:rPr>
                <w:color w:val="333333"/>
                <w:sz w:val="18"/>
              </w:rPr>
              <w:t>NFR-2</w:t>
            </w:r>
          </w:p>
        </w:tc>
        <w:tc>
          <w:tcPr>
            <w:tcW w:type="dxa" w:w="3312"/>
            <w:tcMar>
              <w:top w:w="120" w:type="dxa"/>
              <w:bottom w:w="120" w:type="dxa"/>
              <w:left w:w="150" w:type="dxa"/>
              <w:right w:w="150" w:type="dxa"/>
            </w:tcMar>
          </w:tcPr>
          <w:p>
            <w:pPr>
              <w:spacing w:before="40" w:after="40"/>
            </w:pPr>
            <w:r>
              <w:rPr>
                <w:color w:val="333333"/>
                <w:sz w:val="18"/>
              </w:rPr>
              <w:t>Security &amp; Data Protection</w:t>
            </w:r>
          </w:p>
        </w:tc>
        <w:tc>
          <w:tcPr>
            <w:tcW w:type="dxa" w:w="3312"/>
            <w:tcMar>
              <w:top w:w="120" w:type="dxa"/>
              <w:bottom w:w="120" w:type="dxa"/>
              <w:left w:w="150" w:type="dxa"/>
              <w:right w:w="150" w:type="dxa"/>
            </w:tcMar>
          </w:tcPr>
          <w:p>
            <w:pPr>
              <w:spacing w:before="40" w:after="40"/>
            </w:pPr>
            <w:r>
              <w:rPr>
                <w:color w:val="333333"/>
                <w:sz w:val="18"/>
              </w:rPr>
              <w:t>All passwords stored in MongoDB shall be irreversibly salted and hashed using bcryptjs (10 salt rounds). Stateless sessions shall be protected by signed JSON Web Tokens (JWT). CORS policies and request sanitizers shall guard against unauthorized cross-origin access and NoSQL injection.</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NFR-3</w:t>
            </w:r>
          </w:p>
        </w:tc>
        <w:tc>
          <w:tcPr>
            <w:tcW w:type="dxa" w:w="3312"/>
            <w:tcMar>
              <w:top w:w="120" w:type="dxa"/>
              <w:bottom w:w="120" w:type="dxa"/>
              <w:left w:w="150" w:type="dxa"/>
              <w:right w:w="150" w:type="dxa"/>
            </w:tcMar>
            <w:shd w:val="clear" w:color="auto" w:fill="F2F4F7"/>
          </w:tcPr>
          <w:p>
            <w:pPr>
              <w:spacing w:before="40" w:after="40"/>
            </w:pPr>
            <w:r>
              <w:rPr>
                <w:color w:val="333333"/>
                <w:sz w:val="18"/>
              </w:rPr>
              <w:t>Reliability &amp; Fault Tolerance</w:t>
            </w:r>
          </w:p>
        </w:tc>
        <w:tc>
          <w:tcPr>
            <w:tcW w:type="dxa" w:w="3312"/>
            <w:tcMar>
              <w:top w:w="120" w:type="dxa"/>
              <w:bottom w:w="120" w:type="dxa"/>
              <w:left w:w="150" w:type="dxa"/>
              <w:right w:w="150" w:type="dxa"/>
            </w:tcMar>
            <w:shd w:val="clear" w:color="auto" w:fill="F2F4F7"/>
          </w:tcPr>
          <w:p>
            <w:pPr>
              <w:spacing w:before="40" w:after="40"/>
            </w:pPr>
            <w:r>
              <w:rPr>
                <w:color w:val="333333"/>
                <w:sz w:val="18"/>
              </w:rPr>
              <w:t>The system shall guarantee high reliability through an automated resilient fallback mode: if external weather APIs experience downtime, the platform gracefully switches to simulated fallback weather metrics, preventing 500-level service crashes.</w:t>
            </w:r>
          </w:p>
        </w:tc>
      </w:tr>
      <w:tr>
        <w:tc>
          <w:tcPr>
            <w:tcW w:type="dxa" w:w="3312"/>
            <w:tcMar>
              <w:top w:w="120" w:type="dxa"/>
              <w:bottom w:w="120" w:type="dxa"/>
              <w:left w:w="150" w:type="dxa"/>
              <w:right w:w="150" w:type="dxa"/>
            </w:tcMar>
          </w:tcPr>
          <w:p>
            <w:pPr>
              <w:spacing w:before="40" w:after="40"/>
            </w:pPr>
            <w:r>
              <w:rPr>
                <w:color w:val="333333"/>
                <w:sz w:val="18"/>
              </w:rPr>
              <w:t>NFR-4</w:t>
            </w:r>
          </w:p>
        </w:tc>
        <w:tc>
          <w:tcPr>
            <w:tcW w:type="dxa" w:w="3312"/>
            <w:tcMar>
              <w:top w:w="120" w:type="dxa"/>
              <w:bottom w:w="120" w:type="dxa"/>
              <w:left w:w="150" w:type="dxa"/>
              <w:right w:w="150" w:type="dxa"/>
            </w:tcMar>
          </w:tcPr>
          <w:p>
            <w:pPr>
              <w:spacing w:before="40" w:after="40"/>
            </w:pPr>
            <w:r>
              <w:rPr>
                <w:color w:val="333333"/>
                <w:sz w:val="18"/>
              </w:rPr>
              <w:t>Performance &amp; Latency</w:t>
            </w:r>
          </w:p>
        </w:tc>
        <w:tc>
          <w:tcPr>
            <w:tcW w:type="dxa" w:w="3312"/>
            <w:tcMar>
              <w:top w:w="120" w:type="dxa"/>
              <w:bottom w:w="120" w:type="dxa"/>
              <w:left w:w="150" w:type="dxa"/>
              <w:right w:w="150" w:type="dxa"/>
            </w:tcMar>
          </w:tcPr>
          <w:p>
            <w:pPr>
              <w:spacing w:before="40" w:after="40"/>
            </w:pPr>
            <w:r>
              <w:rPr>
                <w:color w:val="333333"/>
                <w:sz w:val="18"/>
              </w:rPr>
              <w:t>The non-blocking, asynchronous I/O event loop of Node.js ensures sub-100ms API response times for local database and cached queries. Weather fetching and Gemini AI synthesis shall resolve within 1.5 to 2.0 seconds per request.</w:t>
            </w:r>
          </w:p>
        </w:tc>
      </w:tr>
      <w:tr>
        <w:tc>
          <w:tcPr>
            <w:tcW w:type="dxa" w:w="3312"/>
            <w:tcMar>
              <w:top w:w="120" w:type="dxa"/>
              <w:bottom w:w="120" w:type="dxa"/>
              <w:left w:w="150" w:type="dxa"/>
              <w:right w:w="150" w:type="dxa"/>
            </w:tcMar>
            <w:shd w:val="clear" w:color="auto" w:fill="F2F4F7"/>
          </w:tcPr>
          <w:p>
            <w:pPr>
              <w:spacing w:before="40" w:after="40"/>
            </w:pPr>
            <w:r>
              <w:rPr>
                <w:color w:val="333333"/>
                <w:sz w:val="18"/>
              </w:rPr>
              <w:t>NFR-5</w:t>
            </w:r>
          </w:p>
        </w:tc>
        <w:tc>
          <w:tcPr>
            <w:tcW w:type="dxa" w:w="3312"/>
            <w:tcMar>
              <w:top w:w="120" w:type="dxa"/>
              <w:bottom w:w="120" w:type="dxa"/>
              <w:left w:w="150" w:type="dxa"/>
              <w:right w:w="150" w:type="dxa"/>
            </w:tcMar>
            <w:shd w:val="clear" w:color="auto" w:fill="F2F4F7"/>
          </w:tcPr>
          <w:p>
            <w:pPr>
              <w:spacing w:before="40" w:after="40"/>
            </w:pPr>
            <w:r>
              <w:rPr>
                <w:color w:val="333333"/>
                <w:sz w:val="18"/>
              </w:rPr>
              <w:t>Availability</w:t>
            </w:r>
          </w:p>
        </w:tc>
        <w:tc>
          <w:tcPr>
            <w:tcW w:type="dxa" w:w="3312"/>
            <w:tcMar>
              <w:top w:w="120" w:type="dxa"/>
              <w:bottom w:w="120" w:type="dxa"/>
              <w:left w:w="150" w:type="dxa"/>
              <w:right w:w="150" w:type="dxa"/>
            </w:tcMar>
            <w:shd w:val="clear" w:color="auto" w:fill="F2F4F7"/>
          </w:tcPr>
          <w:p>
            <w:pPr>
              <w:spacing w:before="40" w:after="40"/>
            </w:pPr>
            <w:r>
              <w:rPr>
                <w:color w:val="333333"/>
                <w:sz w:val="18"/>
              </w:rPr>
              <w:t>The Express server and MongoDB database connection pool shall maintain 99.9% uptime. MongoDB connection handler (db.js) features automated reconnection retries in case of transient network dropouts.</w:t>
            </w:r>
          </w:p>
        </w:tc>
      </w:tr>
      <w:tr>
        <w:tc>
          <w:tcPr>
            <w:tcW w:type="dxa" w:w="3312"/>
            <w:tcMar>
              <w:top w:w="120" w:type="dxa"/>
              <w:bottom w:w="120" w:type="dxa"/>
              <w:left w:w="150" w:type="dxa"/>
              <w:right w:w="150" w:type="dxa"/>
            </w:tcMar>
          </w:tcPr>
          <w:p>
            <w:pPr>
              <w:spacing w:before="40" w:after="40"/>
            </w:pPr>
            <w:r>
              <w:rPr>
                <w:color w:val="333333"/>
                <w:sz w:val="18"/>
              </w:rPr>
              <w:t>NFR-6</w:t>
            </w:r>
          </w:p>
        </w:tc>
        <w:tc>
          <w:tcPr>
            <w:tcW w:type="dxa" w:w="3312"/>
            <w:tcMar>
              <w:top w:w="120" w:type="dxa"/>
              <w:bottom w:w="120" w:type="dxa"/>
              <w:left w:w="150" w:type="dxa"/>
              <w:right w:w="150" w:type="dxa"/>
            </w:tcMar>
          </w:tcPr>
          <w:p>
            <w:pPr>
              <w:spacing w:before="40" w:after="40"/>
            </w:pPr>
            <w:r>
              <w:rPr>
                <w:color w:val="333333"/>
                <w:sz w:val="18"/>
              </w:rPr>
              <w:t>Scalability &amp; Modularity</w:t>
            </w:r>
          </w:p>
        </w:tc>
        <w:tc>
          <w:tcPr>
            <w:tcW w:type="dxa" w:w="3312"/>
            <w:tcMar>
              <w:top w:w="120" w:type="dxa"/>
              <w:bottom w:w="120" w:type="dxa"/>
              <w:left w:w="150" w:type="dxa"/>
              <w:right w:w="150" w:type="dxa"/>
            </w:tcMar>
          </w:tcPr>
          <w:p>
            <w:pPr>
              <w:spacing w:before="40" w:after="40"/>
            </w:pPr>
            <w:r>
              <w:rPr>
                <w:color w:val="333333"/>
                <w:sz w:val="18"/>
              </w:rPr>
              <w:t>The system is architected around strict MVC decoupling (separating Controllers, Services, and Models). Stateless controller logic allows multiple Express worker instances to run concurrently across containerized clusters behind a reverse proxy.</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