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rPr>
          <w:rFonts w:ascii="Calibri" w:hAnsi="Calibri"/>
          <w:b/>
          <w:color w:val="1F4E79"/>
          <w:sz w:val="36"/>
        </w:rPr>
        <w:t>Project Design Phase - Ideation &amp; Problem Statement</w:t>
      </w:r>
    </w:p>
    <w:p>
      <w:pPr>
        <w:pStyle w:val="Heading2"/>
        <w:spacing w:before="200" w:after="60"/>
      </w:pPr>
      <w:r>
        <w:rPr>
          <w:rFonts w:ascii="Calibri" w:hAnsi="Calibri"/>
          <w:b/>
          <w:color w:val="2E75B6"/>
          <w:sz w:val="28"/>
        </w:rPr>
        <w:t>Ideation Phase: Empathy Map &amp; Problem Definition</w:t>
      </w:r>
    </w:p>
    <w:tbl>
      <w:tblPr>
        <w:tblStyle w:val="TableGrid"/>
        <w:tblW w:type="auto" w:w="0"/>
        <w:jc w:val="center"/>
        <w:tblLook w:firstColumn="1" w:firstRow="1" w:lastColumn="0" w:lastRow="0" w:noHBand="0" w:noVBand="1" w:val="04A0"/>
      </w:tblPr>
      <w:tblGrid>
        <w:gridCol w:w="4968"/>
        <w:gridCol w:w="4968"/>
      </w:tblGrid>
      <w:tr>
        <w:tc>
          <w:tcPr>
            <w:tcW w:type="dxa" w:w="4968"/>
            <w:tcMar>
              <w:top w:w="120" w:type="dxa"/>
              <w:bottom w:w="120" w:type="dxa"/>
              <w:left w:w="150" w:type="dxa"/>
              <w:right w:w="150" w:type="dxa"/>
            </w:tcMar>
            <w:shd w:val="clear" w:color="auto" w:fill="1F4E79"/>
          </w:tcPr>
          <w:p>
            <w:pPr>
              <w:spacing w:before="40" w:after="40"/>
            </w:pPr>
            <w:r>
              <w:rPr>
                <w:b/>
                <w:color w:val="FFFFFF"/>
                <w:sz w:val="19"/>
              </w:rPr>
              <w:t>Date</w:t>
            </w:r>
          </w:p>
        </w:tc>
        <w:tc>
          <w:tcPr>
            <w:tcW w:type="dxa" w:w="4968"/>
            <w:tcMar>
              <w:top w:w="120" w:type="dxa"/>
              <w:bottom w:w="120" w:type="dxa"/>
              <w:left w:w="150" w:type="dxa"/>
              <w:right w:w="150" w:type="dxa"/>
            </w:tcMar>
            <w:shd w:val="clear" w:color="auto" w:fill="1F4E79"/>
          </w:tcPr>
          <w:p>
            <w:pPr>
              <w:spacing w:before="40" w:after="40"/>
            </w:pPr>
            <w:r>
              <w:rPr>
                <w:b/>
                <w:color w:val="FFFFFF"/>
                <w:sz w:val="19"/>
              </w:rPr>
              <w:t>30 September 2026</w:t>
            </w:r>
          </w:p>
        </w:tc>
      </w:tr>
      <w:tr>
        <w:tc>
          <w:tcPr>
            <w:tcW w:type="dxa" w:w="4968"/>
            <w:tcMar>
              <w:top w:w="120" w:type="dxa"/>
              <w:bottom w:w="120" w:type="dxa"/>
              <w:left w:w="150" w:type="dxa"/>
              <w:right w:w="150" w:type="dxa"/>
            </w:tcMar>
            <w:shd w:val="clear" w:color="auto" w:fill="F2F4F7"/>
          </w:tcPr>
          <w:p>
            <w:pPr>
              <w:spacing w:before="40" w:after="40"/>
            </w:pPr>
            <w:r>
              <w:rPr>
                <w:color w:val="333333"/>
                <w:sz w:val="18"/>
              </w:rPr>
              <w:t>Team ID</w:t>
            </w:r>
          </w:p>
        </w:tc>
        <w:tc>
          <w:tcPr>
            <w:tcW w:type="dxa" w:w="4968"/>
            <w:tcMar>
              <w:top w:w="120" w:type="dxa"/>
              <w:bottom w:w="120" w:type="dxa"/>
              <w:left w:w="150" w:type="dxa"/>
              <w:right w:w="150" w:type="dxa"/>
            </w:tcMar>
            <w:shd w:val="clear" w:color="auto" w:fill="F2F4F7"/>
          </w:tcPr>
          <w:p>
            <w:pPr>
              <w:spacing w:before="40" w:after="40"/>
            </w:pPr>
            <w:r>
              <w:rPr>
                <w:color w:val="333333"/>
                <w:sz w:val="18"/>
              </w:rPr>
              <w:t>SWITID-2026-5400</w:t>
            </w:r>
          </w:p>
        </w:tc>
      </w:tr>
      <w:tr>
        <w:tc>
          <w:tcPr>
            <w:tcW w:type="dxa" w:w="4968"/>
            <w:tcMar>
              <w:top w:w="120" w:type="dxa"/>
              <w:bottom w:w="120" w:type="dxa"/>
              <w:left w:w="150" w:type="dxa"/>
              <w:right w:w="150" w:type="dxa"/>
            </w:tcMar>
          </w:tcPr>
          <w:p>
            <w:pPr>
              <w:spacing w:before="40" w:after="40"/>
            </w:pPr>
            <w:r>
              <w:rPr>
                <w:color w:val="333333"/>
                <w:sz w:val="18"/>
              </w:rPr>
              <w:t>Project Name</w:t>
            </w:r>
          </w:p>
        </w:tc>
        <w:tc>
          <w:tcPr>
            <w:tcW w:type="dxa" w:w="4968"/>
            <w:tcMar>
              <w:top w:w="120" w:type="dxa"/>
              <w:bottom w:w="120" w:type="dxa"/>
              <w:left w:w="150" w:type="dxa"/>
              <w:right w:w="150" w:type="dxa"/>
            </w:tcMar>
          </w:tcPr>
          <w:p>
            <w:pPr>
              <w:spacing w:before="40" w:after="40"/>
            </w:pPr>
            <w:r>
              <w:rPr>
                <w:color w:val="333333"/>
                <w:sz w:val="18"/>
              </w:rPr>
              <w:t>AI WEATHER WISE</w:t>
            </w:r>
          </w:p>
        </w:tc>
      </w:tr>
      <w:tr>
        <w:tc>
          <w:tcPr>
            <w:tcW w:type="dxa" w:w="4968"/>
            <w:tcMar>
              <w:top w:w="120" w:type="dxa"/>
              <w:bottom w:w="120" w:type="dxa"/>
              <w:left w:w="150" w:type="dxa"/>
              <w:right w:w="150" w:type="dxa"/>
            </w:tcMar>
            <w:shd w:val="clear" w:color="auto" w:fill="F2F4F7"/>
          </w:tcPr>
          <w:p>
            <w:pPr>
              <w:spacing w:before="40" w:after="40"/>
            </w:pPr>
            <w:r>
              <w:rPr>
                <w:color w:val="333333"/>
                <w:sz w:val="18"/>
              </w:rPr>
              <w:t>Domain</w:t>
            </w:r>
          </w:p>
        </w:tc>
        <w:tc>
          <w:tcPr>
            <w:tcW w:type="dxa" w:w="4968"/>
            <w:tcMar>
              <w:top w:w="120" w:type="dxa"/>
              <w:bottom w:w="120" w:type="dxa"/>
              <w:left w:w="150" w:type="dxa"/>
              <w:right w:w="150" w:type="dxa"/>
            </w:tcMar>
            <w:shd w:val="clear" w:color="auto" w:fill="F2F4F7"/>
          </w:tcPr>
          <w:p>
            <w:pPr>
              <w:spacing w:before="40" w:after="40"/>
            </w:pPr>
            <w:r>
              <w:rPr>
                <w:color w:val="333333"/>
                <w:sz w:val="18"/>
              </w:rPr>
              <w:t>Artificial Intelligence, Machine Learning &amp; Meteorological Analytics</w:t>
            </w:r>
          </w:p>
        </w:tc>
      </w:tr>
      <w:tr>
        <w:tc>
          <w:tcPr>
            <w:tcW w:type="dxa" w:w="4968"/>
            <w:tcMar>
              <w:top w:w="120" w:type="dxa"/>
              <w:bottom w:w="120" w:type="dxa"/>
              <w:left w:w="150" w:type="dxa"/>
              <w:right w:w="150" w:type="dxa"/>
            </w:tcMar>
          </w:tcPr>
          <w:p>
            <w:pPr>
              <w:spacing w:before="40" w:after="40"/>
            </w:pPr>
            <w:r>
              <w:rPr>
                <w:color w:val="333333"/>
                <w:sz w:val="18"/>
              </w:rPr>
              <w:t>Maximum Marks</w:t>
            </w:r>
          </w:p>
        </w:tc>
        <w:tc>
          <w:tcPr>
            <w:tcW w:type="dxa" w:w="4968"/>
            <w:tcMar>
              <w:top w:w="120" w:type="dxa"/>
              <w:bottom w:w="120" w:type="dxa"/>
              <w:left w:w="150" w:type="dxa"/>
              <w:right w:w="150" w:type="dxa"/>
            </w:tcMar>
          </w:tcPr>
          <w:p>
            <w:pPr>
              <w:spacing w:before="40" w:after="40"/>
            </w:pPr>
            <w:r>
              <w:rPr>
                <w:color w:val="333333"/>
                <w:sz w:val="18"/>
              </w:rPr>
              <w:t>5 Marks</w:t>
            </w:r>
          </w:p>
        </w:tc>
      </w:tr>
    </w:tbl>
    <w:p/>
    <w:p>
      <w:pPr>
        <w:pStyle w:val="Heading3"/>
        <w:spacing w:before="160" w:after="40"/>
      </w:pPr>
      <w:r>
        <w:rPr>
          <w:rFonts w:ascii="Calibri" w:hAnsi="Calibri"/>
          <w:b/>
          <w:color w:val="1F4E79"/>
          <w:sz w:val="24"/>
        </w:rPr>
        <w:t>1. Problem Statement</w:t>
      </w:r>
    </w:p>
    <w:p>
      <w:pPr>
        <w:spacing w:before="40" w:after="40" w:line="276" w:lineRule="auto"/>
      </w:pPr>
      <w:r>
        <w:rPr>
          <w:rFonts w:ascii="Calibri" w:hAnsi="Calibri"/>
          <w:sz w:val="20"/>
        </w:rPr>
        <w:t>Modern weather patterns are experiencing heightened volatility due to rapid climate change, leading to sudden extreme weather events such as localized cloudbursts, severe heatwaves, unpredicted frost, and violent flash storms. Traditional numerical weather prediction (NWP) models, while macroscopically informative, are computationally demanding, slow to recalculate, and often fail to deliver hyper-local, real-time predictive insights or practical, actionable advisories to ordinary citizens, farmers, logistics operators, and emergency responders.</w:t>
      </w:r>
    </w:p>
    <w:p>
      <w:pPr>
        <w:spacing w:before="40" w:after="40" w:line="276" w:lineRule="auto"/>
      </w:pPr>
      <w:r>
        <w:rPr>
          <w:rFonts w:ascii="Calibri" w:hAnsi="Calibri"/>
          <w:sz w:val="20"/>
        </w:rPr>
        <w:t>There is a critical lack of an accessible, intelligent, end-to-end weather advisory system that:</w:t>
      </w:r>
    </w:p>
    <w:p>
      <w:pPr>
        <w:pStyle w:val="ListNumber"/>
        <w:spacing w:before="20" w:after="20"/>
      </w:pPr>
      <w:r>
        <w:rPr>
          <w:sz w:val="20"/>
        </w:rPr>
        <w:t>Translates complex atmospheric data streams into clear, hyper-localized hourly and multi-day forecasts.</w:t>
      </w:r>
    </w:p>
    <w:p>
      <w:pPr>
        <w:pStyle w:val="ListNumber"/>
        <w:spacing w:before="20" w:after="20"/>
      </w:pPr>
      <w:r>
        <w:rPr>
          <w:sz w:val="20"/>
        </w:rPr>
        <w:t>Employs modern AI/Machine Learning models to detect anomalies and forecast rapid meteorological shifts with low latency.</w:t>
      </w:r>
    </w:p>
    <w:p>
      <w:pPr>
        <w:pStyle w:val="ListNumber"/>
        <w:spacing w:before="20" w:after="20"/>
      </w:pPr>
      <w:r>
        <w:rPr>
          <w:sz w:val="20"/>
        </w:rPr>
        <w:t>Automatically triggers life-saving severe weather alerts with actionable safety recommendations.</w:t>
      </w:r>
    </w:p>
    <w:p>
      <w:pPr>
        <w:pStyle w:val="ListNumber"/>
        <w:spacing w:before="20" w:after="20"/>
      </w:pPr>
      <w:r>
        <w:rPr>
          <w:sz w:val="20"/>
        </w:rPr>
        <w:t>Provides an intelligent, natural-language conversational interface enabling users of all technical proficiencies to query climate conditions and obtain personalized daily or agricultural advisories.</w:t>
      </w:r>
    </w:p>
    <w:p>
      <w:pPr>
        <w:spacing w:before="40" w:after="40" w:line="276" w:lineRule="auto"/>
      </w:pPr>
      <w:r>
        <w:rPr>
          <w:rFonts w:ascii="Calibri" w:hAnsi="Calibri"/>
          <w:sz w:val="20"/>
        </w:rPr>
        <w:t>AI WEATHER WISE bridges this gap by unifying live satellite/radar meteorological APIs, deep learning predictive models (LSTM &amp; ensemble regressors), and generative AI advisory engines into a unified, responsive web and mobile platform.</w:t>
      </w:r>
    </w:p>
    <w:p>
      <w:pPr>
        <w:pStyle w:val="Heading3"/>
        <w:spacing w:before="160" w:after="40"/>
      </w:pPr>
      <w:r>
        <w:rPr>
          <w:rFonts w:ascii="Calibri" w:hAnsi="Calibri"/>
          <w:b/>
          <w:color w:val="1F4E79"/>
          <w:sz w:val="24"/>
        </w:rPr>
        <w:t>2. Empathy Map</w:t>
      </w:r>
    </w:p>
    <w:p>
      <w:pPr>
        <w:spacing w:before="40" w:after="40" w:line="276" w:lineRule="auto"/>
      </w:pPr>
      <w:r>
        <w:rPr>
          <w:rFonts w:ascii="Calibri" w:hAnsi="Calibri"/>
          <w:sz w:val="20"/>
        </w:rPr>
        <w:t>An empathy map was conducted across primary user segments (farmers, outdoor workers/logistics coordinators, daily commuters, and municipal disaster coordinators) to understand their pain points and expectations.</w:t>
      </w:r>
    </w:p>
    <w:tbl>
      <w:tblPr>
        <w:tblStyle w:val="TableGrid"/>
        <w:tblW w:type="auto" w:w="0"/>
        <w:jc w:val="center"/>
        <w:tblLook w:firstColumn="1" w:firstRow="1" w:lastColumn="0" w:lastRow="0" w:noHBand="0" w:noVBand="1" w:val="04A0"/>
      </w:tblPr>
      <w:tblGrid>
        <w:gridCol w:w="4968"/>
        <w:gridCol w:w="4968"/>
      </w:tblGrid>
      <w:tr>
        <w:tc>
          <w:tcPr>
            <w:tcW w:type="dxa" w:w="4968"/>
            <w:tcMar>
              <w:top w:w="120" w:type="dxa"/>
              <w:bottom w:w="120" w:type="dxa"/>
              <w:left w:w="150" w:type="dxa"/>
              <w:right w:w="150" w:type="dxa"/>
            </w:tcMar>
            <w:shd w:val="clear" w:color="auto" w:fill="1F4E79"/>
          </w:tcPr>
          <w:p>
            <w:pPr>
              <w:spacing w:before="40" w:after="40"/>
            </w:pPr>
            <w:r>
              <w:rPr>
                <w:b/>
                <w:color w:val="FFFFFF"/>
                <w:sz w:val="19"/>
              </w:rPr>
              <w:t>Quadrant</w:t>
            </w:r>
          </w:p>
        </w:tc>
        <w:tc>
          <w:tcPr>
            <w:tcW w:type="dxa" w:w="4968"/>
            <w:tcMar>
              <w:top w:w="120" w:type="dxa"/>
              <w:bottom w:w="120" w:type="dxa"/>
              <w:left w:w="150" w:type="dxa"/>
              <w:right w:w="150" w:type="dxa"/>
            </w:tcMar>
            <w:shd w:val="clear" w:color="auto" w:fill="1F4E79"/>
          </w:tcPr>
          <w:p>
            <w:pPr>
              <w:spacing w:before="40" w:after="40"/>
            </w:pPr>
            <w:r>
              <w:rPr>
                <w:b/>
                <w:color w:val="FFFFFF"/>
                <w:sz w:val="19"/>
              </w:rPr>
              <w:t>User Perspective / Psychological Drivers</w:t>
            </w:r>
          </w:p>
        </w:tc>
      </w:tr>
      <w:tr>
        <w:tc>
          <w:tcPr>
            <w:tcW w:type="dxa" w:w="4968"/>
            <w:tcMar>
              <w:top w:w="120" w:type="dxa"/>
              <w:bottom w:w="120" w:type="dxa"/>
              <w:left w:w="150" w:type="dxa"/>
              <w:right w:w="150" w:type="dxa"/>
            </w:tcMar>
            <w:shd w:val="clear" w:color="auto" w:fill="F2F4F7"/>
          </w:tcPr>
          <w:p>
            <w:pPr>
              <w:spacing w:before="40" w:after="40"/>
            </w:pPr>
            <w:r>
              <w:rPr>
                <w:color w:val="333333"/>
                <w:sz w:val="18"/>
              </w:rPr>
              <w:t>Says</w:t>
            </w:r>
          </w:p>
        </w:tc>
        <w:tc>
          <w:tcPr>
            <w:tcW w:type="dxa" w:w="4968"/>
            <w:tcMar>
              <w:top w:w="120" w:type="dxa"/>
              <w:bottom w:w="120" w:type="dxa"/>
              <w:left w:w="150" w:type="dxa"/>
              <w:right w:w="150" w:type="dxa"/>
            </w:tcMar>
            <w:shd w:val="clear" w:color="auto" w:fill="F2F4F7"/>
          </w:tcPr>
          <w:p>
            <w:pPr>
              <w:spacing w:before="40" w:after="40"/>
            </w:pPr>
            <w:r>
              <w:rPr>
                <w:color w:val="333333"/>
                <w:sz w:val="18"/>
              </w:rPr>
              <w:t>- "The generic news forecast predicted mild rain, but a flash storm destroyed our freshly harvested crop."</w:t>
              <w:br/>
              <w:t>- "I need to know exactly if it will pour between 2 PM and 5 PM in my delivery corridor, not just a vague 40% rain probability for the entire city."</w:t>
              <w:br/>
              <w:t>- "Weather graphs look too complicated with hectopascals and dew points—just tell me if it is safe to spray fertilizer today."</w:t>
            </w:r>
          </w:p>
        </w:tc>
      </w:tr>
      <w:tr>
        <w:tc>
          <w:tcPr>
            <w:tcW w:type="dxa" w:w="4968"/>
            <w:tcMar>
              <w:top w:w="120" w:type="dxa"/>
              <w:bottom w:w="120" w:type="dxa"/>
              <w:left w:w="150" w:type="dxa"/>
              <w:right w:w="150" w:type="dxa"/>
            </w:tcMar>
          </w:tcPr>
          <w:p>
            <w:pPr>
              <w:spacing w:before="40" w:after="40"/>
            </w:pPr>
            <w:r>
              <w:rPr>
                <w:color w:val="333333"/>
                <w:sz w:val="18"/>
              </w:rPr>
              <w:t>Thinks</w:t>
            </w:r>
          </w:p>
        </w:tc>
        <w:tc>
          <w:tcPr>
            <w:tcW w:type="dxa" w:w="4968"/>
            <w:tcMar>
              <w:top w:w="120" w:type="dxa"/>
              <w:bottom w:w="120" w:type="dxa"/>
              <w:left w:w="150" w:type="dxa"/>
              <w:right w:w="150" w:type="dxa"/>
            </w:tcMar>
          </w:tcPr>
          <w:p>
            <w:pPr>
              <w:spacing w:before="40" w:after="40"/>
            </w:pPr>
            <w:r>
              <w:rPr>
                <w:color w:val="333333"/>
                <w:sz w:val="18"/>
              </w:rPr>
              <w:t>- "Can I trust the weather app when making travel or business decisions?"</w:t>
              <w:br/>
              <w:t>- "Is this heatwave severe enough to cancel outdoor work shifts?"</w:t>
              <w:br/>
              <w:t>- "I wish an assistant could simply tell me what precautions to take instead of me interpreting raw charts."</w:t>
            </w:r>
          </w:p>
        </w:tc>
      </w:tr>
      <w:tr>
        <w:tc>
          <w:tcPr>
            <w:tcW w:type="dxa" w:w="4968"/>
            <w:tcMar>
              <w:top w:w="120" w:type="dxa"/>
              <w:bottom w:w="120" w:type="dxa"/>
              <w:left w:w="150" w:type="dxa"/>
              <w:right w:w="150" w:type="dxa"/>
            </w:tcMar>
            <w:shd w:val="clear" w:color="auto" w:fill="F2F4F7"/>
          </w:tcPr>
          <w:p>
            <w:pPr>
              <w:spacing w:before="40" w:after="40"/>
            </w:pPr>
            <w:r>
              <w:rPr>
                <w:color w:val="333333"/>
                <w:sz w:val="18"/>
              </w:rPr>
              <w:t>Does</w:t>
            </w:r>
          </w:p>
        </w:tc>
        <w:tc>
          <w:tcPr>
            <w:tcW w:type="dxa" w:w="4968"/>
            <w:tcMar>
              <w:top w:w="120" w:type="dxa"/>
              <w:bottom w:w="120" w:type="dxa"/>
              <w:left w:w="150" w:type="dxa"/>
              <w:right w:w="150" w:type="dxa"/>
            </w:tcMar>
            <w:shd w:val="clear" w:color="auto" w:fill="F2F4F7"/>
          </w:tcPr>
          <w:p>
            <w:pPr>
              <w:spacing w:before="40" w:after="40"/>
            </w:pPr>
            <w:r>
              <w:rPr>
                <w:color w:val="333333"/>
                <w:sz w:val="18"/>
              </w:rPr>
              <w:t>- Checks multiple disparate weather websites and local news apps before planning events.</w:t>
              <w:br/>
              <w:t>- Frequently calls neighbors or local field offices to confirm localized conditions.</w:t>
              <w:br/>
              <w:t>- Keeps emergency gear on standby due to distrust in delayed government warning systems.</w:t>
            </w:r>
          </w:p>
        </w:tc>
      </w:tr>
      <w:tr>
        <w:tc>
          <w:tcPr>
            <w:tcW w:type="dxa" w:w="4968"/>
            <w:tcMar>
              <w:top w:w="120" w:type="dxa"/>
              <w:bottom w:w="120" w:type="dxa"/>
              <w:left w:w="150" w:type="dxa"/>
              <w:right w:w="150" w:type="dxa"/>
            </w:tcMar>
          </w:tcPr>
          <w:p>
            <w:pPr>
              <w:spacing w:before="40" w:after="40"/>
            </w:pPr>
            <w:r>
              <w:rPr>
                <w:color w:val="333333"/>
                <w:sz w:val="18"/>
              </w:rPr>
              <w:t>Feels</w:t>
            </w:r>
          </w:p>
        </w:tc>
        <w:tc>
          <w:tcPr>
            <w:tcW w:type="dxa" w:w="4968"/>
            <w:tcMar>
              <w:top w:w="120" w:type="dxa"/>
              <w:bottom w:w="120" w:type="dxa"/>
              <w:left w:w="150" w:type="dxa"/>
              <w:right w:w="150" w:type="dxa"/>
            </w:tcMar>
          </w:tcPr>
          <w:p>
            <w:pPr>
              <w:spacing w:before="40" w:after="40"/>
            </w:pPr>
            <w:r>
              <w:rPr>
                <w:color w:val="333333"/>
                <w:sz w:val="18"/>
              </w:rPr>
              <w:t>- Anxious regarding unpredictable weather disruptions and monetary loss.</w:t>
              <w:br/>
              <w:t>- Frustrated by cluttered, ad-heavy weather applications with delayed alerts.</w:t>
              <w:br/>
              <w:t>- Empowered and secure when receiving timely, precise, and easily understandable AI guidance.</w:t>
            </w:r>
          </w:p>
        </w:tc>
      </w:tr>
    </w:tbl>
    <w:p/>
    <w:p>
      <w:pPr>
        <w:pStyle w:val="Heading3"/>
        <w:spacing w:before="160" w:after="40"/>
      </w:pPr>
      <w:r>
        <w:rPr>
          <w:rFonts w:ascii="Calibri" w:hAnsi="Calibri"/>
          <w:b/>
          <w:color w:val="1F4E79"/>
          <w:sz w:val="24"/>
        </w:rPr>
        <w:t>3. Target Audience &amp; Stakeholders</w:t>
      </w:r>
    </w:p>
    <w:p>
      <w:pPr>
        <w:pStyle w:val="ListNumber"/>
        <w:spacing w:before="20" w:after="20"/>
      </w:pPr>
      <w:r>
        <w:rPr>
          <w:sz w:val="20"/>
        </w:rPr>
        <w:t>Daily Commuters &amp; General Public: Need reliable minute-by-minute rain forecasts, UV exposure indices, and temperature warnings for daily lifestyle and transit planning.</w:t>
      </w:r>
    </w:p>
    <w:p>
      <w:pPr>
        <w:pStyle w:val="ListNumber"/>
        <w:spacing w:before="20" w:after="20"/>
      </w:pPr>
      <w:r>
        <w:rPr>
          <w:sz w:val="20"/>
        </w:rPr>
        <w:t>Agricultural Communities &amp; Farmers: Require precise soil-level humidity, precipitation predictions, frost warnings, and actionable crop spraying/harvesting advisories.</w:t>
      </w:r>
    </w:p>
    <w:p>
      <w:pPr>
        <w:pStyle w:val="ListNumber"/>
        <w:spacing w:before="20" w:after="20"/>
      </w:pPr>
      <w:r>
        <w:rPr>
          <w:sz w:val="20"/>
        </w:rPr>
        <w:t>Logistics &amp; Delivery Fleet Managers: Require route-specific weather hazard tracking to prevent delays and vehicular accidents during squalls or heavy fog.</w:t>
      </w:r>
    </w:p>
    <w:p>
      <w:pPr>
        <w:pStyle w:val="ListNumber"/>
        <w:spacing w:before="20" w:after="20"/>
      </w:pPr>
      <w:r>
        <w:rPr>
          <w:sz w:val="20"/>
        </w:rPr>
        <w:t>Disaster Management &amp; Municipal Agencies: Rely on early anomaly detection for flood, storm surge, and heatwave warning dissemination.</w:t>
      </w:r>
    </w:p>
    <w:p>
      <w:pPr>
        <w:pStyle w:val="Heading3"/>
        <w:spacing w:before="160" w:after="40"/>
      </w:pPr>
      <w:r>
        <w:rPr>
          <w:rFonts w:ascii="Calibri" w:hAnsi="Calibri"/>
          <w:b/>
          <w:color w:val="1F4E79"/>
          <w:sz w:val="24"/>
        </w:rPr>
        <w:t>4. Value Proposition of AI WEATHER WISE</w:t>
      </w:r>
    </w:p>
    <w:p>
      <w:pPr>
        <w:pStyle w:val="ListBullet"/>
        <w:spacing w:before="20" w:after="20"/>
      </w:pPr>
      <w:r>
        <w:rPr>
          <w:sz w:val="20"/>
        </w:rPr>
        <w:t>Hyper-Localized Accuracy: AI models trained on regional historical meteorological datasets combined with live streaming station metrics.</w:t>
      </w:r>
    </w:p>
    <w:p>
      <w:pPr>
        <w:pStyle w:val="ListBullet"/>
        <w:spacing w:before="20" w:after="20"/>
      </w:pPr>
      <w:r>
        <w:rPr>
          <w:sz w:val="20"/>
        </w:rPr>
        <w:t>Low-Latency Inferences: Sub-second predictive turnaround utilizing optimized ONNX / lightweight ML model runtimes.</w:t>
      </w:r>
    </w:p>
    <w:p>
      <w:pPr>
        <w:pStyle w:val="ListBullet"/>
        <w:spacing w:before="20" w:after="20"/>
      </w:pPr>
      <w:r>
        <w:rPr>
          <w:sz w:val="20"/>
        </w:rPr>
        <w:t>Intelligent Advisory Engine: Transforms raw meteorological metrics into domain-specific recommendations (e.g., farming guidelines, health tips for vulnerable groups during poor air quality).</w:t>
      </w:r>
    </w:p>
    <w:p>
      <w:pPr>
        <w:pStyle w:val="ListBullet"/>
        <w:spacing w:before="20" w:after="20"/>
      </w:pPr>
      <w:r>
        <w:rPr>
          <w:sz w:val="20"/>
        </w:rPr>
        <w:t>Multi-Modal Conversational AI: Natural language query support powered by conversational AI to answer queries like *"Will it rain at my farm before 4 PM today?"*.</w:t>
      </w:r>
    </w:p>
    <w:p>
      <w:pPr>
        <w:pStyle w:val="ListBullet"/>
        <w:spacing w:before="20" w:after="20"/>
      </w:pPr>
      <w:r>
        <w:rPr>
          <w:sz w:val="20"/>
        </w:rPr>
        <w:t>Proactive Life-Saving Alerts: Automated multi-channel push notification engine for hazardous climate anomalies.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